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DA6" w:rsidRDefault="008A2DA6" w:rsidP="008A2DA6">
      <w:r>
        <w:t xml:space="preserve">I don’t think those changes work.  First, entities should be included (I think that was just a typo when you stuck the parenthetical).  Second, my sense is that we would be better served both within the RDS and </w:t>
      </w:r>
      <w:proofErr w:type="gramStart"/>
      <w:r>
        <w:t>in connection with</w:t>
      </w:r>
      <w:proofErr w:type="gramEnd"/>
      <w:r>
        <w:t xml:space="preserve"> privacy authorities to provide the examples of common purposes, which are the items in the examples.   I would NOT include blasphemous as an example in the purpose statement b/c, based on what you’ve told us, we don’t have a sense at this stage how common an occurrence that is, and my preference is to only cite to what we know are common, every day uses of RDS data for legal actions.   I’m ok with expanding the relevant paragraph in item 2 to include it as follows (with the addition in bold/italics):</w:t>
      </w:r>
    </w:p>
    <w:p w:rsidR="008A2DA6" w:rsidRDefault="008A2DA6" w:rsidP="008A2DA6"/>
    <w:p w:rsidR="008A2DA6" w:rsidRDefault="008A2DA6" w:rsidP="008A2DA6">
      <w:pPr>
        <w:numPr>
          <w:ilvl w:val="0"/>
          <w:numId w:val="1"/>
        </w:numPr>
        <w:spacing w:after="160" w:line="252" w:lineRule="auto"/>
        <w:contextualSpacing/>
        <w:rPr>
          <w:rFonts w:eastAsia="Times New Roman"/>
          <w:sz w:val="24"/>
          <w:szCs w:val="24"/>
        </w:rPr>
      </w:pPr>
      <w:r>
        <w:rPr>
          <w:rFonts w:eastAsia="Times New Roman"/>
        </w:rPr>
        <w:t>LEA, prosecutors, or other governmental actors to investigate and enforce against possible criminal activity associated with the domain of interest or its registrant.  This has been used, for example, to investigate cybercrimes, money laundering, and sexual exploitation of children. There is also anecdotal evidence of LEA in certain countries using registrant data to investigate and/or prosecute possible crimes committed by journalists or protesters who have registered the domain of interest</w:t>
      </w:r>
      <w:r>
        <w:rPr>
          <w:rFonts w:eastAsia="Times New Roman"/>
          <w:b/>
          <w:bCs/>
          <w:i/>
          <w:iCs/>
        </w:rPr>
        <w:t>, such as for blasphemy</w:t>
      </w:r>
      <w:r>
        <w:rPr>
          <w:rFonts w:eastAsia="Times New Roman"/>
        </w:rPr>
        <w:t>.</w:t>
      </w:r>
    </w:p>
    <w:p w:rsidR="008A2DA6" w:rsidRDefault="008A2DA6" w:rsidP="008A2DA6">
      <w:pPr>
        <w:rPr>
          <w:sz w:val="24"/>
          <w:szCs w:val="24"/>
        </w:rPr>
      </w:pPr>
    </w:p>
    <w:p w:rsidR="008A2DA6" w:rsidRDefault="008A2DA6" w:rsidP="008A2DA6">
      <w:pPr>
        <w:rPr>
          <w:sz w:val="24"/>
          <w:szCs w:val="24"/>
        </w:rPr>
      </w:pPr>
      <w:r>
        <w:rPr>
          <w:sz w:val="24"/>
          <w:szCs w:val="24"/>
        </w:rPr>
        <w:t>Alternatively, I guess you could add this parenthetical to the purpose statement to address the concern, so that the purpose statement would read as follows (with the addition in bold/italics), but I not favor this approach.</w:t>
      </w:r>
    </w:p>
    <w:p w:rsidR="008A2DA6" w:rsidRDefault="008A2DA6" w:rsidP="008A2DA6">
      <w:pPr>
        <w:rPr>
          <w:sz w:val="24"/>
          <w:szCs w:val="24"/>
        </w:rPr>
      </w:pPr>
      <w:bookmarkStart w:id="0" w:name="_GoBack"/>
      <w:bookmarkEnd w:id="0"/>
    </w:p>
    <w:p w:rsidR="008A2DA6" w:rsidRDefault="008A2DA6" w:rsidP="008A2DA6">
      <w:r>
        <w:t xml:space="preserve">The “legal actions” purpose of RDS includes assisting certain parties or their legal representatives or agents to investigate and enforce civil and criminal laws, protect recognized legal rights, address online abuse or contractual compliance matters, or to assist parties defending against these kinds of activities as a matter of due process.   Such investigation and enforcement might include informal or formal investigations by private individuals or entities (e.g. business users to protect against consumer deception or fraud, IP owners to protect their rights, operational security or anti-abuse or reputational professionals to assist with investigations that may lead to litigation), governmental or quasi-governmental bodies relating to civil enforcement matters (e.g. consumer protection, fraud, tax evasion), or law enforcement agents or prosecutors relating to criminal enforcement </w:t>
      </w:r>
      <w:r>
        <w:rPr>
          <w:b/>
          <w:bCs/>
          <w:i/>
          <w:iCs/>
        </w:rPr>
        <w:t>(e.g. for crimes related to cybercrime, money laundering; sexual exploitation of children or in some countries in some contexts, for blasphemy)</w:t>
      </w:r>
      <w:r>
        <w:t xml:space="preserve">.  “Legal action” spans all stages and forums associated with these activities, including: investigative stages; communications with registrants, registration authorities or hosting providers, or administrative or technical personnel relevant to the domain at issue; arbitrations; civil litigations (private or public); and criminal prosecutions.    </w:t>
      </w:r>
    </w:p>
    <w:p w:rsidR="008A2DA6" w:rsidRDefault="008A2DA6" w:rsidP="008A2DA6">
      <w:pPr>
        <w:rPr>
          <w:sz w:val="24"/>
          <w:szCs w:val="24"/>
        </w:rPr>
      </w:pPr>
    </w:p>
    <w:p w:rsidR="008A2DA6" w:rsidRDefault="008A2DA6" w:rsidP="008A2DA6">
      <w:bookmarkStart w:id="1" w:name="_MailEndCompose"/>
    </w:p>
    <w:bookmarkEnd w:id="1"/>
    <w:p w:rsidR="008A2DA6" w:rsidRDefault="008A2DA6" w:rsidP="008A2DA6">
      <w:pPr>
        <w:outlineLvl w:val="0"/>
      </w:pPr>
      <w:r>
        <w:rPr>
          <w:b/>
          <w:bCs/>
        </w:rPr>
        <w:t>From:</w:t>
      </w:r>
      <w:r>
        <w:t xml:space="preserve"> farzaneh badii [</w:t>
      </w:r>
      <w:hyperlink r:id="rId5" w:history="1">
        <w:r>
          <w:rPr>
            <w:rStyle w:val="Hyperlink"/>
          </w:rPr>
          <w:t>mailto:farzaneh.badii@gmail.com</w:t>
        </w:r>
      </w:hyperlink>
      <w:r>
        <w:t xml:space="preserve">] </w:t>
      </w:r>
      <w:r>
        <w:br/>
      </w:r>
      <w:r>
        <w:rPr>
          <w:b/>
          <w:bCs/>
        </w:rPr>
        <w:t>Sent:</w:t>
      </w:r>
      <w:r>
        <w:t xml:space="preserve"> Tuesday, October 24, 2017 9:41 PM</w:t>
      </w:r>
      <w:r>
        <w:br/>
      </w:r>
      <w:r>
        <w:rPr>
          <w:b/>
          <w:bCs/>
        </w:rPr>
        <w:t>To:</w:t>
      </w:r>
      <w:r>
        <w:t xml:space="preserve"> Chuck &lt;</w:t>
      </w:r>
      <w:hyperlink r:id="rId6" w:history="1">
        <w:r>
          <w:rPr>
            <w:rStyle w:val="Hyperlink"/>
          </w:rPr>
          <w:t>consult@cgomes.com</w:t>
        </w:r>
      </w:hyperlink>
      <w:r>
        <w:t>&gt;</w:t>
      </w:r>
      <w:r>
        <w:br/>
      </w:r>
      <w:r>
        <w:rPr>
          <w:b/>
          <w:bCs/>
        </w:rPr>
        <w:t>Cc:</w:t>
      </w:r>
      <w:r>
        <w:t xml:space="preserve"> Victoria Sheckler &lt;</w:t>
      </w:r>
      <w:hyperlink r:id="rId7" w:history="1">
        <w:r>
          <w:rPr>
            <w:rStyle w:val="Hyperlink"/>
          </w:rPr>
          <w:t>vsheckler@riaa.com</w:t>
        </w:r>
      </w:hyperlink>
      <w:r>
        <w:t>&gt;; RDS PDP DT6 &lt;</w:t>
      </w:r>
      <w:hyperlink r:id="rId8" w:history="1">
        <w:r>
          <w:rPr>
            <w:rStyle w:val="Hyperlink"/>
          </w:rPr>
          <w:t>gnso-rds-pdp-6@icann.org</w:t>
        </w:r>
      </w:hyperlink>
      <w:r>
        <w:t>&gt;</w:t>
      </w:r>
      <w:r>
        <w:br/>
      </w:r>
      <w:r>
        <w:rPr>
          <w:b/>
          <w:bCs/>
        </w:rPr>
        <w:t>Subject:</w:t>
      </w:r>
      <w:r>
        <w:t xml:space="preserve"> Re: [Gnso-rds-pdp-6] [gnso-rds-pdp-6] revised draft</w:t>
      </w:r>
    </w:p>
    <w:p w:rsidR="008A2DA6" w:rsidRDefault="008A2DA6" w:rsidP="008A2DA6"/>
    <w:p w:rsidR="008A2DA6" w:rsidRDefault="008A2DA6" w:rsidP="008A2DA6">
      <w:r>
        <w:rPr>
          <w:rFonts w:ascii="Arial" w:hAnsi="Arial" w:cs="Arial"/>
        </w:rPr>
        <w:t>Hi Vicky,</w:t>
      </w:r>
    </w:p>
    <w:p w:rsidR="008A2DA6" w:rsidRDefault="008A2DA6" w:rsidP="008A2DA6"/>
    <w:p w:rsidR="008A2DA6" w:rsidRDefault="008A2DA6" w:rsidP="008A2DA6">
      <w:r>
        <w:rPr>
          <w:rFonts w:ascii="Arial" w:hAnsi="Arial" w:cs="Arial"/>
        </w:rPr>
        <w:t>Thanks for this. I don't think making examples in the purpose is a good idea and as I suggested in the call purpose should be broader. I suggest removing all the examples: </w:t>
      </w:r>
    </w:p>
    <w:p w:rsidR="008A2DA6" w:rsidRDefault="008A2DA6" w:rsidP="008A2DA6"/>
    <w:p w:rsidR="008A2DA6" w:rsidRDefault="008A2DA6" w:rsidP="008A2DA6">
      <w:r>
        <w:rPr>
          <w:rFonts w:ascii="Arial" w:hAnsi="Arial" w:cs="Arial"/>
        </w:rPr>
        <w:lastRenderedPageBreak/>
        <w:t xml:space="preserve">The “legal actions” purpose of RDS includes assisting certain parties or their legal representatives or agents to investigate and enforce civil and criminal laws, protect recognized legal rights, address online abuse or contractual compliance matters, or to assist parties defending against these kinds of activities as a matter of due process.   Such investigation and enforcement might include informal or formal investigations by private individuals or </w:t>
      </w:r>
      <w:r>
        <w:rPr>
          <w:rFonts w:ascii="Arial" w:hAnsi="Arial" w:cs="Arial"/>
          <w:strike/>
        </w:rPr>
        <w:t>entities (e.g. business users to protect against consumer deception or fraud, IP owners to protect their rights, operational security or anti-abuse or reputational professionals to assist with investigations that may lead to litigation),</w:t>
      </w:r>
      <w:r>
        <w:rPr>
          <w:rFonts w:ascii="Arial" w:hAnsi="Arial" w:cs="Arial"/>
        </w:rPr>
        <w:t xml:space="preserve"> governmental or quasi-governmental bodies relating to civil enforcement matters </w:t>
      </w:r>
      <w:r>
        <w:rPr>
          <w:rFonts w:ascii="Arial" w:hAnsi="Arial" w:cs="Arial"/>
          <w:strike/>
        </w:rPr>
        <w:t>(e.g. consumer protection, fraud, tax evasion)</w:t>
      </w:r>
      <w:r>
        <w:rPr>
          <w:rFonts w:ascii="Arial" w:hAnsi="Arial" w:cs="Arial"/>
        </w:rPr>
        <w:t>, or law enforcement agents or prosecutors relating to criminal enforcement.  “Legal action” spans all stages and forums associated with these activities, including investigative stages; communications with registrants, registration authorities or hosting providers, or administrative or technical personnel relevant to the domain at issue; arbitrations; civil litigations (private or public); and criminal prosecutions.    </w:t>
      </w:r>
    </w:p>
    <w:p w:rsidR="008A2DA6" w:rsidRDefault="008A2DA6" w:rsidP="008A2DA6"/>
    <w:p w:rsidR="008A2DA6" w:rsidRDefault="008A2DA6" w:rsidP="008A2DA6">
      <w:r>
        <w:rPr>
          <w:rFonts w:ascii="Arial" w:hAnsi="Arial" w:cs="Arial"/>
        </w:rPr>
        <w:t xml:space="preserve">If you don't agree, then we need to put the prosecution of civil rights activists, those accused of blasphemy </w:t>
      </w:r>
      <w:proofErr w:type="spellStart"/>
      <w:r>
        <w:rPr>
          <w:rFonts w:ascii="Arial" w:hAnsi="Arial" w:cs="Arial"/>
        </w:rPr>
        <w:t>etc</w:t>
      </w:r>
      <w:proofErr w:type="spellEnd"/>
      <w:r>
        <w:rPr>
          <w:rFonts w:ascii="Arial" w:hAnsi="Arial" w:cs="Arial"/>
        </w:rPr>
        <w:t xml:space="preserve"> as examples too. </w:t>
      </w:r>
    </w:p>
    <w:p w:rsidR="008A2DA6" w:rsidRDefault="008A2DA6" w:rsidP="008A2DA6"/>
    <w:p w:rsidR="008A2DA6" w:rsidRDefault="008A2DA6" w:rsidP="008A2DA6">
      <w:r>
        <w:rPr>
          <w:rFonts w:ascii="Arial" w:hAnsi="Arial" w:cs="Arial"/>
        </w:rPr>
        <w:t>Also in the annex, I was wondering if it would be possible to add my example to the table on page four, in the first row</w:t>
      </w:r>
    </w:p>
    <w:p w:rsidR="008A2DA6" w:rsidRDefault="008A2DA6" w:rsidP="008A2DA6">
      <w:r>
        <w:rPr>
          <w:rFonts w:ascii="Arial" w:hAnsi="Arial" w:cs="Arial"/>
        </w:rPr>
        <w:t> : Law enforcement in some countries use WHOIS data to identify protesters and journalists and website owners with “blasphemous” content and to take legal action against them.</w:t>
      </w:r>
    </w:p>
    <w:p w:rsidR="008A2DA6" w:rsidRDefault="008A2DA6" w:rsidP="008A2DA6">
      <w:pPr>
        <w:rPr>
          <w:rFonts w:ascii="Verdana" w:hAnsi="Verdana"/>
        </w:rPr>
      </w:pPr>
    </w:p>
    <w:p w:rsidR="008A2DA6" w:rsidRDefault="008A2DA6" w:rsidP="008A2DA6">
      <w:pPr>
        <w:rPr>
          <w:rFonts w:ascii="Verdana" w:hAnsi="Verdana"/>
        </w:rPr>
      </w:pPr>
      <w:r>
        <w:rPr>
          <w:rFonts w:ascii="Verdana" w:hAnsi="Verdana"/>
        </w:rPr>
        <w:t>I'll be packing and traveling tomorrow, will have intermittent access to Internet and laptop. </w:t>
      </w:r>
    </w:p>
    <w:p w:rsidR="008A2DA6" w:rsidRDefault="008A2DA6" w:rsidP="008A2DA6">
      <w:pPr>
        <w:rPr>
          <w:rFonts w:ascii="Verdana" w:hAnsi="Verdana"/>
        </w:rPr>
      </w:pPr>
    </w:p>
    <w:p w:rsidR="008A2DA6" w:rsidRDefault="008A2DA6" w:rsidP="008A2DA6">
      <w:pPr>
        <w:rPr>
          <w:rFonts w:ascii="Verdana" w:hAnsi="Verdana"/>
        </w:rPr>
      </w:pPr>
      <w:r>
        <w:rPr>
          <w:rFonts w:ascii="Verdana" w:hAnsi="Verdana"/>
        </w:rPr>
        <w:t>Best</w:t>
      </w:r>
    </w:p>
    <w:p w:rsidR="008A2DA6" w:rsidRDefault="008A2DA6" w:rsidP="008A2DA6">
      <w:r>
        <w:rPr>
          <w:rFonts w:ascii="Verdana" w:hAnsi="Verdana"/>
        </w:rPr>
        <w:t xml:space="preserve">Farzaneh </w:t>
      </w:r>
    </w:p>
    <w:p w:rsidR="008A2DA6" w:rsidRDefault="008A2DA6" w:rsidP="008A2DA6"/>
    <w:p w:rsidR="00311FB5" w:rsidRDefault="00311FB5"/>
    <w:sectPr w:rsidR="00311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365889"/>
    <w:multiLevelType w:val="hybridMultilevel"/>
    <w:tmpl w:val="8D8A51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A6"/>
    <w:rsid w:val="00311FB5"/>
    <w:rsid w:val="008A2DA6"/>
    <w:rsid w:val="00CB2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D72CC-0D03-457B-A1A3-7FC1BBBF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2DA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2D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72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so-rds-pdp-6@icann.org" TargetMode="External"/><Relationship Id="rId3" Type="http://schemas.openxmlformats.org/officeDocument/2006/relationships/settings" Target="settings.xml"/><Relationship Id="rId7" Type="http://schemas.openxmlformats.org/officeDocument/2006/relationships/hyperlink" Target="mailto:vsheckler@ria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sult@cgomes.com" TargetMode="External"/><Relationship Id="rId5" Type="http://schemas.openxmlformats.org/officeDocument/2006/relationships/hyperlink" Target="mailto:farzaneh.badii@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Sheckler</dc:creator>
  <cp:keywords/>
  <dc:description/>
  <cp:lastModifiedBy>Victoria Sheckler</cp:lastModifiedBy>
  <cp:revision>1</cp:revision>
  <dcterms:created xsi:type="dcterms:W3CDTF">2017-10-26T13:19:00Z</dcterms:created>
  <dcterms:modified xsi:type="dcterms:W3CDTF">2017-10-26T13:19:00Z</dcterms:modified>
</cp:coreProperties>
</file>