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Regional Internet Registries (RIRs) and Domain Name Registries (DNRs)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have historically maintained a lookup service to permit public access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to some portion of the registry database. Most registries offer the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service via the WHOIS protocol [</w:t>
      </w:r>
      <w:r>
        <w:rPr>
          <w:rFonts w:ascii="Courier" w:hAnsi="Courier" w:cs="Courier"/>
          <w:color w:val="0000FF"/>
          <w:sz w:val="20"/>
          <w:szCs w:val="20"/>
        </w:rPr>
        <w:t>RFC3912</w:t>
      </w:r>
      <w:r>
        <w:rPr>
          <w:rFonts w:ascii="Courier" w:hAnsi="Courier" w:cs="Courier"/>
          <w:color w:val="000000"/>
          <w:sz w:val="20"/>
          <w:szCs w:val="20"/>
        </w:rPr>
        <w:t>], with additional services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being offered via World Wide Web pages, bulk downloads, and other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services, such as Routing Policy Specification Language (RPSL)</w:t>
      </w:r>
    </w:p>
    <w:p w:rsidR="000F6C15" w:rsidRDefault="000F6C15" w:rsidP="000F6C15">
      <w:pPr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[</w:t>
      </w:r>
      <w:r>
        <w:rPr>
          <w:rFonts w:ascii="Courier" w:hAnsi="Courier" w:cs="Courier"/>
          <w:color w:val="0000FF"/>
          <w:sz w:val="20"/>
          <w:szCs w:val="20"/>
        </w:rPr>
        <w:t>RFC2622</w:t>
      </w:r>
      <w:r>
        <w:rPr>
          <w:rFonts w:ascii="Courier" w:hAnsi="Courier" w:cs="Courier"/>
          <w:color w:val="000000"/>
          <w:sz w:val="20"/>
          <w:szCs w:val="20"/>
        </w:rPr>
        <w:t>].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Shortcomings of the WHOIS protocol: 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o It has no query and response format.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o It does not support user authentication or access control for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differentiated access.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o It has not been internationalized and thus does not consistently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support Internationalized Domain Names (IDNs) as described in</w:t>
      </w:r>
    </w:p>
    <w:p w:rsidR="000F6C15" w:rsidRDefault="000F6C15" w:rsidP="000F6C15">
      <w:pPr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[</w:t>
      </w:r>
      <w:r>
        <w:rPr>
          <w:rFonts w:ascii="Courier" w:hAnsi="Courier" w:cs="Courier"/>
          <w:color w:val="0000FF"/>
          <w:sz w:val="20"/>
          <w:szCs w:val="20"/>
        </w:rPr>
        <w:t>RFC5890</w:t>
      </w:r>
      <w:r>
        <w:rPr>
          <w:rFonts w:ascii="Courier" w:hAnsi="Courier" w:cs="Courier"/>
          <w:color w:val="000000"/>
          <w:sz w:val="20"/>
          <w:szCs w:val="20"/>
        </w:rPr>
        <w:t>].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According to SPECIFICATION 4 ("SPECIFICATION FOR REGISTRATION DATA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PUBLICATION SERVICES") of the new gTLD applicant guidebook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[</w:t>
      </w:r>
      <w:r>
        <w:rPr>
          <w:rFonts w:ascii="Courier" w:hAnsi="Courier" w:cs="Courier"/>
          <w:color w:val="0000FF"/>
          <w:sz w:val="20"/>
          <w:szCs w:val="20"/>
        </w:rPr>
        <w:t>ICANN.AGB-201206</w:t>
      </w:r>
      <w:r>
        <w:rPr>
          <w:rFonts w:ascii="Courier" w:hAnsi="Courier" w:cs="Courier"/>
          <w:color w:val="000000"/>
          <w:sz w:val="20"/>
          <w:szCs w:val="20"/>
        </w:rPr>
        <w:t>] and the Extensible Provisioning Protocol (EPP)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([</w:t>
      </w:r>
      <w:r>
        <w:rPr>
          <w:rFonts w:ascii="Courier" w:hAnsi="Courier" w:cs="Courier"/>
          <w:color w:val="0000FF"/>
          <w:sz w:val="20"/>
          <w:szCs w:val="20"/>
        </w:rPr>
        <w:t>RFC5730</w:t>
      </w:r>
      <w:r>
        <w:rPr>
          <w:rFonts w:ascii="Courier" w:hAnsi="Courier" w:cs="Courier"/>
          <w:color w:val="000000"/>
          <w:sz w:val="20"/>
          <w:szCs w:val="20"/>
        </w:rPr>
        <w:t>], [</w:t>
      </w:r>
      <w:r>
        <w:rPr>
          <w:rFonts w:ascii="Courier" w:hAnsi="Courier" w:cs="Courier"/>
          <w:color w:val="0000FF"/>
          <w:sz w:val="20"/>
          <w:szCs w:val="20"/>
        </w:rPr>
        <w:t>RFC5731</w:t>
      </w:r>
      <w:r>
        <w:rPr>
          <w:rFonts w:ascii="Courier" w:hAnsi="Courier" w:cs="Courier"/>
          <w:color w:val="000000"/>
          <w:sz w:val="20"/>
          <w:szCs w:val="20"/>
        </w:rPr>
        <w:t>], [</w:t>
      </w:r>
      <w:r>
        <w:rPr>
          <w:rFonts w:ascii="Courier" w:hAnsi="Courier" w:cs="Courier"/>
          <w:color w:val="0000FF"/>
          <w:sz w:val="20"/>
          <w:szCs w:val="20"/>
        </w:rPr>
        <w:t>RFC5732</w:t>
      </w:r>
      <w:r>
        <w:rPr>
          <w:rFonts w:ascii="Courier" w:hAnsi="Courier" w:cs="Courier"/>
          <w:color w:val="000000"/>
          <w:sz w:val="20"/>
          <w:szCs w:val="20"/>
        </w:rPr>
        <w:t>], and [</w:t>
      </w:r>
      <w:r>
        <w:rPr>
          <w:rFonts w:ascii="Courier" w:hAnsi="Courier" w:cs="Courier"/>
          <w:color w:val="0000FF"/>
          <w:sz w:val="20"/>
          <w:szCs w:val="20"/>
        </w:rPr>
        <w:t>RFC5733</w:t>
      </w:r>
      <w:r>
        <w:rPr>
          <w:rFonts w:ascii="Courier" w:hAnsi="Courier" w:cs="Courier"/>
          <w:color w:val="000000"/>
          <w:sz w:val="20"/>
          <w:szCs w:val="20"/>
        </w:rPr>
        <w:t xml:space="preserve">]), the DNR data </w:t>
      </w:r>
      <w:r>
        <w:rPr>
          <w:rFonts w:ascii="Courier" w:hAnsi="Courier" w:cs="Courier"/>
          <w:sz w:val="20"/>
          <w:szCs w:val="20"/>
        </w:rPr>
        <w:t>objects are classified by whether they relate to the domain, contact,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nameserver, or registrar. Objects that do not belong to the</w:t>
      </w:r>
    </w:p>
    <w:p w:rsidR="000F6C15" w:rsidRDefault="000F6C15" w:rsidP="000F6C1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categories above are viewed as privately specified objects. WHOIS information, including port 43 response and web response data,</w:t>
      </w:r>
    </w:p>
    <w:p w:rsidR="000F6C15" w:rsidRDefault="000F6C15" w:rsidP="000F6C15">
      <w:pPr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was collected.</w:t>
      </w:r>
    </w:p>
    <w:p w:rsidR="00611E7E" w:rsidRDefault="00611E7E" w:rsidP="00611E7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bookmarkStart w:id="0" w:name="_GoBack"/>
      <w:bookmarkEnd w:id="0"/>
      <w:r>
        <w:rPr>
          <w:rFonts w:ascii="Courier" w:hAnsi="Courier" w:cs="Courier"/>
          <w:sz w:val="20"/>
          <w:szCs w:val="20"/>
        </w:rPr>
        <w:t>Statistics show that only a few registries support</w:t>
      </w:r>
    </w:p>
    <w:p w:rsidR="00611E7E" w:rsidRDefault="00611E7E" w:rsidP="00611E7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all the public objects, most of the registries support just some of</w:t>
      </w:r>
    </w:p>
    <w:p w:rsidR="00611E7E" w:rsidRDefault="00611E7E" w:rsidP="00611E7E">
      <w:r>
        <w:rPr>
          <w:rFonts w:ascii="Courier" w:hAnsi="Courier" w:cs="Courier"/>
          <w:sz w:val="20"/>
          <w:szCs w:val="20"/>
        </w:rPr>
        <w:t>the objects.</w:t>
      </w:r>
    </w:p>
    <w:sectPr w:rsidR="0061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76"/>
    <w:rsid w:val="000F6C15"/>
    <w:rsid w:val="0026057C"/>
    <w:rsid w:val="004C4C82"/>
    <w:rsid w:val="00611E7E"/>
    <w:rsid w:val="00693376"/>
    <w:rsid w:val="009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3718-5C84-47D9-9647-1B7DE894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Coupet</dc:creator>
  <cp:keywords/>
  <dc:description/>
  <cp:lastModifiedBy>Nathalie Coupet</cp:lastModifiedBy>
  <cp:revision>3</cp:revision>
  <dcterms:created xsi:type="dcterms:W3CDTF">2016-04-10T01:29:00Z</dcterms:created>
  <dcterms:modified xsi:type="dcterms:W3CDTF">2016-04-10T12:52:00Z</dcterms:modified>
</cp:coreProperties>
</file>