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line="340" w:lineRule="atLeast"/>
        <w:ind w:left="0" w:right="0" w:firstLine="0"/>
        <w:jc w:val="center"/>
        <w:rPr>
          <w:rFonts w:ascii="Times" w:cs="Times" w:hAnsi="Times" w:eastAsia="Times"/>
          <w:b w:val="1"/>
          <w:bCs w:val="1"/>
          <w:caps w:val="0"/>
          <w:smallCaps w:val="0"/>
          <w:sz w:val="24"/>
          <w:szCs w:val="24"/>
          <w:rtl w:val="0"/>
        </w:rPr>
      </w:pPr>
      <w:r>
        <w:rPr>
          <w:rFonts w:ascii="Arial" w:hAnsi="Arial"/>
          <w:b w:val="1"/>
          <w:bCs w:val="1"/>
          <w:caps w:val="0"/>
          <w:smallCaps w:val="0"/>
          <w:sz w:val="28"/>
          <w:szCs w:val="28"/>
          <w:rtl w:val="0"/>
        </w:rPr>
        <mc:AlternateContent>
          <mc:Choice Requires="wps">
            <w:drawing>
              <wp:anchor distT="152400" distB="152400" distL="152400" distR="152400" simplePos="0" relativeHeight="251659264" behindDoc="0" locked="0" layoutInCell="1" allowOverlap="1">
                <wp:simplePos x="0" y="0"/>
                <wp:positionH relativeFrom="margin">
                  <wp:posOffset>0</wp:posOffset>
                </wp:positionH>
                <wp:positionV relativeFrom="page">
                  <wp:posOffset>732700</wp:posOffset>
                </wp:positionV>
                <wp:extent cx="6120056" cy="584994"/>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120056" cy="584994"/>
                        </a:xfrm>
                        <a:prstGeom prst="rect">
                          <a:avLst/>
                        </a:prstGeom>
                        <a:solidFill>
                          <a:srgbClr val="BFBFBF"/>
                        </a:solidFill>
                        <a:ln w="25400" cap="flat">
                          <a:solidFill>
                            <a:srgbClr val="000000"/>
                          </a:solidFill>
                          <a:prstDash val="solid"/>
                          <a:miter lim="400000"/>
                        </a:ln>
                        <a:effectLst/>
                      </wps:spPr>
                      <wps:txbx>
                        <w:txbxContent>
                          <w:p>
                            <w:pPr>
                              <w:pStyle w:val="Label Dark"/>
                            </w:pPr>
                            <w:r>
                              <w:rPr>
                                <w:rtl w:val="0"/>
                                <w:lang w:val="en-US"/>
                              </w:rPr>
                              <w:t xml:space="preserve">DESCRIPTION </w:t>
                            </w:r>
                            <w:r>
                              <w:rPr>
                                <w:rtl w:val="0"/>
                                <w:lang w:val="en-US"/>
                              </w:rPr>
                              <w:t>of</w:t>
                            </w:r>
                            <w:r>
                              <w:rPr>
                                <w:rtl w:val="0"/>
                              </w:rPr>
                              <w:t xml:space="preserve"> 2013 R</w:t>
                            </w:r>
                            <w:r>
                              <w:rPr>
                                <w:rtl w:val="0"/>
                                <w:lang w:val="en-US"/>
                              </w:rPr>
                              <w:t>A</w:t>
                            </w:r>
                            <w:r>
                              <w:rPr>
                                <w:caps w:val="1"/>
                                <w:rtl w:val="0"/>
                                <w:lang w:val="en-US"/>
                              </w:rPr>
                              <w:t>A</w:t>
                            </w:r>
                            <w:r>
                              <w:rPr>
                                <w:rtl w:val="0"/>
                                <w:lang w:val="en-US"/>
                              </w:rPr>
                              <w:t xml:space="preserve"> DATA RETENTION SPECIFICATION DATA ELEMENTS AND POTENTIALLY LEGITIMATE PURPOSES FOR COLLECTION/RETENTION </w:t>
                            </w:r>
                          </w:p>
                        </w:txbxContent>
                      </wps:txbx>
                      <wps:bodyPr wrap="square" lIns="50800" tIns="50800" rIns="50800" bIns="50800" numCol="1" anchor="t">
                        <a:noAutofit/>
                      </wps:bodyPr>
                    </wps:wsp>
                  </a:graphicData>
                </a:graphic>
              </wp:anchor>
            </w:drawing>
          </mc:Choice>
          <mc:Fallback>
            <w:pict>
              <v:rect id="_x0000_s1026" style="visibility:visible;position:absolute;margin-left:0.0pt;margin-top:57.7pt;width:481.9pt;height:46.1pt;z-index:251659264;mso-position-horizontal:absolute;mso-position-horizontal-relative:margin;mso-position-vertical:absolute;mso-position-vertical-relative:page;mso-wrap-distance-left:12.0pt;mso-wrap-distance-top:12.0pt;mso-wrap-distance-right:12.0pt;mso-wrap-distance-bottom:12.0pt;">
                <v:fill color="#BFBFBF" opacity="100.0%" type="solid"/>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Label Dark"/>
                      </w:pPr>
                      <w:r>
                        <w:rPr>
                          <w:rtl w:val="0"/>
                          <w:lang w:val="en-US"/>
                        </w:rPr>
                        <w:t xml:space="preserve">DESCRIPTION </w:t>
                      </w:r>
                      <w:r>
                        <w:rPr>
                          <w:rtl w:val="0"/>
                          <w:lang w:val="en-US"/>
                        </w:rPr>
                        <w:t>of</w:t>
                      </w:r>
                      <w:r>
                        <w:rPr>
                          <w:rtl w:val="0"/>
                        </w:rPr>
                        <w:t xml:space="preserve"> 2013 R</w:t>
                      </w:r>
                      <w:r>
                        <w:rPr>
                          <w:rtl w:val="0"/>
                          <w:lang w:val="en-US"/>
                        </w:rPr>
                        <w:t>A</w:t>
                      </w:r>
                      <w:r>
                        <w:rPr>
                          <w:caps w:val="1"/>
                          <w:rtl w:val="0"/>
                          <w:lang w:val="en-US"/>
                        </w:rPr>
                        <w:t>A</w:t>
                      </w:r>
                      <w:r>
                        <w:rPr>
                          <w:rtl w:val="0"/>
                          <w:lang w:val="en-US"/>
                        </w:rPr>
                        <w:t xml:space="preserve"> DATA RETENTION SPECIFICATION DATA ELEMENTS AND POTENTIALLY LEGITIMATE PURPOSES FOR COLLECTION/RETENTION </w:t>
                      </w:r>
                    </w:p>
                  </w:txbxContent>
                </v:textbox>
                <w10:wrap type="topAndBottom" side="bothSides" anchorx="margin" anchory="page"/>
              </v:rect>
            </w:pict>
          </mc:Fallback>
        </mc:AlternateContent>
      </w:r>
    </w:p>
    <w:p>
      <w:pPr>
        <w:pStyle w:val="Body"/>
        <w:spacing w:after="120"/>
        <w:rPr>
          <w:rFonts w:ascii="Arial" w:cs="Arial" w:hAnsi="Arial" w:eastAsia="Arial"/>
          <w:b w:val="1"/>
          <w:bCs w:val="1"/>
          <w:sz w:val="24"/>
          <w:szCs w:val="24"/>
          <w:u w:val="single"/>
        </w:rPr>
      </w:pPr>
      <w:r>
        <w:rPr>
          <w:rFonts w:ascii="Arial" w:hAnsi="Arial"/>
          <w:b w:val="1"/>
          <w:bCs w:val="1"/>
          <w:sz w:val="24"/>
          <w:szCs w:val="24"/>
          <w:u w:val="single"/>
          <w:rtl w:val="0"/>
          <w:lang w:val="en-US"/>
        </w:rPr>
        <w:t>Summary</w:t>
      </w:r>
    </w:p>
    <w:p>
      <w:pPr>
        <w:pStyle w:val="Body"/>
        <w:rPr>
          <w:rFonts w:ascii="Arial" w:cs="Arial" w:hAnsi="Arial" w:eastAsia="Arial"/>
          <w:sz w:val="24"/>
          <w:szCs w:val="24"/>
        </w:rPr>
      </w:pPr>
      <w:r>
        <w:rPr>
          <w:rFonts w:ascii="Arial" w:hAnsi="Arial"/>
          <w:sz w:val="24"/>
          <w:szCs w:val="24"/>
          <w:rtl w:val="0"/>
          <w:lang w:val="en-US"/>
        </w:rPr>
        <w:t xml:space="preserve">This document lists  and describes all </w:t>
      </w:r>
      <w:r>
        <w:rPr>
          <w:rFonts w:ascii="Arial" w:hAnsi="Arial"/>
          <w:b w:val="1"/>
          <w:bCs w:val="1"/>
          <w:sz w:val="24"/>
          <w:szCs w:val="24"/>
          <w:rtl w:val="0"/>
          <w:lang w:val="en-US"/>
        </w:rPr>
        <w:t>data elements that can be collected by the registrars in accordance with the 2013 RAA</w:t>
      </w:r>
      <w:r>
        <w:rPr>
          <w:rFonts w:ascii="Arial" w:hAnsi="Arial"/>
          <w:sz w:val="24"/>
          <w:szCs w:val="24"/>
          <w:rtl w:val="0"/>
          <w:lang w:val="en-US"/>
        </w:rPr>
        <w:t xml:space="preserve"> and it provides reasons / legitimate purposes for that collection and retention.</w:t>
      </w:r>
    </w:p>
    <w:p>
      <w:pPr>
        <w:pStyle w:val="Body"/>
        <w:rPr>
          <w:rFonts w:ascii="Arial" w:cs="Arial" w:hAnsi="Arial" w:eastAsia="Arial"/>
          <w:sz w:val="24"/>
          <w:szCs w:val="24"/>
        </w:rPr>
      </w:pPr>
      <w:r>
        <w:rPr>
          <w:rFonts w:ascii="Arial" w:hAnsi="Arial"/>
          <w:sz w:val="24"/>
          <w:szCs w:val="24"/>
          <w:rtl w:val="0"/>
          <w:lang w:val="en-US"/>
        </w:rPr>
        <w:t>I grouped the data elements per types of reasons</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spacing w:after="120"/>
        <w:rPr>
          <w:rFonts w:ascii="Arial" w:cs="Arial" w:hAnsi="Arial" w:eastAsia="Arial"/>
          <w:b w:val="1"/>
          <w:bCs w:val="1"/>
          <w:sz w:val="24"/>
          <w:szCs w:val="24"/>
          <w:u w:val="single"/>
        </w:rPr>
      </w:pPr>
      <w:r>
        <w:rPr>
          <w:rFonts w:ascii="Arial" w:hAnsi="Arial"/>
          <w:b w:val="1"/>
          <w:bCs w:val="1"/>
          <w:sz w:val="24"/>
          <w:szCs w:val="24"/>
          <w:u w:val="single"/>
          <w:rtl w:val="0"/>
          <w:lang w:val="en-US"/>
        </w:rPr>
        <w:t>1) Standard data elements:</w:t>
      </w:r>
    </w:p>
    <w:p>
      <w:pPr>
        <w:pStyle w:val="Body"/>
        <w:numPr>
          <w:ilvl w:val="0"/>
          <w:numId w:val="2"/>
        </w:numPr>
        <w:spacing w:after="120"/>
        <w:rPr>
          <w:rFonts w:ascii="Arial" w:cs="Arial" w:hAnsi="Arial" w:eastAsia="Arial"/>
          <w:sz w:val="24"/>
          <w:szCs w:val="24"/>
          <w:lang w:val="en-US"/>
        </w:rPr>
      </w:pPr>
      <w:r>
        <w:rPr>
          <w:rFonts w:ascii="Arial" w:hAnsi="Arial"/>
          <w:sz w:val="24"/>
          <w:szCs w:val="24"/>
          <w:rtl w:val="0"/>
          <w:lang w:val="en-US"/>
        </w:rPr>
        <w:t>F</w:t>
      </w:r>
      <w:r>
        <w:rPr>
          <w:rFonts w:ascii="Arial" w:hAnsi="Arial"/>
          <w:rtl w:val="0"/>
          <w:lang w:val="en-US"/>
        </w:rPr>
        <w:t>irst and last name of the registrant; Title of registrant</w:t>
      </w:r>
      <w:r>
        <w:rPr>
          <w:rFonts w:ascii="Arial" w:hAnsi="Arial" w:hint="default"/>
          <w:rtl w:val="0"/>
          <w:lang w:val="en-US"/>
        </w:rPr>
        <w:t>’</w:t>
      </w:r>
      <w:r>
        <w:rPr>
          <w:rFonts w:ascii="Arial" w:hAnsi="Arial"/>
          <w:rtl w:val="0"/>
          <w:lang w:val="en-US"/>
        </w:rPr>
        <w:t>s administrative contact, Technical contact and billing contact, Postal address, Email address, Telephone number.</w:t>
      </w:r>
    </w:p>
    <w:p>
      <w:pPr>
        <w:pStyle w:val="Body"/>
        <w:numPr>
          <w:ilvl w:val="0"/>
          <w:numId w:val="3"/>
        </w:numPr>
        <w:spacing w:after="120"/>
        <w:rPr>
          <w:rFonts w:ascii="Arial" w:cs="Arial" w:hAnsi="Arial" w:eastAsia="Arial"/>
          <w:lang w:val="en-US"/>
        </w:rPr>
      </w:pPr>
      <w:r>
        <w:rPr>
          <w:rFonts w:ascii="Arial" w:hAnsi="Arial"/>
          <w:rtl w:val="0"/>
          <w:lang w:val="en-US"/>
        </w:rPr>
        <w:t>Types of domain name services purchased</w:t>
      </w:r>
      <w:r>
        <w:rPr>
          <w:rFonts w:ascii="Arial" w:hAnsi="Arial"/>
          <w:rtl w:val="0"/>
          <w:lang w:val="en-US"/>
        </w:rPr>
        <w:t>.</w:t>
      </w:r>
    </w:p>
    <w:p>
      <w:pPr>
        <w:pStyle w:val="Body"/>
        <w:numPr>
          <w:ilvl w:val="0"/>
          <w:numId w:val="3"/>
        </w:numPr>
        <w:spacing w:after="120"/>
        <w:rPr>
          <w:rFonts w:ascii="Arial" w:cs="Arial" w:hAnsi="Arial" w:eastAsia="Arial"/>
          <w:sz w:val="24"/>
          <w:szCs w:val="24"/>
          <w:lang w:val="en-US"/>
        </w:rPr>
      </w:pPr>
      <w:r>
        <w:rPr>
          <w:rFonts w:ascii="Arial" w:hAnsi="Arial"/>
          <w:rtl w:val="0"/>
          <w:lang w:val="en-US"/>
        </w:rPr>
        <w:t>Data required to process recurring payments or any i</w:t>
      </w:r>
      <w:r>
        <w:rPr>
          <w:rFonts w:ascii="Arial" w:hAnsi="Arial"/>
          <w:rtl w:val="0"/>
          <w:lang w:val="en-US"/>
        </w:rPr>
        <w:t>nformation regarding the means and source of payment reasonably necessary for the Registrar to process the Registration transaction</w:t>
      </w:r>
      <w:r>
        <w:rPr>
          <w:rFonts w:ascii="Arial" w:hAnsi="Arial"/>
          <w:rtl w:val="0"/>
          <w:lang w:val="en-US"/>
        </w:rPr>
        <w:t>.</w:t>
      </w:r>
    </w:p>
    <w:p>
      <w:pPr>
        <w:pStyle w:val="Body"/>
        <w:spacing w:after="120"/>
        <w:rPr>
          <w:rFonts w:ascii="Arial" w:cs="Arial" w:hAnsi="Arial" w:eastAsia="Arial"/>
          <w:sz w:val="24"/>
          <w:szCs w:val="24"/>
          <w:u w:val="single"/>
        </w:rPr>
      </w:pPr>
      <w:r>
        <w:rPr>
          <w:rFonts w:ascii="Arial" w:hAnsi="Arial"/>
          <w:sz w:val="24"/>
          <w:szCs w:val="24"/>
          <w:u w:val="single"/>
          <w:rtl w:val="0"/>
          <w:lang w:val="en-US"/>
        </w:rPr>
        <w:t>Reasons for collection:</w:t>
      </w:r>
    </w:p>
    <w:p>
      <w:pPr>
        <w:pStyle w:val="Body"/>
        <w:numPr>
          <w:ilvl w:val="0"/>
          <w:numId w:val="3"/>
        </w:numPr>
        <w:jc w:val="left"/>
        <w:rPr>
          <w:rFonts w:ascii="Arial" w:cs="Arial" w:hAnsi="Arial" w:eastAsia="Arial"/>
          <w:lang w:val="en-US"/>
        </w:rPr>
      </w:pPr>
      <w:r>
        <w:rPr>
          <w:rFonts w:ascii="Arial" w:hAnsi="Arial"/>
          <w:rtl w:val="0"/>
          <w:lang w:val="en-US"/>
        </w:rPr>
        <w:t>Registrar's internal use for administration of the contract with Registrant both during and for some period of time after the registration (to address hijacking, theft, slamming and to facilitate resolution of transfer disputes in accordance with the TDRP) Billing</w:t>
      </w:r>
      <w:r>
        <w:rPr>
          <w:rFonts w:ascii="Arial" w:hAnsi="Arial"/>
          <w:rtl w:val="0"/>
          <w:lang w:val="en-US"/>
        </w:rPr>
        <w:t>;</w:t>
      </w:r>
      <w:r>
        <w:rPr>
          <w:rFonts w:ascii="Arial" w:hAnsi="Arial"/>
          <w:sz w:val="24"/>
          <w:szCs w:val="24"/>
          <w:rtl w:val="0"/>
          <w:lang w:val="en-US"/>
        </w:rPr>
        <w:t xml:space="preserve"> </w:t>
      </w:r>
      <w:r>
        <w:rPr>
          <w:rFonts w:ascii="Arial" w:hAnsi="Arial"/>
          <w:rtl w:val="0"/>
          <w:lang w:val="en-US"/>
        </w:rPr>
        <w:t>Billing disputes</w:t>
      </w:r>
      <w:r>
        <w:rPr>
          <w:rFonts w:ascii="Arial" w:hAnsi="Arial"/>
          <w:rtl w:val="0"/>
          <w:lang w:val="en-US"/>
        </w:rPr>
        <w:t>;</w:t>
      </w:r>
      <w:r>
        <w:rPr>
          <w:rFonts w:ascii="Arial" w:hAnsi="Arial"/>
          <w:rtl w:val="0"/>
          <w:lang w:val="de-DE"/>
        </w:rPr>
        <w:t xml:space="preserve"> Chargebacks</w:t>
      </w:r>
      <w:r>
        <w:rPr>
          <w:rFonts w:ascii="Arial" w:hAnsi="Arial"/>
          <w:rtl w:val="0"/>
          <w:lang w:val="en-US"/>
        </w:rPr>
        <w:t>.</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spacing w:after="120"/>
        <w:rPr>
          <w:rFonts w:ascii="Arial" w:cs="Arial" w:hAnsi="Arial" w:eastAsia="Arial"/>
          <w:b w:val="1"/>
          <w:bCs w:val="1"/>
          <w:sz w:val="24"/>
          <w:szCs w:val="24"/>
          <w:u w:val="single"/>
        </w:rPr>
      </w:pPr>
      <w:r>
        <w:rPr>
          <w:rFonts w:ascii="Arial" w:hAnsi="Arial"/>
          <w:b w:val="1"/>
          <w:bCs w:val="1"/>
          <w:sz w:val="24"/>
          <w:szCs w:val="24"/>
          <w:u w:val="single"/>
          <w:rtl w:val="0"/>
          <w:lang w:val="en-US"/>
        </w:rPr>
        <w:t xml:space="preserve">2) </w:t>
      </w:r>
      <w:r>
        <w:rPr>
          <w:rFonts w:ascii="Arial" w:hAnsi="Arial"/>
          <w:b w:val="1"/>
          <w:bCs w:val="1"/>
          <w:sz w:val="24"/>
          <w:szCs w:val="24"/>
          <w:u w:val="single"/>
          <w:rtl w:val="0"/>
          <w:lang w:val="en-US"/>
        </w:rPr>
        <w:t xml:space="preserve">WHOIS information </w:t>
      </w:r>
      <w:r>
        <w:rPr>
          <w:rFonts w:ascii="Arial" w:hAnsi="Arial"/>
          <w:b w:val="1"/>
          <w:bCs w:val="1"/>
          <w:sz w:val="24"/>
          <w:szCs w:val="24"/>
          <w:u w:val="single"/>
          <w:rtl w:val="0"/>
          <w:lang w:val="en-US"/>
        </w:rPr>
        <w:t>:</w:t>
      </w:r>
    </w:p>
    <w:p>
      <w:pPr>
        <w:pStyle w:val="Body"/>
        <w:numPr>
          <w:ilvl w:val="0"/>
          <w:numId w:val="3"/>
        </w:numPr>
        <w:spacing w:after="120"/>
        <w:rPr>
          <w:rFonts w:ascii="Arial" w:cs="Arial" w:hAnsi="Arial" w:eastAsia="Arial"/>
          <w:sz w:val="24"/>
          <w:szCs w:val="24"/>
          <w:lang w:val="en-US"/>
        </w:rPr>
      </w:pPr>
      <w:r>
        <w:rPr>
          <w:rFonts w:ascii="Arial" w:hAnsi="Arial"/>
          <w:rtl w:val="0"/>
          <w:lang w:val="en-US"/>
        </w:rPr>
        <w:t xml:space="preserve">Data Enabling Registrar to populate and make available to the public community the WHOIS register both during and for some period of time after the registration (to address hijacking, theft, slamming and to facilitate resolution of transfer disputes in accordance with the TDRP) </w:t>
      </w:r>
    </w:p>
    <w:p>
      <w:pPr>
        <w:pStyle w:val="Body"/>
        <w:spacing w:after="120"/>
        <w:rPr>
          <w:rFonts w:ascii="Arial" w:cs="Arial" w:hAnsi="Arial" w:eastAsia="Arial"/>
          <w:sz w:val="24"/>
          <w:szCs w:val="24"/>
          <w:u w:val="single"/>
        </w:rPr>
      </w:pPr>
      <w:r>
        <w:rPr>
          <w:rFonts w:ascii="Arial" w:hAnsi="Arial"/>
          <w:sz w:val="24"/>
          <w:szCs w:val="24"/>
          <w:u w:val="single"/>
          <w:rtl w:val="0"/>
          <w:lang w:val="en-US"/>
        </w:rPr>
        <w:t>Reasons for collection:</w:t>
      </w:r>
    </w:p>
    <w:p>
      <w:pPr>
        <w:pStyle w:val="Body"/>
        <w:numPr>
          <w:ilvl w:val="0"/>
          <w:numId w:val="3"/>
        </w:numPr>
        <w:spacing w:after="120"/>
        <w:rPr>
          <w:rFonts w:ascii="Arial" w:cs="Arial" w:hAnsi="Arial" w:eastAsia="Arial"/>
          <w:lang w:val="en-US"/>
        </w:rPr>
      </w:pPr>
      <w:r>
        <w:rPr>
          <w:rFonts w:ascii="Arial" w:hAnsi="Arial"/>
          <w:rtl w:val="0"/>
          <w:lang w:val="en-US"/>
        </w:rPr>
        <w:t>Abuse mitigation</w:t>
      </w:r>
      <w:r>
        <w:rPr>
          <w:rFonts w:ascii="Arial" w:hAnsi="Arial"/>
          <w:rtl w:val="0"/>
          <w:lang w:val="en-US"/>
        </w:rPr>
        <w:t xml:space="preserve">, </w:t>
      </w:r>
      <w:r>
        <w:rPr>
          <w:rFonts w:ascii="Arial" w:hAnsi="Arial"/>
          <w:rtl w:val="0"/>
          <w:lang w:val="en-US"/>
        </w:rPr>
        <w:t xml:space="preserve">Facilitating domain name purchases and sales </w:t>
      </w:r>
    </w:p>
    <w:p>
      <w:pPr>
        <w:pStyle w:val="Body"/>
        <w:spacing w:after="120"/>
        <w:rPr>
          <w:rFonts w:ascii="Arial" w:cs="Arial" w:hAnsi="Arial" w:eastAsia="Arial"/>
        </w:rPr>
      </w:pPr>
    </w:p>
    <w:p>
      <w:pPr>
        <w:pStyle w:val="Body"/>
        <w:spacing w:after="120"/>
        <w:rPr>
          <w:rFonts w:ascii="Arial" w:cs="Arial" w:hAnsi="Arial" w:eastAsia="Arial"/>
          <w:sz w:val="24"/>
          <w:szCs w:val="24"/>
        </w:rPr>
      </w:pPr>
      <w:r>
        <w:rPr>
          <w:rFonts w:ascii="Arial" w:hAnsi="Arial"/>
          <w:b w:val="1"/>
          <w:bCs w:val="1"/>
          <w:u w:val="single"/>
          <w:rtl w:val="0"/>
          <w:lang w:val="en-US"/>
        </w:rPr>
        <w:t xml:space="preserve">3) </w:t>
      </w:r>
      <w:r>
        <w:rPr>
          <w:rFonts w:ascii="Arial" w:hAnsi="Arial"/>
          <w:b w:val="1"/>
          <w:bCs w:val="1"/>
          <w:sz w:val="24"/>
          <w:szCs w:val="24"/>
          <w:u w:val="single"/>
          <w:rtl w:val="0"/>
          <w:lang w:val="en-US"/>
        </w:rPr>
        <w:t>Records of communications with the registrant regarding the registration:</w:t>
      </w:r>
      <w:r>
        <w:rPr>
          <w:rFonts w:ascii="Arial" w:hAnsi="Arial"/>
          <w:sz w:val="24"/>
          <w:szCs w:val="24"/>
          <w:rtl w:val="0"/>
          <w:lang w:val="en-US"/>
        </w:rPr>
        <w:t xml:space="preserve"> </w:t>
      </w:r>
    </w:p>
    <w:p>
      <w:pPr>
        <w:pStyle w:val="Body"/>
        <w:numPr>
          <w:ilvl w:val="0"/>
          <w:numId w:val="5"/>
        </w:numPr>
        <w:spacing w:after="120"/>
        <w:rPr>
          <w:rFonts w:ascii="Arial" w:cs="Arial" w:hAnsi="Arial" w:eastAsia="Arial"/>
          <w:sz w:val="24"/>
          <w:szCs w:val="24"/>
          <w:u w:val="none"/>
          <w:lang w:val="en-US"/>
        </w:rPr>
      </w:pPr>
      <w:r>
        <w:rPr>
          <w:rFonts w:ascii="Arial" w:hAnsi="Arial"/>
          <w:sz w:val="24"/>
          <w:szCs w:val="24"/>
          <w:rtl w:val="0"/>
          <w:lang w:val="en-US"/>
        </w:rPr>
        <w:t>I</w:t>
      </w:r>
      <w:r>
        <w:rPr>
          <w:rFonts w:ascii="Arial" w:hAnsi="Arial"/>
          <w:u w:val="none"/>
          <w:rtl w:val="0"/>
          <w:lang w:val="en-US"/>
        </w:rPr>
        <w:t xml:space="preserve">nformation regarding website visits </w:t>
      </w:r>
      <w:r>
        <w:rPr>
          <w:rFonts w:ascii="Arial" w:hAnsi="Arial"/>
          <w:u w:val="none"/>
          <w:rtl w:val="0"/>
          <w:lang w:val="en-US"/>
        </w:rPr>
        <w:t xml:space="preserve">and stored </w:t>
      </w:r>
      <w:r>
        <w:rPr>
          <w:rFonts w:ascii="Arial" w:hAnsi="Arial"/>
          <w:u w:val="none"/>
          <w:rtl w:val="0"/>
          <w:lang w:val="da-DK"/>
        </w:rPr>
        <w:t xml:space="preserve">in log files </w:t>
      </w:r>
    </w:p>
    <w:p>
      <w:pPr>
        <w:pStyle w:val="Body"/>
        <w:numPr>
          <w:ilvl w:val="0"/>
          <w:numId w:val="6"/>
        </w:numPr>
        <w:spacing w:after="120"/>
        <w:rPr>
          <w:rFonts w:ascii="Arial" w:cs="Arial" w:hAnsi="Arial" w:eastAsia="Arial"/>
          <w:lang w:val="en-US"/>
        </w:rPr>
      </w:pPr>
      <w:r>
        <w:rPr>
          <w:rFonts w:ascii="Arial" w:hAnsi="Arial"/>
          <w:rtl w:val="0"/>
          <w:lang w:val="en-US"/>
        </w:rPr>
        <w:t xml:space="preserve">Log files including communication sources, IP, ISP, behaviour on the website, method of transmission, source IP address, HTTP header, email, Skype handle associated with communication ; </w:t>
      </w:r>
    </w:p>
    <w:p>
      <w:pPr>
        <w:pStyle w:val="Body"/>
        <w:numPr>
          <w:ilvl w:val="0"/>
          <w:numId w:val="6"/>
        </w:numPr>
        <w:spacing w:after="120"/>
        <w:rPr>
          <w:rFonts w:ascii="Arial" w:cs="Arial" w:hAnsi="Arial" w:eastAsia="Arial"/>
          <w:lang w:val="en-US"/>
        </w:rPr>
      </w:pPr>
      <w:r>
        <w:rPr>
          <w:rFonts w:ascii="Arial" w:hAnsi="Arial"/>
          <w:rtl w:val="0"/>
          <w:lang w:val="en-US"/>
        </w:rPr>
        <w:t>log files including dates, times and time zones of communications and sessions, including the initial registration. Registrars and registry operators utilise Extensible Provisioning Protocol (EPP) to track, manage and reconcile the status of domain name registrations. Log files of EPP records indicates when a registration is first made, when it is transferred or deleted, modified etc. Assign unique authorisation codes to event s as a security measures to prevent unauthorised transfer, deletion or author abuse.</w:t>
      </w:r>
    </w:p>
    <w:p>
      <w:pPr>
        <w:pStyle w:val="Body"/>
        <w:rPr>
          <w:rFonts w:ascii="Arial" w:cs="Arial" w:hAnsi="Arial" w:eastAsia="Arial"/>
        </w:rPr>
      </w:pPr>
    </w:p>
    <w:p>
      <w:pPr>
        <w:pStyle w:val="Body"/>
        <w:rPr>
          <w:rFonts w:ascii="Arial" w:cs="Arial" w:hAnsi="Arial" w:eastAsia="Arial"/>
          <w:u w:val="single"/>
        </w:rPr>
      </w:pPr>
      <w:r>
        <w:rPr>
          <w:rFonts w:ascii="Arial" w:hAnsi="Arial"/>
          <w:u w:val="single"/>
          <w:rtl w:val="0"/>
          <w:lang w:val="en-US"/>
        </w:rPr>
        <w:t>Reasons for collection:</w:t>
      </w:r>
    </w:p>
    <w:p>
      <w:pPr>
        <w:pStyle w:val="Body"/>
        <w:numPr>
          <w:ilvl w:val="0"/>
          <w:numId w:val="6"/>
        </w:numPr>
        <w:spacing w:after="120"/>
        <w:rPr>
          <w:rFonts w:ascii="Arial" w:cs="Arial" w:hAnsi="Arial" w:eastAsia="Arial"/>
          <w:lang w:val="en-US"/>
        </w:rPr>
      </w:pPr>
      <w:r>
        <w:rPr>
          <w:rFonts w:ascii="Arial" w:hAnsi="Arial"/>
          <w:rtl w:val="0"/>
          <w:lang w:val="en-US"/>
        </w:rPr>
        <w:t>Fraud prevention</w:t>
      </w:r>
    </w:p>
    <w:p>
      <w:pPr>
        <w:pStyle w:val="Body"/>
        <w:numPr>
          <w:ilvl w:val="0"/>
          <w:numId w:val="6"/>
        </w:numPr>
        <w:spacing w:after="120"/>
        <w:rPr>
          <w:rFonts w:ascii="Arial" w:cs="Arial" w:hAnsi="Arial" w:eastAsia="Arial"/>
          <w:lang w:val="en-US"/>
        </w:rPr>
      </w:pPr>
      <w:r>
        <w:rPr>
          <w:rFonts w:ascii="Arial" w:hAnsi="Arial"/>
          <w:rtl w:val="0"/>
          <w:lang w:val="en-US"/>
        </w:rPr>
        <w:t>Billing disputes</w:t>
      </w:r>
    </w:p>
    <w:p>
      <w:pPr>
        <w:pStyle w:val="Body"/>
        <w:numPr>
          <w:ilvl w:val="0"/>
          <w:numId w:val="6"/>
        </w:numPr>
        <w:spacing w:after="120"/>
        <w:rPr>
          <w:rFonts w:ascii="Arial" w:cs="Arial" w:hAnsi="Arial" w:eastAsia="Arial"/>
          <w:lang w:val="en-US"/>
        </w:rPr>
      </w:pPr>
      <w:r>
        <w:rPr>
          <w:rFonts w:ascii="Arial" w:hAnsi="Arial"/>
          <w:rtl w:val="0"/>
          <w:lang w:val="en-US"/>
        </w:rPr>
        <w:t>Resolution of disputes between Registrar and Registry Operator or between two</w:t>
      </w:r>
      <w:r>
        <w:rPr>
          <w:rFonts w:ascii="Arial" w:hAnsi="Arial"/>
          <w:rtl w:val="0"/>
          <w:lang w:val="en-US"/>
        </w:rPr>
        <w:t xml:space="preserve"> </w:t>
      </w:r>
      <w:r>
        <w:rPr>
          <w:rFonts w:ascii="Arial" w:hAnsi="Arial"/>
          <w:rtl w:val="0"/>
          <w:lang w:val="en-US"/>
        </w:rPr>
        <w:t xml:space="preserve">Registrars or between Registrar and Registrant regarding the status of a Registration, e.g., Registrant says it never authorized the transfer of a domain name from one Registrar to another Registrar; log files maintained by Registrar could show when and from what source a request for transfer was made. </w:t>
      </w:r>
    </w:p>
    <w:p>
      <w:pPr>
        <w:pStyle w:val="Body"/>
        <w:numPr>
          <w:ilvl w:val="0"/>
          <w:numId w:val="6"/>
        </w:numPr>
        <w:spacing w:after="120"/>
        <w:rPr>
          <w:rFonts w:ascii="Arial" w:cs="Arial" w:hAnsi="Arial" w:eastAsia="Arial"/>
          <w:lang w:val="en-US"/>
        </w:rPr>
      </w:pPr>
      <w:r>
        <w:rPr>
          <w:rFonts w:ascii="Arial" w:hAnsi="Arial"/>
          <w:rtl w:val="0"/>
          <w:lang w:val="en-US"/>
        </w:rPr>
        <w:t>But also for commercial purposes (examination of consumer behaviour).</w:t>
      </w:r>
    </w:p>
    <w:p>
      <w:pPr>
        <w:pStyle w:val="Body"/>
        <w:rPr>
          <w:rFonts w:ascii="Arial" w:cs="Arial" w:hAnsi="Arial" w:eastAsia="Arial"/>
        </w:rPr>
      </w:pPr>
    </w:p>
    <w:p>
      <w:pPr>
        <w:pStyle w:val="Body"/>
      </w:pPr>
      <w:r>
        <w:rPr>
          <w:rFonts w:ascii="Arial" w:cs="Arial" w:hAnsi="Arial" w:eastAsia="Aria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Label Dark">
    <w:name w:val="Label Dark"/>
    <w:next w:val="Label Dark"/>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Light" w:cs="Arial Unicode MS" w:hAnsi="Helvetica Light"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Big">
    <w:name w:val="Bullet Big"/>
    <w:pPr>
      <w:numPr>
        <w:numId w:val="1"/>
      </w:numPr>
    </w:pPr>
  </w:style>
  <w:style w:type="numbering" w:styleId="Bullet">
    <w:name w:val="Bullet"/>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