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605" w:rsidRPr="005902CB" w:rsidRDefault="005902CB" w:rsidP="00045605">
      <w:pPr>
        <w:jc w:val="center"/>
        <w:rPr>
          <w:rFonts w:ascii="Times New Roman" w:hAnsi="Times New Roman" w:cs="Times New Roman"/>
          <w:b/>
          <w:i/>
          <w:sz w:val="24"/>
          <w:szCs w:val="24"/>
          <w:lang w:val="en-GB"/>
        </w:rPr>
      </w:pPr>
      <w:bookmarkStart w:id="0" w:name="_GoBack"/>
      <w:bookmarkEnd w:id="0"/>
      <w:r w:rsidRPr="005902CB">
        <w:rPr>
          <w:rFonts w:ascii="Times New Roman" w:hAnsi="Times New Roman" w:cs="Times New Roman"/>
          <w:b/>
          <w:i/>
          <w:sz w:val="24"/>
          <w:szCs w:val="24"/>
          <w:lang w:val="en-GB"/>
        </w:rPr>
        <w:t>Summary of 3 Recent Documents Below:</w:t>
      </w:r>
    </w:p>
    <w:p w:rsidR="00045605" w:rsidRPr="00045605" w:rsidRDefault="00045605" w:rsidP="00045605">
      <w:pPr>
        <w:jc w:val="both"/>
        <w:rPr>
          <w:rFonts w:ascii="Times New Roman" w:hAnsi="Times New Roman" w:cs="Times New Roman"/>
          <w:sz w:val="24"/>
          <w:szCs w:val="24"/>
          <w:lang w:val="en-GB"/>
        </w:rPr>
      </w:pPr>
      <w:r>
        <w:rPr>
          <w:rFonts w:ascii="Times New Roman" w:hAnsi="Times New Roman" w:cs="Times New Roman"/>
          <w:sz w:val="24"/>
          <w:szCs w:val="24"/>
          <w:lang w:val="en-GB"/>
        </w:rPr>
        <w:t>Document Names: (1) Judgment of the Court (Grand Chamber) –(</w:t>
      </w:r>
      <w:r w:rsidRPr="00045605">
        <w:rPr>
          <w:rFonts w:ascii="Times New Roman" w:hAnsi="Times New Roman" w:cs="Times New Roman"/>
          <w:sz w:val="24"/>
          <w:szCs w:val="24"/>
          <w:lang w:val="en-GB"/>
        </w:rPr>
        <w:t>Maximillian</w:t>
      </w:r>
      <w:r>
        <w:rPr>
          <w:rFonts w:ascii="Times New Roman" w:hAnsi="Times New Roman" w:cs="Times New Roman"/>
          <w:sz w:val="24"/>
          <w:szCs w:val="24"/>
          <w:lang w:val="en-GB"/>
        </w:rPr>
        <w:t xml:space="preserve">) Schrems v. </w:t>
      </w:r>
    </w:p>
    <w:p w:rsidR="00045605" w:rsidRDefault="00045605" w:rsidP="0004560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Data Protection </w:t>
      </w:r>
      <w:r w:rsidRPr="00045605">
        <w:rPr>
          <w:rFonts w:ascii="Times New Roman" w:hAnsi="Times New Roman" w:cs="Times New Roman"/>
          <w:sz w:val="24"/>
          <w:szCs w:val="24"/>
          <w:lang w:val="en-GB"/>
        </w:rPr>
        <w:t>Commissioner</w:t>
      </w:r>
      <w:r>
        <w:rPr>
          <w:rFonts w:ascii="Times New Roman" w:hAnsi="Times New Roman" w:cs="Times New Roman"/>
          <w:sz w:val="24"/>
          <w:szCs w:val="24"/>
          <w:lang w:val="en-GB"/>
        </w:rPr>
        <w:t xml:space="preserve"> (2015); (2) EU-US Privacy Shield (2016); and Opinion 01/2016 on the EU-U.S. Privacy Shield draft adequacy deicison of the Article 29 Working Party (April 2016)</w:t>
      </w:r>
    </w:p>
    <w:p w:rsidR="00083A90" w:rsidRDefault="00045605" w:rsidP="00045605">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Document Links: (1) </w:t>
      </w:r>
    </w:p>
    <w:p w:rsidR="005902CB" w:rsidRDefault="005902CB" w:rsidP="00045605">
      <w:pPr>
        <w:jc w:val="both"/>
        <w:rPr>
          <w:rFonts w:ascii="Times New Roman" w:hAnsi="Times New Roman" w:cs="Times New Roman"/>
          <w:sz w:val="24"/>
          <w:szCs w:val="24"/>
          <w:lang w:val="en-GB"/>
        </w:rPr>
      </w:pPr>
      <w:hyperlink r:id="rId7" w:history="1">
        <w:r w:rsidRPr="003C2E15">
          <w:rPr>
            <w:rStyle w:val="Hyperlink"/>
            <w:rFonts w:ascii="Times New Roman" w:hAnsi="Times New Roman" w:cs="Times New Roman"/>
            <w:sz w:val="24"/>
            <w:szCs w:val="24"/>
            <w:lang w:val="en-GB"/>
          </w:rPr>
          <w:t>http://curia.europa.eu/juris/liste.jsf?pro=&amp;lgrec=en&amp;nat=or&amp;oqp=&amp;dates=&amp;lg=&amp;language=en&amp;jur=C%2CT%2CF&amp;cit=none%252CC%252CCJ%252CR%252C2008E%252C%252C%252C%252C%252C%252C%252C%252C%252C%252Ctrue%252Cfalse%252Cfalse&amp;num=C-362%252F14&amp;td=%3BALL&amp;pcs=Oor&amp;avg=&amp;page=1&amp;mat=or&amp;jge=&amp;for=&amp;cid=576711</w:t>
        </w:r>
      </w:hyperlink>
      <w:r>
        <w:rPr>
          <w:rFonts w:ascii="Times New Roman" w:hAnsi="Times New Roman" w:cs="Times New Roman"/>
          <w:sz w:val="24"/>
          <w:szCs w:val="24"/>
          <w:lang w:val="en-GB"/>
        </w:rPr>
        <w:t xml:space="preserve"> </w:t>
      </w:r>
    </w:p>
    <w:p w:rsidR="00045605" w:rsidRDefault="00045605" w:rsidP="00045605">
      <w:pPr>
        <w:jc w:val="both"/>
        <w:rPr>
          <w:rFonts w:ascii="Times New Roman" w:hAnsi="Times New Roman" w:cs="Times New Roman"/>
          <w:sz w:val="24"/>
          <w:szCs w:val="24"/>
          <w:lang w:val="en-GB"/>
        </w:rPr>
      </w:pPr>
      <w:r>
        <w:rPr>
          <w:rFonts w:ascii="Times New Roman" w:hAnsi="Times New Roman" w:cs="Times New Roman"/>
          <w:sz w:val="24"/>
          <w:szCs w:val="24"/>
          <w:lang w:val="en-GB"/>
        </w:rPr>
        <w:t>(2)</w:t>
      </w:r>
      <w:r w:rsidR="005902CB">
        <w:rPr>
          <w:rFonts w:ascii="Times New Roman" w:hAnsi="Times New Roman" w:cs="Times New Roman"/>
          <w:sz w:val="24"/>
          <w:szCs w:val="24"/>
          <w:lang w:val="en-GB"/>
        </w:rPr>
        <w:t xml:space="preserve"> </w:t>
      </w:r>
      <w:hyperlink r:id="rId8" w:history="1">
        <w:r w:rsidR="005902CB" w:rsidRPr="003C2E15">
          <w:rPr>
            <w:rStyle w:val="Hyperlink"/>
            <w:rFonts w:ascii="Times New Roman" w:hAnsi="Times New Roman" w:cs="Times New Roman"/>
            <w:sz w:val="24"/>
            <w:szCs w:val="24"/>
            <w:lang w:val="en-GB"/>
          </w:rPr>
          <w:t>https://www.commerce.gov/privacyshield</w:t>
        </w:r>
      </w:hyperlink>
      <w:r w:rsidR="005902CB">
        <w:rPr>
          <w:rFonts w:ascii="Times New Roman" w:hAnsi="Times New Roman" w:cs="Times New Roman"/>
          <w:sz w:val="24"/>
          <w:szCs w:val="24"/>
          <w:lang w:val="en-GB"/>
        </w:rPr>
        <w:t xml:space="preserve"> </w:t>
      </w:r>
    </w:p>
    <w:p w:rsidR="00045605" w:rsidRDefault="00045605" w:rsidP="00045605">
      <w:pPr>
        <w:jc w:val="both"/>
        <w:rPr>
          <w:rFonts w:ascii="Times New Roman" w:hAnsi="Times New Roman" w:cs="Times New Roman"/>
          <w:sz w:val="24"/>
          <w:szCs w:val="24"/>
          <w:lang w:val="en-GB"/>
        </w:rPr>
      </w:pPr>
      <w:r>
        <w:rPr>
          <w:rFonts w:ascii="Times New Roman" w:hAnsi="Times New Roman" w:cs="Times New Roman"/>
          <w:sz w:val="24"/>
          <w:szCs w:val="24"/>
          <w:lang w:val="en-GB"/>
        </w:rPr>
        <w:t>(3)</w:t>
      </w:r>
      <w:hyperlink r:id="rId9" w:history="1">
        <w:r w:rsidR="005902CB" w:rsidRPr="003C2E15">
          <w:rPr>
            <w:rStyle w:val="Hyperlink"/>
            <w:rFonts w:ascii="Times New Roman" w:hAnsi="Times New Roman" w:cs="Times New Roman"/>
            <w:sz w:val="24"/>
            <w:szCs w:val="24"/>
            <w:lang w:val="en-GB"/>
          </w:rPr>
          <w:t>http://ec.europa.eu/justice/data-protection/article-29/documentation/opinion-recommendation/index_en.htm</w:t>
        </w:r>
      </w:hyperlink>
      <w:r w:rsidR="005902CB">
        <w:rPr>
          <w:rFonts w:ascii="Times New Roman" w:hAnsi="Times New Roman" w:cs="Times New Roman"/>
          <w:sz w:val="24"/>
          <w:szCs w:val="24"/>
          <w:lang w:val="en-GB"/>
        </w:rPr>
        <w:t xml:space="preserve"> </w:t>
      </w:r>
    </w:p>
    <w:p w:rsidR="00045605" w:rsidRPr="00083A90" w:rsidRDefault="00045605" w:rsidP="00045605">
      <w:pPr>
        <w:jc w:val="both"/>
        <w:rPr>
          <w:rFonts w:ascii="Times New Roman" w:hAnsi="Times New Roman" w:cs="Times New Roman"/>
          <w:sz w:val="24"/>
          <w:szCs w:val="24"/>
          <w:lang w:val="en-GB"/>
        </w:rPr>
      </w:pPr>
    </w:p>
    <w:p w:rsidR="00083A90" w:rsidRPr="00083A90" w:rsidRDefault="00083A90" w:rsidP="005902CB">
      <w:pPr>
        <w:jc w:val="center"/>
        <w:rPr>
          <w:rFonts w:ascii="Times New Roman" w:hAnsi="Times New Roman" w:cs="Times New Roman"/>
          <w:b/>
          <w:sz w:val="28"/>
          <w:szCs w:val="28"/>
          <w:lang w:val="en-GB"/>
        </w:rPr>
      </w:pPr>
      <w:r w:rsidRPr="00083A90">
        <w:rPr>
          <w:rFonts w:ascii="Times New Roman" w:hAnsi="Times New Roman" w:cs="Times New Roman"/>
          <w:b/>
          <w:sz w:val="28"/>
          <w:szCs w:val="28"/>
          <w:lang w:val="en-GB"/>
        </w:rPr>
        <w:t xml:space="preserve">Summary of Schrems decision, Privacy Shield, the opinion of the WP29 on the EU-US Privacy shield draft adequacy decision and </w:t>
      </w:r>
      <w:r w:rsidR="005902CB">
        <w:rPr>
          <w:rFonts w:ascii="Times New Roman" w:hAnsi="Times New Roman" w:cs="Times New Roman"/>
          <w:b/>
          <w:sz w:val="28"/>
          <w:szCs w:val="28"/>
          <w:lang w:val="en-GB"/>
        </w:rPr>
        <w:t>their</w:t>
      </w:r>
      <w:r w:rsidRPr="00083A90">
        <w:rPr>
          <w:rFonts w:ascii="Times New Roman" w:hAnsi="Times New Roman" w:cs="Times New Roman"/>
          <w:b/>
          <w:sz w:val="28"/>
          <w:szCs w:val="28"/>
          <w:lang w:val="en-GB"/>
        </w:rPr>
        <w:t xml:space="preserve"> relevance to ICANN activities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0"/>
          <w:numId w:val="2"/>
        </w:numPr>
        <w:jc w:val="both"/>
        <w:rPr>
          <w:rFonts w:ascii="Times New Roman" w:hAnsi="Times New Roman" w:cs="Times New Roman"/>
          <w:b/>
          <w:sz w:val="24"/>
          <w:szCs w:val="24"/>
          <w:lang w:val="en-GB"/>
        </w:rPr>
      </w:pPr>
      <w:r w:rsidRPr="00083A90">
        <w:rPr>
          <w:rFonts w:ascii="Times New Roman" w:hAnsi="Times New Roman" w:cs="Times New Roman"/>
          <w:b/>
          <w:sz w:val="24"/>
          <w:szCs w:val="24"/>
          <w:lang w:val="en-GB"/>
        </w:rPr>
        <w:t>Schrems decision</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0"/>
          <w:numId w:val="3"/>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Background</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revelations made by Edward Snowden in June 2013 triggered a debate on the scope of surveillance activities performed by intelligence services, both in the United States and in the European Union. In particular, this debate focussed on the consequences of an “indiscriminate surveillance and …interception carried out…on a large-scale surveillance” for citizens’ rights to respect of their privacy and to the protection of their personal data.</w:t>
      </w:r>
    </w:p>
    <w:p w:rsid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Article 29 Working Party (WP29) has consistently stated that such surveillance is incompatible with the EU legal framework and that existing transfer tools are not the solution to this issue. Furthermore, in order not to reduce the protection granted, the fundamental right to personal data needs to be protected during the entire life cycle of the data. This includes when data is exchanged internationally. Therefore, the WP29 always considered that transfers to third countries will not be considered as safe, where the powers of state authorities to access information go beyond what is necessary in a democratic society.</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On 6 October 2015, the Court of Justice of the European Union (CJEU) issued its preliminary ruling requested by the Irish High Court in proceedings between Mr Schrems and the Irish Data Protection Commissioner concerning the latter’s refusal to investigate a complaint made by Mr Schrems relating to the interpretation, in the light of Articles 7, 8 and 47 of the Charter of Fundamental Rights of the European Union, of Articles 25(6) and 28 of Directive 95/46/EC of 24 October 1995, and, in essence, to the validity of Commission Decision 2000/520/EC of 26 July 2000.</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CJEU declared the Safe Harbour decision invalid. According to this judgment, the Safe Harbour decision does not contain sufficient findings regarding the measures by which the United States ensure an adequate level of protection for the protection of private life and basic freedoms and rights of individuals, within the meaning of Article 25(6) of that Directive, by reason of its domestic law or its international commitments.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lastRenderedPageBreak/>
        <w:t>The CJEU identified various criteria that must be met in order to consider that a third country is adequate, especially in terms of effective legal protection against interference with EU fundamental rights, oversight and right of redress. In particular, it insisted on the scope of the derogations to EU fundamental rights and specified the necessity to limit such interference. The Court strongly reiterated the specificities of the data protection regime within the European Union. Similarly to previous recent decisions (e.g. Digital Rights Ireland case, Data Retention case), it has put the European Charter at the centre of its reasoning on international transfers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0"/>
          <w:numId w:val="3"/>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Court ruling</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CJEU first of all answered the question which the Irish court had asked about DPA jurisdiction over data transfers (the procedural point), and then went on to rule that the Safe Harbour decision is invalid (the substantive point).</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Following the Advocate-General’s view, the Court ruled that national data protection authorities have to be able to consider claims that flows of personal data to third countries are not compatible with EU data protection laws if there is an inadequate level of data protection in those countries, even if the Commission has adopted a decision (such as the Safe Harbour decision) declaring that the level of protection is adequate. Like the Advocate-General, the Court based its conclusion on the powers and independence of those authorities, read in light of the EU Charter of Fundamental Rights, which expressly refers to DPAs’ role and independence.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Court admitted that the Directive is not clear on defining the ‘adequate level of protection’, so it had to interpret the rules. In the Court’s view, there must be a ‘high’ level of protection in the third country; this does not have to be ‘identical’ to the EU standard, but must be ‘substantially equivalent’ to it.  Otherwise, the objective of ensuring a high level of protection would not be met, and the EU’s internal standards for domestic data protection could easily be circumvented. Also, the means used in the third State to ensure data protection rights must be ‘effective…in practice’, although they ‘may differ’ from that in the EU. Furthermore, the assessment of adequacy must be dynamic, with regular automatic reviews and an obligation for a further review if evidence suggests that there are ‘doubts’ on this score; and the general changes in circumstances since the decision was adopted must be taken into account.</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Firstly the Court stated that within the EU, interference with privacy and data protection rights requires ‘clear and precise rules’ which set out minimum safeguards, as well as strict application of derogations and limitations. Those principles were breached where, ‘on a generalised basis’, legislation authorises ‘storage of all the personal data of all the persons whose data has been transferred’ to the US ‘without any differentiation, limitation or exception being made in light of the objective pursued’ and without any objective test limiting access of the public authorities for specific purposes. General access to the content of communications compromises the </w:t>
      </w:r>
      <w:r w:rsidRPr="00083A90">
        <w:rPr>
          <w:rFonts w:ascii="Times New Roman" w:hAnsi="Times New Roman" w:cs="Times New Roman"/>
          <w:sz w:val="24"/>
          <w:szCs w:val="24"/>
          <w:lang w:val="en-GB"/>
        </w:rPr>
        <w:lastRenderedPageBreak/>
        <w:t xml:space="preserve">‘essence’ of the right to privacy. On these points, the Court expressly reiterated the limits on mass surveillance set out in last year’s Digital Rights judgment (discussed here) on the validity of the EU’s data retention Directive. Furthermore, the absence of legal remedies in this regard compromises the essence of the right to judicial protection set out in the EU Charter.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Secondly, the restriction upon DPAs taking action to prevent data transfers in the event of an inadequate level of data protection in the USA (in the context of Safe Harbour) was also invalid. The Commission did not have the power under the data protection Directive (read in light of the Charter) to restrict DPA competence in that way. Since these two provisions were inseparable from the rest of the Safe Harbour decision, the entire Decision is invalid. </w:t>
      </w:r>
    </w:p>
    <w:p w:rsidR="00083A90" w:rsidRPr="00083A90" w:rsidRDefault="00083A90" w:rsidP="00083A90">
      <w:pPr>
        <w:jc w:val="both"/>
        <w:rPr>
          <w:rFonts w:ascii="Times New Roman" w:hAnsi="Times New Roman" w:cs="Times New Roman"/>
          <w:b/>
          <w:sz w:val="24"/>
          <w:szCs w:val="24"/>
          <w:lang w:val="en-GB"/>
        </w:rPr>
      </w:pPr>
    </w:p>
    <w:p w:rsidR="00083A90" w:rsidRPr="00083A90" w:rsidRDefault="00083A90" w:rsidP="00083A90">
      <w:pPr>
        <w:pStyle w:val="ListParagraph"/>
        <w:numPr>
          <w:ilvl w:val="0"/>
          <w:numId w:val="2"/>
        </w:numPr>
        <w:jc w:val="both"/>
        <w:rPr>
          <w:rFonts w:ascii="Times New Roman" w:hAnsi="Times New Roman" w:cs="Times New Roman"/>
          <w:b/>
          <w:sz w:val="24"/>
          <w:szCs w:val="24"/>
          <w:lang w:val="en-GB"/>
        </w:rPr>
      </w:pPr>
      <w:r w:rsidRPr="00083A90">
        <w:rPr>
          <w:rFonts w:ascii="Times New Roman" w:hAnsi="Times New Roman" w:cs="Times New Roman"/>
          <w:b/>
          <w:sz w:val="24"/>
          <w:szCs w:val="24"/>
          <w:lang w:val="en-GB"/>
        </w:rPr>
        <w:t>Privacy Shield and opinion of WP29 on the EU – U.S. Privacy Shield draft adequacy decision</w:t>
      </w:r>
    </w:p>
    <w:p w:rsidR="00083A90" w:rsidRPr="00083A90" w:rsidRDefault="00083A90" w:rsidP="00083A90">
      <w:pPr>
        <w:jc w:val="both"/>
        <w:rPr>
          <w:rFonts w:ascii="Times New Roman" w:hAnsi="Times New Roman" w:cs="Times New Roman"/>
          <w:b/>
          <w:sz w:val="24"/>
          <w:szCs w:val="24"/>
          <w:lang w:val="en-GB"/>
        </w:rPr>
      </w:pPr>
    </w:p>
    <w:p w:rsidR="00083A90" w:rsidRPr="00083A90" w:rsidRDefault="00083A90" w:rsidP="00083A90">
      <w:pPr>
        <w:pStyle w:val="ListParagraph"/>
        <w:numPr>
          <w:ilvl w:val="0"/>
          <w:numId w:val="4"/>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EU-US Privacy Shield</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After two years of negotiations, the European Commission and the U.S. Department of Commerce reached on 2 February 2016 a political agreement on a new framework for transatlantic exchanges of personal data for commercial purposes: the EU-U.S. Privacy Shield. This new framework is to protect the fundamental rights of Europeans where their data is transferred to the United States and to ensure legal certainty for businesses.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EU-U.S. Privacy Shield reflects the requirements set out by the European Court of Justice in its ruling on 6 October 2015, which declared the old Safe Harbour framework invalid.</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new arrangement due to provide stronger obligations on companies in the U.S. to protect the personal data of Europeans and stronger monitoring and enforcement by the U.S. Department of Commerce and Federal Trade Commission (FTC), including through increased cooperation with European Data Protection Authorities. The new arrangement includes written commitments and assurance by the U.S. that any access by public authorities to personal data transferred under the new arrangement on national security grounds will be subject to clear conditions, limitations and oversight, preventing generalised access. The newly created Ombudsperson mechanism will handle and solve complaints or enquiries raised by EU individuals in this context.</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EU-U.S. Privacy Shield addresses both the recommendations made by the Commission in November 2013 and the requirements set out by the European Court of Justice in its ruling on 6 October 2015, which declared the old Safe Harbour framework invalid.</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new arrangement provides stronger obligations on companies in the U.S. to protect the personal data of Europeans. It requires stronger monitoring and enforcement by the U.S. Department of Commerce (DoC) and Federal Trade Commission (FTC), including through increased cooperation with European Data Protection Authorities.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new arrangement includes commitments and assurance by the US that the competencies under US law for public authorities to access personal data transferred under the new arrangement will be subject to clear conditions, limitations and oversight, preventing generalised access. The newly created Ombudsperson mechanism will handle and solve complaints or enquiries raised by EU individuals in relation to possible access by national intelligence services.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new agreement includes: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1"/>
          <w:numId w:val="2"/>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Strong obligations on companies and robust enforcement: the new arrangement is designed to be more transparent and to contain effective supervision mechanisms to ensure that companies respect their obligations, including sanctions or exclusion if they do not comply. The new rules also include tightened conditions for onward transfers to other partners by the companies participating in the scheme.</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1"/>
          <w:numId w:val="2"/>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Clear safeguards and transparency obligations on U.S. government access: for the first time, the U.S. government has given the EU written assurance from the Office of the Director of National Intelligence that any access of public authorities for national security purposes will be subject to clear limitations, safeguards and oversight mechanisms. US Secretary of State John Kerry committed to establishing a redress possibility in the area of national intelligence for Europeans through an Ombudsman mechanism within the Department of State, who will be independent from national security services. The Ombudsman will follow-up complaints and enquiries by individuals and inform them whether the relevant laws have been complied with. All the written commitments will be published in the U.S. federal register.</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1"/>
          <w:numId w:val="2"/>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Effective protection of EU citizens' rights with several redress possibilities: Complaints have to be resolved by companies within 45 days. A free of charge Alternative Dispute Resolution solution will be available. EU citizens can also go to their national Data Protection Authorities, who will work with the U.S. Department of Commerce and Federal Trade Commission to ensure that unresolved complaints by EU citizens are investigated and resolved. If a case is not resolved by any of the other means, as a last resort there will be an enforceable arbitration mechanism. Moreover, companies can commit to comply with advice from European DPAs. This is obligatory for companies handling human resource data.</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1"/>
          <w:numId w:val="2"/>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Annual joint review mechanism: that will monitor the functioning of the Privacy Shield, including the commitments and assurance as regards access to data for law enforcement and national security purposes. The European Commission and the U.S. Department of Commerce will conduct the review and associate national intelligence experts from the U.S. and European Data Protection Authorities. The Commission will draw on all other sources of information available, including transparency reports by companies on the extent of government access requests. The Commission will also hold an annual privacy summit with interested NGOs and stakeholders to discuss broader developments in the area of U.S. privacy law and their impact on Europeans. On the basis of the annual review, the Commission will issue a public report to the European Parliament and the Council.</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0"/>
          <w:numId w:val="4"/>
        </w:numPr>
        <w:jc w:val="both"/>
        <w:rPr>
          <w:rFonts w:ascii="Times New Roman" w:hAnsi="Times New Roman" w:cs="Times New Roman"/>
          <w:b/>
          <w:sz w:val="24"/>
          <w:szCs w:val="24"/>
          <w:lang w:val="en-GB"/>
        </w:rPr>
      </w:pPr>
      <w:r w:rsidRPr="00083A90">
        <w:rPr>
          <w:rFonts w:ascii="Times New Roman" w:hAnsi="Times New Roman" w:cs="Times New Roman"/>
          <w:b/>
          <w:sz w:val="24"/>
          <w:szCs w:val="24"/>
          <w:lang w:val="en-GB"/>
        </w:rPr>
        <w:t>Art 29 opinion on the EU – U.S. Privacy Shield draft adequacy decision</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0"/>
          <w:numId w:val="6"/>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Background</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On 29 February 2016, the European Commission published a Communication, a draft adequacy decision and the annexed texts constituting a new framework for transatlantic exchanges of personal data for commercial purposes: the EU-U.S. Privacy Shield (hereinafter: Privacy Shield), which seeks to replace the previous U.S. Safe Harbour invalidated by the Court of Justice of the European Union (hereinafter: CJEU) on 6 October 2015, in the Schrems case.</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In accordance with Article 30(1)(c) of Directive 95/46/EC, the Article 29 Working Party (WP29) assessed these documents in order to give its opinion on the draft adequacy decision. The WP29 assessed both the commercial aspects and the possible derogations to the principles of the Privacy Shield for national security, law enforcement and public interests purposes.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The WP29 took into account the applicable EU data protection legal framework as set out in Directive 95/46/EC, as well as the fundamental rights to private life and data protection as encoded in Article 8 of the European Convention on Human Rights and Articles 7 and 8 of the Charter of Fundamental rights of the European Union. It also considered the Right to an effective remedy and to a fair trial laid down in Article 47 of the Charter, as well as the jurisprudence related to the various fundamental rights.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In addition, the analysis reflects the reasoning of the CJEU in the Schrems case regarding the Commission’s margin of appreciation of an adequacy assessment. The check and controls of the adequacy requirements must be strictly performed, taking into account the fundamental rights to privacy and data protection and the number of individuals potentially affected by transfers.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The Privacy Shield needs to be viewed in the current international context, such as the emergence of big data and the growing security needs. The scope and range of collection and use of personal data has dramatically increased since the original Safe Harbour decision was issued in 2000. European data protection authorities strongly assert the importance of the principles they defend.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The WP29 first of all welcomes the significant improvements brought by the Privacy Shield compared to the Safe Harbour decision. It notes that many of the shortcomings of the Safe Harbour it had underlined in its letter of 10 April 2014 to Vice-President Reding have been addressed by the negotiators.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The fact that the principles and guarantees afforded by the Privacy Shield are set out in both the adequacy decision and in its annexes makes the information both difficult to find, and at times, inconsistent. This contributes to an overall lack of clarity regarding the new framework as well as making accessibility for data subjects, organisations, and data protection authorities more difficult. Similarly, the language used lacks clarity. The WP29 therefore urges the Commission to make this clear and understandable for both sides of the Atlantic.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With regard to the applicable law, the WP29 highlights that if the Privacy Shield adequacy decision is adopted on the basis of Directive 95/46/EC, it needs to be consistent with the EU data protection legal framework, both in scope and terminology. The WP29 considers a review must be undertaken shortly after the entry into application of the General Data Protection Regulation, in order to ensure the higher level of data protection offered by the Regulation is followed in the adequacy decision and its annexes.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0"/>
          <w:numId w:val="6"/>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On the commercial aspects of the Privacy Shield</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The WP29’s key objective is to make sure that an essentially equivalent level of protection afforded to individuals is maintained when personal data is processed subject to the provisions of the Privacy Shield. Although the WP29 does not expect the Privacy Shield to be a mere and exhaustive copy of the EU legal framework it considers that it should contain the substance of the fundamental principles and as a result, ensure an ‘essentially equivalent’ level of protection.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Notwithstanding the improvements offered by the Privacy Shield, the WP29 considers that some key data protection principles as outlined in European law are not reflected in the draft adequacy decision and the annexes, or have been inadequately substituted by alternative notions.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For instance, the data retention principle is not expressly mentioned and cannot be clearly construed from the current wording of the Data Integrity and Purpose Limitation principle. Furthermore, there is no wording on the protection that should be afforded against automated individual decisions based solely on automated processing. The application of the purpose limitation principle to the data processing is also unclear. In order to bring more clarity in the use of several important notions, the WP29 suggests that clear definitions should be agreed between the EU and the U.S and be part of a glossary of terms to be included in the Privacy Shield F.A.Q.</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Because the Privacy Shield will also be used to transfer data outside the US, the WP29 insists that onward transfers from a Privacy Shield entity to third country recipients should provide the same level of protection on all aspects of the Shield (including national security) and should not lead to lower or circumvent EU data protection principles. In case an onward transfer to a third country is envisaged under the Privacy Shield, every Privacy Shield organisation should have the obligation to assess any mandatory requirements of the third country’s national legislation applicable to the data importer, prior to the transfer. In general, the WP29 concludes that onward transfers of EU personal data are insufficiently framed, especially regarding their scope, the limitation of their purpose and the guarantees applying to transfers to Agents.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Finally, although the WP29 notes the additional recourses made available to individuals to exercise their rights, it is concerned that the new redress mechanism in practice may prove to be too complex, difficult to use for EU individuals and therefore ineffective. Further clarification of the various recourse procedures is therefore needed; in particular, where they are willing, EU data protection authorities could be considered as a natural contact point for the EU individuals in the various procedures, having the option to act on their behalf.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0"/>
          <w:numId w:val="6"/>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Derogations for national security purposes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Interferences with the right to privacy and data protection can be justified since these fundamental rights are not absolute: interferences must be only unjustified to interferences will be considered as unlawful. Following the assessment of the jurisprudence, the WP29 comes to the conclusion that the requirements can be summarised in four European Essential Guarantees: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1"/>
          <w:numId w:val="7"/>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Processing should be based on clear, precise and accessible rules</w:t>
      </w:r>
    </w:p>
    <w:p w:rsidR="00083A90" w:rsidRPr="00083A90" w:rsidRDefault="00083A90" w:rsidP="00083A90">
      <w:pPr>
        <w:pStyle w:val="ListParagraph"/>
        <w:numPr>
          <w:ilvl w:val="1"/>
          <w:numId w:val="7"/>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Necessity and proportionality with regard to the legitimate objectives pursued need to be demonstrated</w:t>
      </w:r>
    </w:p>
    <w:p w:rsidR="00083A90" w:rsidRPr="00083A90" w:rsidRDefault="00083A90" w:rsidP="00083A90">
      <w:pPr>
        <w:pStyle w:val="ListParagraph"/>
        <w:numPr>
          <w:ilvl w:val="1"/>
          <w:numId w:val="7"/>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An independent oversight mechanism should exist</w:t>
      </w:r>
    </w:p>
    <w:p w:rsidR="00083A90" w:rsidRPr="00083A90" w:rsidRDefault="00083A90" w:rsidP="00083A90">
      <w:pPr>
        <w:pStyle w:val="ListParagraph"/>
        <w:numPr>
          <w:ilvl w:val="1"/>
          <w:numId w:val="7"/>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Effective remedies need to be available to the individual</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The WP29 however notes that the representations of the U.S. Office of the Director of National Intelligence (ODNI) do not exclude massive and indiscriminate collection of personal data originating from the EU. The WP29 recalls its long-standing position that massive and indiscriminate surveillance of individuals can never be considered as proportionate and strictly necessary in a democratic society, as is required under the protection offered by the applicable fundamental rights. Additionally, comprehensive oversight of all surveillance programmes is crucial. The WP29 takes note that there is a tendency to collect ever more data on a massive and indiscriminate scale in the light of the fight against terrorism. Given the concerns this brings for the protection of the fundamental rights to privacy and data protection, the WP29 looks to the forthcoming rulings of the CJEU in cases regarding massive and indiscriminate data collection.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Concerning redress, the WP29 welcomes the establishment of an Ombudsperson as a new redress mechanism. This may constitute a significant improvement for EU individuals’ rights with regards to U.S. intelligence activities. However, the WP29 is concerned that this new institution is not sufficiently independent and is not vested with adequate powers to effectively exercise its duty and does not guarantee a satisfactory remedy in case of disagreement.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The annual joint review mechanism mentioned in the draft adequacy decision is a key factor to the overall credibility of the Privacy Shield and the WP29 greatly welcomes the opportunity this would present to review the adequacy decision. In this regard, the WP29 understands that national representatives of the WP29 will be able to take full part in the review process but asks for clarification of the exact arrangements.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0"/>
          <w:numId w:val="6"/>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Overall conclusion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WP29 states that three major points of concern do remain, that will need to be addressed.</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1"/>
          <w:numId w:val="2"/>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The first concern is the lack of explicit provisions for data retention. This is an essential element of EU data protection law to ensure that data is kept for no longer than necessary to achieve the purpose for which the data were collected.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1"/>
          <w:numId w:val="2"/>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Secondly, the WP29 understands from Annex VI that the U.S. administration does not fully exclude the continued collection of massive and indiscriminate data. The WP29 has consistently held that such data collection, is an unjustified interference with the fundamental rights of individuals. </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1"/>
          <w:numId w:val="2"/>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third point of concern regards the introduction of the Ombudsperson mechanism. Even though the WP29 welcomes this unprecedented step creating an additional redress and oversight mechanism for individuals, concerns remain as to whether the Ombudsperson has sufficient powers to function effectively. As a minimum, both the powers and the position of the Ombudsperson need to be clarified in order to demonstrate that the role is truly independent and can offer an effective remedy to non-compliant data processing.</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WP29  notes the  major  improvements  the  Privacy  Shield  offers  compared  to  the invalidated Safe Harbour decision. Given the concerns expressed and the clarifications asked, the WP29 urges the Commission to resolve these concerns, identify appropriate solutions and provide  the  requested  clarifications  in  order  to  improve  the  draft  adequacy  decision  and ensure the protection offered by the Privacy Shield is indeed essentially equivalent to that of the EU.</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0"/>
          <w:numId w:val="2"/>
        </w:numPr>
        <w:jc w:val="both"/>
        <w:rPr>
          <w:rFonts w:ascii="Times New Roman" w:hAnsi="Times New Roman" w:cs="Times New Roman"/>
          <w:b/>
          <w:sz w:val="24"/>
          <w:szCs w:val="24"/>
          <w:lang w:val="en-GB"/>
        </w:rPr>
      </w:pPr>
      <w:r w:rsidRPr="00083A90">
        <w:rPr>
          <w:rFonts w:ascii="Times New Roman" w:hAnsi="Times New Roman" w:cs="Times New Roman"/>
          <w:b/>
          <w:sz w:val="24"/>
          <w:szCs w:val="24"/>
          <w:lang w:val="en-GB"/>
        </w:rPr>
        <w:t>Relevance to ICANN and on the new RDS</w:t>
      </w:r>
    </w:p>
    <w:p w:rsidR="00083A90" w:rsidRPr="00083A90" w:rsidRDefault="00083A90" w:rsidP="00083A90">
      <w:pPr>
        <w:jc w:val="both"/>
        <w:rPr>
          <w:rFonts w:ascii="Times New Roman" w:hAnsi="Times New Roman" w:cs="Times New Roman"/>
          <w:sz w:val="24"/>
          <w:szCs w:val="24"/>
          <w:lang w:val="en-GB"/>
        </w:rPr>
      </w:pPr>
    </w:p>
    <w:p w:rsid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The privacy and data protection principles as demonstrated above</w:t>
      </w:r>
      <w:r>
        <w:rPr>
          <w:rFonts w:ascii="Times New Roman" w:hAnsi="Times New Roman" w:cs="Times New Roman"/>
          <w:sz w:val="24"/>
          <w:szCs w:val="24"/>
          <w:lang w:val="en-GB"/>
        </w:rPr>
        <w:t xml:space="preserve"> and </w:t>
      </w:r>
      <w:r w:rsidRPr="00083A90">
        <w:rPr>
          <w:rFonts w:ascii="Times New Roman" w:hAnsi="Times New Roman" w:cs="Times New Roman"/>
          <w:sz w:val="24"/>
          <w:szCs w:val="24"/>
          <w:lang w:val="en-GB"/>
        </w:rPr>
        <w:t xml:space="preserve">interpreted by the CJEU and Art29 are to be followed and respected whenever data controller is processing data coming from EU, which doesn’t necessarily mean that only registrars, registries which are based in </w:t>
      </w:r>
      <w:r>
        <w:rPr>
          <w:rFonts w:ascii="Times New Roman" w:hAnsi="Times New Roman" w:cs="Times New Roman"/>
          <w:sz w:val="24"/>
          <w:szCs w:val="24"/>
          <w:lang w:val="en-GB"/>
        </w:rPr>
        <w:t xml:space="preserve">they </w:t>
      </w:r>
      <w:r w:rsidRPr="00083A90">
        <w:rPr>
          <w:rFonts w:ascii="Times New Roman" w:hAnsi="Times New Roman" w:cs="Times New Roman"/>
          <w:sz w:val="24"/>
          <w:szCs w:val="24"/>
          <w:lang w:val="en-GB"/>
        </w:rPr>
        <w:t>EU has to comply with them but every one having EU data processed.</w:t>
      </w:r>
      <w:r>
        <w:rPr>
          <w:rFonts w:ascii="Times New Roman" w:hAnsi="Times New Roman" w:cs="Times New Roman"/>
          <w:sz w:val="24"/>
          <w:szCs w:val="24"/>
          <w:lang w:val="en-GB"/>
        </w:rPr>
        <w:t xml:space="preserve"> Furthermore US companies subscribing to Privacy Shield also have to comply with US governments’ commitment which include “</w:t>
      </w:r>
      <w:r w:rsidRPr="00083A90">
        <w:rPr>
          <w:rFonts w:ascii="Times New Roman" w:hAnsi="Times New Roman" w:cs="Times New Roman"/>
          <w:i/>
          <w:sz w:val="24"/>
          <w:szCs w:val="24"/>
          <w:lang w:val="en-GB"/>
        </w:rPr>
        <w:t>strong obligations on companies and robust enforcement</w:t>
      </w:r>
      <w:r>
        <w:rPr>
          <w:rFonts w:ascii="Times New Roman" w:hAnsi="Times New Roman" w:cs="Times New Roman"/>
          <w:sz w:val="24"/>
          <w:szCs w:val="24"/>
          <w:lang w:val="en-GB"/>
        </w:rPr>
        <w:t xml:space="preserve">” at the first place. </w:t>
      </w:r>
    </w:p>
    <w:p w:rsid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 xml:space="preserve">Therefore the current </w:t>
      </w:r>
      <w:r>
        <w:rPr>
          <w:rFonts w:ascii="Times New Roman" w:hAnsi="Times New Roman" w:cs="Times New Roman"/>
          <w:sz w:val="24"/>
          <w:szCs w:val="24"/>
          <w:lang w:val="en-GB"/>
        </w:rPr>
        <w:t xml:space="preserve">policy regulating ICANN’s data processing activities, especially under the RDS seems </w:t>
      </w:r>
      <w:r w:rsidRPr="00083A90">
        <w:rPr>
          <w:rFonts w:ascii="Times New Roman" w:hAnsi="Times New Roman" w:cs="Times New Roman"/>
          <w:sz w:val="24"/>
          <w:szCs w:val="24"/>
          <w:lang w:val="en-GB"/>
        </w:rPr>
        <w:t xml:space="preserve">not </w:t>
      </w:r>
      <w:r>
        <w:rPr>
          <w:rFonts w:ascii="Times New Roman" w:hAnsi="Times New Roman" w:cs="Times New Roman"/>
          <w:sz w:val="24"/>
          <w:szCs w:val="24"/>
          <w:lang w:val="en-GB"/>
        </w:rPr>
        <w:t>to</w:t>
      </w:r>
      <w:r w:rsidRPr="00083A90">
        <w:rPr>
          <w:rFonts w:ascii="Times New Roman" w:hAnsi="Times New Roman" w:cs="Times New Roman"/>
          <w:sz w:val="24"/>
          <w:szCs w:val="24"/>
          <w:lang w:val="en-GB"/>
        </w:rPr>
        <w:t xml:space="preserve"> grant sufficient efficiency</w:t>
      </w:r>
      <w:r>
        <w:rPr>
          <w:rFonts w:ascii="Times New Roman" w:hAnsi="Times New Roman" w:cs="Times New Roman"/>
          <w:sz w:val="24"/>
          <w:szCs w:val="24"/>
          <w:lang w:val="en-GB"/>
        </w:rPr>
        <w:t xml:space="preserve"> neith</w:t>
      </w:r>
      <w:r w:rsidR="00947656">
        <w:rPr>
          <w:rFonts w:ascii="Times New Roman" w:hAnsi="Times New Roman" w:cs="Times New Roman"/>
          <w:sz w:val="24"/>
          <w:szCs w:val="24"/>
          <w:lang w:val="en-GB"/>
        </w:rPr>
        <w:t>er for registries or registrars nor for</w:t>
      </w:r>
      <w:r>
        <w:rPr>
          <w:rFonts w:ascii="Times New Roman" w:hAnsi="Times New Roman" w:cs="Times New Roman"/>
          <w:sz w:val="24"/>
          <w:szCs w:val="24"/>
          <w:lang w:val="en-GB"/>
        </w:rPr>
        <w:t xml:space="preserve"> registrants. The maintenance of the current system of</w:t>
      </w:r>
      <w:r w:rsidRPr="00083A90">
        <w:rPr>
          <w:rFonts w:ascii="Times New Roman" w:hAnsi="Times New Roman" w:cs="Times New Roman"/>
          <w:sz w:val="24"/>
          <w:szCs w:val="24"/>
          <w:lang w:val="en-GB"/>
        </w:rPr>
        <w:t xml:space="preserve"> attribution of waivers in individual cases</w:t>
      </w:r>
      <w:r>
        <w:rPr>
          <w:rFonts w:ascii="Times New Roman" w:hAnsi="Times New Roman" w:cs="Times New Roman"/>
          <w:sz w:val="24"/>
          <w:szCs w:val="24"/>
          <w:lang w:val="en-GB"/>
        </w:rPr>
        <w:t xml:space="preserve"> in order to meet national or regional legal requirements for the respect of privacy and data protection or at least avoiding conflict with them seems to become in the future extremely burdensome and outdated.</w:t>
      </w:r>
      <w:r w:rsidRPr="00083A90">
        <w:rPr>
          <w:rFonts w:ascii="Times New Roman" w:hAnsi="Times New Roman" w:cs="Times New Roman"/>
          <w:sz w:val="24"/>
          <w:szCs w:val="24"/>
          <w:lang w:val="en-GB"/>
        </w:rPr>
        <w:t xml:space="preserve"> It is to be considered how the best the above explained principles can be integrated in ICANN’s policies</w:t>
      </w:r>
      <w:r>
        <w:rPr>
          <w:rFonts w:ascii="Times New Roman" w:hAnsi="Times New Roman" w:cs="Times New Roman"/>
          <w:sz w:val="24"/>
          <w:szCs w:val="24"/>
          <w:lang w:val="en-GB"/>
        </w:rPr>
        <w:t xml:space="preserve"> in order to have a privacy friendly model which can be used worldwide</w:t>
      </w:r>
      <w:r w:rsidRPr="00083A90">
        <w:rPr>
          <w:rFonts w:ascii="Times New Roman" w:hAnsi="Times New Roman" w:cs="Times New Roman"/>
          <w:sz w:val="24"/>
          <w:szCs w:val="24"/>
          <w:lang w:val="en-GB"/>
        </w:rPr>
        <w:t>.</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Several areas can be identified as of interest where particular attention is to be paid to the above detailed principles: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pStyle w:val="ListParagraph"/>
        <w:numPr>
          <w:ilvl w:val="1"/>
          <w:numId w:val="6"/>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defining the purpose of data processing and application of limitation principle</w:t>
      </w:r>
    </w:p>
    <w:p w:rsidR="00083A90" w:rsidRPr="00083A90" w:rsidRDefault="00083A90" w:rsidP="00083A90">
      <w:pPr>
        <w:pStyle w:val="ListParagraph"/>
        <w:numPr>
          <w:ilvl w:val="1"/>
          <w:numId w:val="6"/>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data collection for LEA, national security access</w:t>
      </w:r>
    </w:p>
    <w:p w:rsidR="00083A90" w:rsidRPr="00083A90" w:rsidRDefault="00083A90" w:rsidP="00083A90">
      <w:pPr>
        <w:pStyle w:val="ListParagraph"/>
        <w:numPr>
          <w:ilvl w:val="1"/>
          <w:numId w:val="6"/>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data retention policy</w:t>
      </w:r>
    </w:p>
    <w:p w:rsidR="00083A90" w:rsidRPr="00083A90" w:rsidRDefault="00083A90" w:rsidP="00083A90">
      <w:pPr>
        <w:pStyle w:val="ListParagraph"/>
        <w:numPr>
          <w:ilvl w:val="1"/>
          <w:numId w:val="6"/>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data transfers, onward transfers</w:t>
      </w:r>
    </w:p>
    <w:p w:rsidR="00083A90" w:rsidRPr="00083A90" w:rsidRDefault="00083A90" w:rsidP="00083A90">
      <w:pPr>
        <w:pStyle w:val="ListParagraph"/>
        <w:numPr>
          <w:ilvl w:val="1"/>
          <w:numId w:val="6"/>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automated data processing</w:t>
      </w:r>
    </w:p>
    <w:p w:rsidR="00083A90" w:rsidRPr="00870533" w:rsidRDefault="00083A90" w:rsidP="00083A90">
      <w:pPr>
        <w:pStyle w:val="ListParagraph"/>
        <w:numPr>
          <w:ilvl w:val="1"/>
          <w:numId w:val="6"/>
        </w:num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effective remedies granted to data subjects</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Pr>
          <w:rFonts w:ascii="Times New Roman" w:hAnsi="Times New Roman" w:cs="Times New Roman"/>
          <w:sz w:val="24"/>
          <w:szCs w:val="24"/>
          <w:lang w:val="en-GB"/>
        </w:rPr>
        <w:t>S</w:t>
      </w:r>
      <w:r w:rsidRPr="00083A90">
        <w:rPr>
          <w:rFonts w:ascii="Times New Roman" w:hAnsi="Times New Roman" w:cs="Times New Roman"/>
          <w:sz w:val="24"/>
          <w:szCs w:val="24"/>
          <w:lang w:val="en-GB"/>
        </w:rPr>
        <w:t>ource:http://ec.europa.eu/justice/data-protection/article-29/documentation/opinion-recommendation/files/2016/wp238_en.pdf</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r w:rsidRPr="00083A90">
        <w:rPr>
          <w:rFonts w:ascii="Times New Roman" w:hAnsi="Times New Roman" w:cs="Times New Roman"/>
          <w:sz w:val="24"/>
          <w:szCs w:val="24"/>
          <w:lang w:val="en-GB"/>
        </w:rPr>
        <w:t>http://europa.eu/rapid/press-release_IP-16-216_en.htm</w:t>
      </w:r>
    </w:p>
    <w:p w:rsidR="00083A90" w:rsidRPr="00083A90" w:rsidRDefault="00083A90" w:rsidP="00083A90">
      <w:pPr>
        <w:jc w:val="both"/>
        <w:rPr>
          <w:rFonts w:ascii="Times New Roman" w:hAnsi="Times New Roman" w:cs="Times New Roman"/>
          <w:sz w:val="24"/>
          <w:szCs w:val="24"/>
          <w:lang w:val="en-GB"/>
        </w:rPr>
      </w:pPr>
    </w:p>
    <w:p w:rsidR="00083A90" w:rsidRPr="00083A90" w:rsidRDefault="00083A90" w:rsidP="00083A90">
      <w:pPr>
        <w:jc w:val="both"/>
        <w:rPr>
          <w:rFonts w:ascii="Times New Roman" w:hAnsi="Times New Roman" w:cs="Times New Roman"/>
          <w:sz w:val="24"/>
          <w:szCs w:val="24"/>
          <w:lang w:val="en-GB"/>
        </w:rPr>
      </w:pPr>
    </w:p>
    <w:p w:rsidR="005B617B" w:rsidRPr="00083A90" w:rsidRDefault="005B617B" w:rsidP="00083A90">
      <w:pPr>
        <w:jc w:val="both"/>
        <w:rPr>
          <w:rFonts w:ascii="Times New Roman" w:hAnsi="Times New Roman" w:cs="Times New Roman"/>
          <w:sz w:val="24"/>
          <w:szCs w:val="24"/>
          <w:lang w:val="en-GB"/>
        </w:rPr>
      </w:pPr>
    </w:p>
    <w:sectPr w:rsidR="005B617B" w:rsidRPr="00083A9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F7E" w:rsidRDefault="00136F7E">
      <w:pPr>
        <w:spacing w:after="0" w:line="240" w:lineRule="auto"/>
      </w:pPr>
      <w:r>
        <w:separator/>
      </w:r>
    </w:p>
  </w:endnote>
  <w:endnote w:type="continuationSeparator" w:id="0">
    <w:p w:rsidR="00136F7E" w:rsidRDefault="0013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CB" w:rsidRDefault="005902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CB" w:rsidRPr="005902CB" w:rsidRDefault="00870533">
    <w:pPr>
      <w:pStyle w:val="Footer"/>
    </w:pPr>
    <w:r w:rsidRPr="00870533">
      <w:rPr>
        <w:noProof/>
        <w:sz w:val="12"/>
      </w:rPr>
      <w:t>{00915754-1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CB" w:rsidRDefault="005902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F7E" w:rsidRDefault="00136F7E">
      <w:pPr>
        <w:spacing w:after="0" w:line="240" w:lineRule="auto"/>
        <w:rPr>
          <w:noProof/>
        </w:rPr>
      </w:pPr>
      <w:r>
        <w:rPr>
          <w:noProof/>
        </w:rPr>
        <w:separator/>
      </w:r>
    </w:p>
  </w:footnote>
  <w:footnote w:type="continuationSeparator" w:id="0">
    <w:p w:rsidR="00136F7E" w:rsidRDefault="00136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CB" w:rsidRDefault="005902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CB" w:rsidRDefault="005902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2CB" w:rsidRDefault="005902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302FC"/>
    <w:multiLevelType w:val="hybridMultilevel"/>
    <w:tmpl w:val="09F695BE"/>
    <w:lvl w:ilvl="0" w:tplc="040E0015">
      <w:start w:val="1"/>
      <w:numFmt w:val="upperLetter"/>
      <w:lvlText w:val="%1."/>
      <w:lvlJc w:val="left"/>
      <w:pPr>
        <w:ind w:left="720" w:hanging="360"/>
      </w:pPr>
    </w:lvl>
    <w:lvl w:ilvl="1" w:tplc="040E0015">
      <w:start w:val="1"/>
      <w:numFmt w:val="upp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C632B51"/>
    <w:multiLevelType w:val="hybridMultilevel"/>
    <w:tmpl w:val="B3F65A8C"/>
    <w:lvl w:ilvl="0" w:tplc="9C76CF94">
      <w:start w:val="1"/>
      <w:numFmt w:val="lowerLetter"/>
      <w:lvlText w:val="%1."/>
      <w:lvlJc w:val="left"/>
      <w:pPr>
        <w:ind w:left="1413" w:hanging="705"/>
      </w:pPr>
      <w:rPr>
        <w:rFonts w:hint="default"/>
      </w:rPr>
    </w:lvl>
    <w:lvl w:ilvl="1" w:tplc="04743BDE">
      <w:start w:val="1"/>
      <w:numFmt w:val="upperLetter"/>
      <w:lvlText w:val="%2."/>
      <w:lvlJc w:val="left"/>
      <w:pPr>
        <w:ind w:left="2133" w:hanging="705"/>
      </w:pPr>
      <w:rPr>
        <w:rFonts w:hint="default"/>
      </w:r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1D6558E3"/>
    <w:multiLevelType w:val="hybridMultilevel"/>
    <w:tmpl w:val="8B70B0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0A04034"/>
    <w:multiLevelType w:val="hybridMultilevel"/>
    <w:tmpl w:val="12048BF8"/>
    <w:lvl w:ilvl="0" w:tplc="2B583E16">
      <w:start w:val="1"/>
      <w:numFmt w:val="decimal"/>
      <w:lvlText w:val="%1."/>
      <w:lvlJc w:val="left"/>
      <w:pPr>
        <w:ind w:left="1065" w:hanging="705"/>
      </w:pPr>
      <w:rPr>
        <w:rFonts w:hint="default"/>
      </w:rPr>
    </w:lvl>
    <w:lvl w:ilvl="1" w:tplc="16B8EE86">
      <w:start w:val="1"/>
      <w:numFmt w:val="bullet"/>
      <w:lvlText w:val="•"/>
      <w:lvlJc w:val="left"/>
      <w:pPr>
        <w:ind w:left="1785" w:hanging="705"/>
      </w:pPr>
      <w:rPr>
        <w:rFonts w:ascii="Times New Roman" w:eastAsiaTheme="minorHAnsi" w:hAnsi="Times New Roman" w:cs="Times New Roman"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1C77545"/>
    <w:multiLevelType w:val="hybridMultilevel"/>
    <w:tmpl w:val="52D2A372"/>
    <w:lvl w:ilvl="0" w:tplc="040E0015">
      <w:start w:val="1"/>
      <w:numFmt w:val="upp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E064845"/>
    <w:multiLevelType w:val="hybridMultilevel"/>
    <w:tmpl w:val="A20AE4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35902272"/>
    <w:multiLevelType w:val="hybridMultilevel"/>
    <w:tmpl w:val="53C8AAB4"/>
    <w:lvl w:ilvl="0" w:tplc="759C577C">
      <w:start w:val="1"/>
      <w:numFmt w:val="lowerLetter"/>
      <w:lvlText w:val="%1."/>
      <w:lvlJc w:val="left"/>
      <w:pPr>
        <w:ind w:left="1413" w:hanging="705"/>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 w15:restartNumberingAfterBreak="0">
    <w:nsid w:val="58270BF8"/>
    <w:multiLevelType w:val="hybridMultilevel"/>
    <w:tmpl w:val="937EE7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FD40B14"/>
    <w:multiLevelType w:val="hybridMultilevel"/>
    <w:tmpl w:val="32DA34BA"/>
    <w:lvl w:ilvl="0" w:tplc="A9D8516E">
      <w:start w:val="1"/>
      <w:numFmt w:val="lowerRoman"/>
      <w:lvlText w:val="%1."/>
      <w:lvlJc w:val="left"/>
      <w:pPr>
        <w:ind w:left="2133" w:hanging="720"/>
      </w:pPr>
      <w:rPr>
        <w:rFonts w:hint="default"/>
      </w:rPr>
    </w:lvl>
    <w:lvl w:ilvl="1" w:tplc="2F46E958">
      <w:start w:val="3"/>
      <w:numFmt w:val="bullet"/>
      <w:lvlText w:val="•"/>
      <w:lvlJc w:val="left"/>
      <w:pPr>
        <w:ind w:left="2838" w:hanging="705"/>
      </w:pPr>
      <w:rPr>
        <w:rFonts w:ascii="Times New Roman" w:eastAsiaTheme="minorHAnsi" w:hAnsi="Times New Roman" w:cs="Times New Roman" w:hint="default"/>
      </w:rPr>
    </w:lvl>
    <w:lvl w:ilvl="2" w:tplc="040E001B" w:tentative="1">
      <w:start w:val="1"/>
      <w:numFmt w:val="lowerRoman"/>
      <w:lvlText w:val="%3."/>
      <w:lvlJc w:val="right"/>
      <w:pPr>
        <w:ind w:left="3213" w:hanging="180"/>
      </w:pPr>
    </w:lvl>
    <w:lvl w:ilvl="3" w:tplc="040E000F" w:tentative="1">
      <w:start w:val="1"/>
      <w:numFmt w:val="decimal"/>
      <w:lvlText w:val="%4."/>
      <w:lvlJc w:val="left"/>
      <w:pPr>
        <w:ind w:left="3933" w:hanging="360"/>
      </w:pPr>
    </w:lvl>
    <w:lvl w:ilvl="4" w:tplc="040E0019" w:tentative="1">
      <w:start w:val="1"/>
      <w:numFmt w:val="lowerLetter"/>
      <w:lvlText w:val="%5."/>
      <w:lvlJc w:val="left"/>
      <w:pPr>
        <w:ind w:left="4653" w:hanging="360"/>
      </w:pPr>
    </w:lvl>
    <w:lvl w:ilvl="5" w:tplc="040E001B" w:tentative="1">
      <w:start w:val="1"/>
      <w:numFmt w:val="lowerRoman"/>
      <w:lvlText w:val="%6."/>
      <w:lvlJc w:val="right"/>
      <w:pPr>
        <w:ind w:left="5373" w:hanging="180"/>
      </w:pPr>
    </w:lvl>
    <w:lvl w:ilvl="6" w:tplc="040E000F" w:tentative="1">
      <w:start w:val="1"/>
      <w:numFmt w:val="decimal"/>
      <w:lvlText w:val="%7."/>
      <w:lvlJc w:val="left"/>
      <w:pPr>
        <w:ind w:left="6093" w:hanging="360"/>
      </w:pPr>
    </w:lvl>
    <w:lvl w:ilvl="7" w:tplc="040E0019" w:tentative="1">
      <w:start w:val="1"/>
      <w:numFmt w:val="lowerLetter"/>
      <w:lvlText w:val="%8."/>
      <w:lvlJc w:val="left"/>
      <w:pPr>
        <w:ind w:left="6813" w:hanging="360"/>
      </w:pPr>
    </w:lvl>
    <w:lvl w:ilvl="8" w:tplc="040E001B" w:tentative="1">
      <w:start w:val="1"/>
      <w:numFmt w:val="lowerRoman"/>
      <w:lvlText w:val="%9."/>
      <w:lvlJc w:val="right"/>
      <w:pPr>
        <w:ind w:left="7533" w:hanging="180"/>
      </w:pPr>
    </w:lvl>
  </w:abstractNum>
  <w:abstractNum w:abstractNumId="9" w15:restartNumberingAfterBreak="0">
    <w:nsid w:val="6D787053"/>
    <w:multiLevelType w:val="hybridMultilevel"/>
    <w:tmpl w:val="C7EA18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1"/>
  </w:num>
  <w:num w:numId="5">
    <w:abstractNumId w:val="7"/>
  </w:num>
  <w:num w:numId="6">
    <w:abstractNumId w:val="8"/>
  </w:num>
  <w:num w:numId="7">
    <w:abstractNumId w:val="0"/>
  </w:num>
  <w:num w:numId="8">
    <w:abstractNumId w:val="4"/>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90"/>
    <w:rsid w:val="00045605"/>
    <w:rsid w:val="00083A90"/>
    <w:rsid w:val="00136F7E"/>
    <w:rsid w:val="004D6520"/>
    <w:rsid w:val="005902CB"/>
    <w:rsid w:val="005B617B"/>
    <w:rsid w:val="00870533"/>
    <w:rsid w:val="00947656"/>
    <w:rsid w:val="00C77222"/>
    <w:rsid w:val="00D066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43C8A85-685D-422B-810D-0ECAB7FD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A90"/>
    <w:pPr>
      <w:ind w:left="720"/>
      <w:contextualSpacing/>
    </w:pPr>
  </w:style>
  <w:style w:type="character" w:styleId="Hyperlink">
    <w:name w:val="Hyperlink"/>
    <w:basedOn w:val="DefaultParagraphFont"/>
    <w:uiPriority w:val="99"/>
    <w:unhideWhenUsed/>
    <w:rsid w:val="005902CB"/>
    <w:rPr>
      <w:color w:val="0563C1" w:themeColor="hyperlink"/>
      <w:u w:val="single"/>
    </w:rPr>
  </w:style>
  <w:style w:type="paragraph" w:styleId="Header">
    <w:name w:val="header"/>
    <w:basedOn w:val="Normal"/>
    <w:link w:val="HeaderChar"/>
    <w:uiPriority w:val="99"/>
    <w:unhideWhenUsed/>
    <w:rsid w:val="00590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2CB"/>
  </w:style>
  <w:style w:type="paragraph" w:styleId="Footer">
    <w:name w:val="footer"/>
    <w:basedOn w:val="Normal"/>
    <w:link w:val="FooterChar"/>
    <w:uiPriority w:val="99"/>
    <w:unhideWhenUsed/>
    <w:rsid w:val="00590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erce.gov/privacyshiel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uria.europa.eu/juris/liste.jsf?pro=&amp;lgrec=en&amp;nat=or&amp;oqp=&amp;dates=&amp;lg=&amp;language=en&amp;jur=C%2CT%2CF&amp;cit=none%252CC%252CCJ%252CR%252C2008E%252C%252C%252C%252C%252C%252C%252C%252C%252C%252Ctrue%252Cfalse%252Cfalse&amp;num=C-362%252F14&amp;td=%3BALL&amp;pcs=Oor&amp;avg=&amp;page=1&amp;mat=or&amp;jge=&amp;for=&amp;cid=57671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c.europa.eu/justice/data-protection/article-29/documentation/opinion-recommendation/index_en.htm" TargetMode="External"/><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3747</Words>
  <Characters>21038</Characters>
  <Application>Microsoft Office Word</Application>
  <DocSecurity>0</DocSecurity>
  <PresentationFormat/>
  <Lines>385</Lines>
  <Paragraphs>77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Schrems v. DPC decision, Privacy Shield text and April 13, 2016 Article 29WP Decision on Privacy Shield (00915754).DOCX</vt:lpstr>
      <vt:lpstr/>
    </vt:vector>
  </TitlesOfParts>
  <Company/>
  <LinksUpToDate>false</LinksUpToDate>
  <CharactersWithSpaces>24771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Schrems v. DPC decision, Privacy Shield text and April 13, 2016 Article 29WP Decision on Privacy Shield (00915754).DOCX</dc:title>
  <dc:subject>00915754-1 /font=6</dc:subject>
  <dc:creator>NAIH-40</dc:creator>
  <cp:keywords/>
  <dc:description/>
  <cp:lastModifiedBy>Kathy Kleiman</cp:lastModifiedBy>
  <cp:revision>5</cp:revision>
  <dcterms:created xsi:type="dcterms:W3CDTF">2016-04-15T19:51:00Z</dcterms:created>
  <dcterms:modified xsi:type="dcterms:W3CDTF">2016-04-15T20:04:00Z</dcterms:modified>
</cp:coreProperties>
</file>