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pStyle w:val="BodyText"/>
        <w:jc w:val="center"/>
        <w:rPr>
          <w:sz w:val="28"/>
          <w:szCs w:val="28"/>
        </w:rPr>
      </w:pPr>
      <w:bookmarkStart w:id="0" w:name="_GoBack"/>
      <w:bookmarkEnd w:id="0"/>
      <w:r>
        <w:rPr>
          <w:sz w:val="28"/>
          <w:szCs w:val="28"/>
        </w:rPr>
        <w:t xml:space="preserve">Summary of Documents Re Data Retention </w:t>
      </w:r>
    </w:p>
    <w:p>
      <w:pPr>
        <w:pStyle w:val="BodyText"/>
      </w:pPr>
      <w:r>
        <w:t xml:space="preserve">1.  Data Retention Specification: </w:t>
      </w:r>
      <w:r>
        <w:fldChar w:fldCharType="begin"/>
      </w:r>
      <w:r>
        <w:instrText xml:space="preserve"> HYPERLINK "https://www.icann.org/resources/pages/approved-with-specs-2013-09-17-en" \l "data-retention" </w:instrText>
      </w:r>
      <w:r>
        <w:fldChar w:fldCharType="separate"/>
      </w:r>
      <w:r>
        <w:rPr>
          <w:rStyle w:val="Hyperlink"/>
        </w:rPr>
        <w:t>https://www.icann.org/resources/pages/approved-with-specs-2013-09-17-en#data-retention</w:t>
      </w:r>
      <w:r>
        <w:fldChar w:fldCharType="end"/>
      </w:r>
      <w:r>
        <w:t xml:space="preserve">    </w:t>
      </w:r>
    </w:p>
    <w:p>
      <w:pPr>
        <w:pStyle w:val="BodyText"/>
      </w:pPr>
      <w:r>
        <w:t xml:space="preserve">Under the Data Retention Specification to the 2013 Registrar Accreditation Agreement (RAA), ICANN-accredited domain name registrars are obligated to “collect and securely maintain” specified data elements that are either obtained from registrants at the time of registration, or that are generated in connection with the registration process.  The RAA requires that these data elements be retained by registrars either for two years following the end of the registrar’s sponsorship of the domain name in question, or for 180 days following specified interactions between registrars and registrants, depending on the data involved. Note that one item listed in the Data Retention Specification (item 1.1.6) is “WHOIS Information, as set forth in the WHOIS Specification” to the RAA; and that some other items listed (e.g., items 1.1.1 through 1.1.5) overlap with data currently made publicly available via Whois, while others (e.g., items 1.1.7 and 1.1.8) do not.  (In other words, the data elements covered by the Data Retention Specification form a superset of the data elements currently collected and made available via Whois.)  The Data Retention Specification also provides a procedure for registrars to request waivers from some or all of these obligations, based on  evidence that compliance with the obligations would violate applicable law.  </w:t>
      </w:r>
    </w:p>
    <w:p>
      <w:pPr>
        <w:pStyle w:val="BodyText"/>
        <w:ind w:left="720" w:firstLine="0"/>
      </w:pPr>
      <w:r>
        <w:t>2.  Public Comment Request:</w:t>
      </w:r>
      <w:r>
        <w:rPr>
          <w:rFonts w:eastAsia="Times New Roman"/>
        </w:rPr>
        <w:t xml:space="preserve"> </w:t>
      </w:r>
      <w:r>
        <w:rPr>
          <w:rStyle w:val="DefaultParagraphFont"/>
        </w:rPr>
        <w:t>http://immagic.com/eLibrary/ARCHIVES/GENERAL/ICANN_US/I140321A.pdf</w:t>
      </w:r>
    </w:p>
    <w:p>
      <w:pPr>
        <w:pStyle w:val="BodyText"/>
      </w:pPr>
      <w:r>
        <w:t xml:space="preserve">In March 2014, ICANN issued an announcement stating that, in the context of discussions about waiver requests under the Data Retention Specification, “some Registrars have requested that ICANN …. “describe potentially legitimate purposes  for collection and retention of each data element” listed in the Data Retention Specification.  This would “help provide guidance for Registrars both as to whether such elements may be lawfully collected, and, if so, for how long such elements might be lawfully retained.”  </w:t>
      </w:r>
    </w:p>
    <w:p>
      <w:pPr>
        <w:pStyle w:val="BodyText"/>
      </w:pPr>
      <w:r>
        <w:t xml:space="preserve">3.  Discussion Draft: </w:t>
      </w:r>
      <w:r>
        <w:rPr>
          <w:rStyle w:val="DefaultParagraphFont"/>
        </w:rPr>
        <w:t>https://www.icann.org/en/system/files/files/draft-data-retention-spec-elements-21mar14-en.pdf</w:t>
      </w:r>
      <w:r>
        <w:t xml:space="preserve"> </w:t>
      </w:r>
    </w:p>
    <w:p>
      <w:pPr>
        <w:pStyle w:val="BodyText"/>
      </w:pPr>
      <w:r>
        <w:t xml:space="preserve">As noted in the Public Comment Request, ICANN drafted, and sought public comment on, a document listing “Potentially Legitimate purposes for Collection/Retention” of each data element listed in the Data Retention Specification.  For item 1.1.6, covering WHOIS information, ICANN identified the following as  a “potentially legitimate purpose”:  </w:t>
      </w:r>
    </w:p>
    <w:p>
      <w:pPr>
        <w:pStyle w:val="BodyText"/>
      </w:pPr>
      <w:r>
        <w:t>“Data Enabling Registrar to populate and make available to the public community the WHOIS register both during and for some period of time after the registration (to address hijacking, theft, slamming and to facilitate resolution of transfer disputes in accordance with the TDRP)</w:t>
      </w:r>
    </w:p>
    <w:p>
      <w:pPr>
        <w:pStyle w:val="BodyText"/>
      </w:pPr>
      <w:r>
        <w:t>“Abuse mitigation</w:t>
      </w:r>
    </w:p>
    <w:p>
      <w:pPr>
        <w:pStyle w:val="BodyText"/>
      </w:pPr>
      <w:r>
        <w:t xml:space="preserve">“Facilitating domain name purchases and sales.”  </w:t>
      </w:r>
    </w:p>
    <w:p>
      <w:pPr>
        <w:pStyle w:val="BodyText"/>
      </w:pPr>
      <w:r>
        <w:t xml:space="preserve">The Discussion Draft also provides “explanations” for some of these “potentially legitimate purposes,” including the last two listed under the item above.  </w:t>
      </w:r>
    </w:p>
    <w:p>
      <w:pPr>
        <w:pStyle w:val="BodyText"/>
      </w:pPr>
      <w:r>
        <w:t xml:space="preserve">Comments: </w:t>
      </w:r>
    </w:p>
    <w:p>
      <w:pPr>
        <w:pStyle w:val="BodyText"/>
      </w:pPr>
      <w:r>
        <w:t xml:space="preserve">Note that these documents may address a wider range of issues than those on which this PDP focuses, both because they encompass transactional data elements well outside the scope of the historic Whois, and because they deal with retention of the data after the expiration of the registration or the end of its sponsorship by a particular registrar. </w:t>
      </w:r>
    </w:p>
    <w:p>
      <w:pPr>
        <w:pStyle w:val="BodyText"/>
      </w:pPr>
      <w:r>
        <w:t xml:space="preserve">It is also not clear who responded to the public comment  notice on the Discussion Document; what their comments were; and how if at all ICANN took these into account. In contrast to the usual notice appearing on the ICANN public comment page, it does not appear that any “comment forum” was published, nor any summary of the comments received.  Finally, the current status of the ICANN-provided “potentially legitimate purposes” is unknown.  Perhaps ICANN compliance could provide more information on these points.          </w:t>
      </w:r>
    </w:p>
    <w:sectPr>
      <w:footerReference w:type="default" r:id="rId4"/>
      <w:footerReference w:type="first" r:id="rId5"/>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2</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7609107.1</w:t>
    </w:r>
    <w:r>
      <w:rPr>
        <w:rStyle w:val="DocI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7609107.1</w:t>
    </w:r>
    <w:r>
      <w:rPr>
        <w:rStyle w:val="DocID"/>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ttachedTemplate r:id="rId1"/>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6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line="140" w:lineRule="exact"/>
    </w:pPr>
    <w:rPr>
      <w:rFonts w:ascii="Trebuchet MS" w:hAnsi="Trebuchet MS"/>
      <w:smallCaps/>
      <w:spacing w:val="-2"/>
      <w:sz w:val="16"/>
      <w:szCs w:val="16"/>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 w:type="paragraph" w:customStyle="1" w:styleId="FirmName">
    <w:name w:val="FirmName"/>
    <w:link w:val="FirmNameChar"/>
    <w:pPr>
      <w:spacing w:before="60" w:line="280" w:lineRule="exact"/>
    </w:pPr>
    <w:rPr>
      <w:rFonts w:ascii="Trebuchet MS" w:eastAsia="Times New Roman" w:hAnsi="Trebuchet MS" w:cs="Times New Roman"/>
      <w:smallCaps/>
      <w:noProof/>
      <w:spacing w:val="-2"/>
      <w:w w:val="101"/>
      <w:sz w:val="28"/>
      <w:szCs w:val="28"/>
    </w:rPr>
  </w:style>
  <w:style w:type="character" w:customStyle="1" w:styleId="FirmNameChar">
    <w:name w:val="FirmName Char"/>
    <w:basedOn w:val="DefaultParagraphFont"/>
    <w:link w:val="FirmName"/>
    <w:rPr>
      <w:rFonts w:ascii="Trebuchet MS" w:eastAsia="Times New Roman" w:hAnsi="Trebuchet MS" w:cs="Times New Roman"/>
      <w:smallCaps/>
      <w:noProof/>
      <w:spacing w:val="-2"/>
      <w:w w:val="101"/>
      <w:sz w:val="28"/>
      <w:szCs w:val="28"/>
    </w:rPr>
  </w:style>
  <w:style w:type="paragraph" w:customStyle="1" w:styleId="Logo">
    <w:name w:val="Logo"/>
    <w:basedOn w:val="Normal"/>
    <w:uiPriority w:val="99"/>
    <w:semiHidden/>
    <w:qFormat/>
    <w:rPr>
      <w:noProof/>
      <w:lang w:eastAsia="zh-CN"/>
    </w:rPr>
  </w:style>
  <w:style w:type="paragraph" w:customStyle="1" w:styleId="ConfidentialityPhraseP2Header">
    <w:name w:val="ConfidentialityPhraseP2Header"/>
    <w:basedOn w:val="Normal"/>
    <w:uiPriority w:val="99"/>
    <w:semiHidden/>
    <w:pPr>
      <w:contextualSpacing/>
    </w:pPr>
    <w:rPr>
      <w:rFonts w:ascii="Trebuchet MS" w:hAnsi="Trebuchet MS"/>
      <w:b/>
      <w:sz w:val="15"/>
    </w:rPr>
  </w:style>
  <w:style w:type="paragraph" w:customStyle="1" w:styleId="DateInHeader">
    <w:name w:val="DateInHeader"/>
    <w:basedOn w:val="Header"/>
    <w:uiPriority w:val="99"/>
    <w:semiHidden/>
    <w:qFormat/>
    <w:rPr>
      <w:rFonts w:ascii="Trebuchet MS" w:eastAsia="Times New Roman" w:hAnsi="Trebuchet MS" w:cs="Times New Roman"/>
      <w:noProof/>
      <w:sz w:val="15"/>
    </w:rPr>
  </w:style>
  <w:style w:type="paragraph" w:customStyle="1" w:styleId="PageNumberInHeader">
    <w:name w:val="PageNumberInHeader"/>
    <w:basedOn w:val="Header"/>
    <w:next w:val="Header"/>
    <w:uiPriority w:val="99"/>
    <w:semiHidden/>
    <w:pPr>
      <w:spacing w:after="240"/>
    </w:pPr>
    <w:rPr>
      <w:rFonts w:ascii="Trebuchet MS" w:eastAsia="Times New Roman" w:hAnsi="Trebuchet MS" w:cs="Times New Roman"/>
      <w:noProof/>
      <w:sz w:val="15"/>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Templates\MSK%20Templates\Blank.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Summary data retention spec materials for RDS-Privacy (7609107).DOCX</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2016-04-19T17:58:48Z</dcterms:created>
  <dcterms:modified xsi:type="dcterms:W3CDTF">2016-04-19T17:58:48Z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7609107.1</vt:lpwstr>
  </property>
  <property fmtid="{D5CDD505-2E9C-101B-9397-08002B2CF9AE}" pid="3" name="DocumentType">
    <vt:lpwstr>pcgBlank</vt:lpwstr>
  </property>
</Properties>
</file>