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Possible requirements from:</w:t>
      </w:r>
    </w:p>
    <w:p>
      <w:pPr>
        <w:pStyle w:val="Body"/>
      </w:pPr>
    </w:p>
    <w:p>
      <w:pPr>
        <w:pStyle w:val="Body"/>
      </w:pPr>
      <w:r>
        <w:rPr>
          <w:sz w:val="24"/>
          <w:szCs w:val="24"/>
          <w:rtl w:val="0"/>
          <w:lang w:val="en-US"/>
        </w:rPr>
        <w:t>DESCRIPTION OF 2013 RAA DATA RETENTION SPECIFICATION DATA ELEMENTS</w:t>
      </w:r>
    </w:p>
    <w:p>
      <w:pPr>
        <w:pStyle w:val="Body"/>
      </w:pPr>
      <w:r>
        <w:rPr>
          <w:sz w:val="24"/>
          <w:szCs w:val="24"/>
          <w:rtl w:val="0"/>
          <w:lang w:val="en-US"/>
        </w:rPr>
        <w:t>AND POTENTIALLY LEGITIMATE PURPOSES FOR COLLECTION/RETENTION</w:t>
      </w:r>
    </w:p>
    <w:p>
      <w:pPr>
        <w:pStyle w:val="Body"/>
      </w:pPr>
      <w:r>
        <w:rPr>
          <w:sz w:val="24"/>
          <w:szCs w:val="24"/>
          <w:rtl w:val="0"/>
          <w:lang w:val="en-US"/>
        </w:rPr>
        <w:t>DISCUSSION DRAFT ONLY 21 March 2014</w:t>
      </w:r>
    </w:p>
    <w:p>
      <w:pPr>
        <w:pStyle w:val="No Spacing"/>
        <w:ind w:left="720" w:hanging="720"/>
      </w:pPr>
    </w:p>
    <w:p>
      <w:pPr>
        <w:pStyle w:val="Body"/>
      </w:pPr>
    </w:p>
    <w:p>
      <w:pPr>
        <w:pStyle w:val="Body"/>
      </w:pPr>
      <w:r>
        <w:rPr>
          <w:rFonts w:ascii="Arial" w:hAnsi="Arial"/>
          <w:b w:val="1"/>
          <w:bCs w:val="1"/>
          <w:spacing w:val="-1"/>
          <w:sz w:val="24"/>
          <w:szCs w:val="24"/>
          <w:u w:val="single"/>
          <w:rtl w:val="0"/>
          <w:lang w:val="en-US"/>
        </w:rPr>
        <w:t>Description of the document:</w:t>
      </w:r>
    </w:p>
    <w:p>
      <w:pPr>
        <w:pStyle w:val="Body"/>
      </w:pPr>
    </w:p>
    <w:p>
      <w:pPr>
        <w:pStyle w:val="Body"/>
      </w:pPr>
      <w:r>
        <w:rPr>
          <w:rFonts w:ascii="Arial" w:hAnsi="Arial"/>
          <w:sz w:val="24"/>
          <w:szCs w:val="24"/>
          <w:rtl w:val="0"/>
          <w:lang w:val="en-US"/>
        </w:rPr>
        <w:t xml:space="preserve">This document lists  and describes all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data elements that can be collected by the registrars in accordance with the 2013 RAA</w:t>
      </w:r>
      <w:r>
        <w:rPr>
          <w:rFonts w:ascii="Arial" w:hAnsi="Arial"/>
          <w:sz w:val="24"/>
          <w:szCs w:val="24"/>
          <w:rtl w:val="0"/>
          <w:lang w:val="en-US"/>
        </w:rPr>
        <w:t xml:space="preserve"> and it provides reasons / legitimate purposes for that collection and retention.</w:t>
      </w:r>
    </w:p>
    <w:p>
      <w:pPr>
        <w:pStyle w:val="Body"/>
      </w:pPr>
    </w:p>
    <w:p>
      <w:pPr>
        <w:pStyle w:val="Body"/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Possible requirements stemming from this document:</w:t>
      </w:r>
    </w:p>
    <w:p>
      <w:pPr>
        <w:pStyle w:val="Body"/>
      </w:pPr>
    </w:p>
    <w:p>
      <w:pPr>
        <w:pStyle w:val="Body"/>
        <w:spacing w:after="200"/>
        <w:jc w:val="left"/>
      </w:pPr>
      <w:r>
        <w:rPr>
          <w:rFonts w:ascii="Arial" w:hAnsi="Arial"/>
          <w:sz w:val="24"/>
          <w:szCs w:val="24"/>
          <w:rtl w:val="0"/>
          <w:lang w:val="en-US"/>
        </w:rPr>
        <w:t>Users/Purposes (UP)</w:t>
      </w:r>
      <w:r>
        <w:rPr>
          <w:rFonts w:ascii="Arial" w:hAnsi="Arial"/>
          <w:sz w:val="24"/>
          <w:szCs w:val="24"/>
          <w:rtl w:val="0"/>
          <w:lang w:val="en-US"/>
        </w:rPr>
        <w:t xml:space="preserve">: </w:t>
      </w:r>
      <w:r>
        <w:rPr>
          <w:rFonts w:ascii="Arial" w:hAnsi="Arial"/>
          <w:sz w:val="24"/>
          <w:szCs w:val="24"/>
          <w:rtl w:val="0"/>
          <w:lang w:val="en-US"/>
        </w:rPr>
        <w:t>The following possible requirements address the charter question on Users and Purposes (UP):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Who should</w:t>
      </w:r>
      <w:r>
        <w:rPr>
          <w:rFonts w:ascii="Trebuchet MS" w:hAnsi="Trebuchet MS"/>
          <w:i w:val="1"/>
          <w:iCs w:val="1"/>
          <w:sz w:val="24"/>
          <w:szCs w:val="24"/>
          <w:rtl w:val="0"/>
        </w:rPr>
        <w:t xml:space="preserve">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have access to gTLD registration data &amp; why?</w:t>
      </w:r>
    </w:p>
    <w:p>
      <w:pPr>
        <w:pStyle w:val="Body"/>
        <w:numPr>
          <w:ilvl w:val="0"/>
          <w:numId w:val="1"/>
        </w:num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Registrars</w:t>
      </w:r>
      <w:r>
        <w:rPr>
          <w:rFonts w:ascii="Arial" w:hAnsi="Arial"/>
          <w:sz w:val="24"/>
          <w:szCs w:val="24"/>
          <w:rtl w:val="0"/>
          <w:lang w:val="en-US"/>
        </w:rPr>
        <w:t xml:space="preserve"> should have access to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standard data elements</w:t>
      </w:r>
      <w:r>
        <w:rPr>
          <w:rFonts w:ascii="Arial" w:hAnsi="Arial"/>
          <w:sz w:val="24"/>
          <w:szCs w:val="24"/>
          <w:rtl w:val="0"/>
          <w:lang w:val="en-US"/>
        </w:rPr>
        <w:t xml:space="preserve"> (First and last name of the registrant, Technical contact and billing contact, Postal address, Email address, Telephone number, T</w:t>
      </w:r>
      <w:r>
        <w:rPr>
          <w:rFonts w:ascii="Arial" w:hAnsi="Arial"/>
          <w:sz w:val="24"/>
          <w:szCs w:val="24"/>
          <w:rtl w:val="0"/>
          <w:lang w:val="en-US"/>
        </w:rPr>
        <w:t>ypes of domain name services purchased</w:t>
      </w:r>
      <w:r>
        <w:rPr>
          <w:rFonts w:ascii="Arial" w:hAnsi="Arial"/>
          <w:sz w:val="24"/>
          <w:szCs w:val="24"/>
          <w:rtl w:val="0"/>
          <w:lang w:val="en-US"/>
        </w:rPr>
        <w:t>, i</w:t>
      </w:r>
      <w:r>
        <w:rPr>
          <w:rFonts w:ascii="Arial" w:hAnsi="Arial"/>
          <w:sz w:val="24"/>
          <w:szCs w:val="24"/>
          <w:rtl w:val="0"/>
          <w:lang w:val="fr-FR"/>
        </w:rPr>
        <w:t xml:space="preserve">nformation </w:t>
      </w:r>
      <w:r>
        <w:rPr>
          <w:rFonts w:ascii="Arial" w:hAnsi="Arial"/>
          <w:sz w:val="24"/>
          <w:szCs w:val="24"/>
          <w:rtl w:val="0"/>
          <w:lang w:val="en-US"/>
        </w:rPr>
        <w:t>on t</w:t>
      </w:r>
      <w:r>
        <w:rPr>
          <w:rFonts w:ascii="Arial" w:hAnsi="Arial"/>
          <w:sz w:val="24"/>
          <w:szCs w:val="24"/>
          <w:rtl w:val="0"/>
          <w:lang w:val="en-US"/>
        </w:rPr>
        <w:t>he means and source of payment</w:t>
      </w:r>
      <w:r>
        <w:rPr>
          <w:rFonts w:ascii="Arial" w:hAnsi="Arial"/>
          <w:sz w:val="24"/>
          <w:szCs w:val="24"/>
          <w:rtl w:val="0"/>
          <w:lang w:val="en-US"/>
        </w:rPr>
        <w:t xml:space="preserve">) for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billing, billing disputes</w:t>
      </w:r>
      <w:r>
        <w:rPr>
          <w:rFonts w:ascii="Arial" w:hAnsi="Arial"/>
          <w:sz w:val="24"/>
          <w:szCs w:val="24"/>
          <w:rtl w:val="0"/>
          <w:lang w:val="en-US"/>
        </w:rPr>
        <w:t>.</w:t>
      </w:r>
    </w:p>
    <w:p>
      <w:pPr>
        <w:pStyle w:val="Body"/>
      </w:pPr>
    </w:p>
    <w:p>
      <w:pPr>
        <w:pStyle w:val="Body"/>
        <w:numPr>
          <w:ilvl w:val="0"/>
          <w:numId w:val="1"/>
        </w:numPr>
        <w:rPr>
          <w:rFonts w:ascii="Arial" w:hAnsi="Arial"/>
          <w:sz w:val="24"/>
          <w:szCs w:val="24"/>
          <w:u w:val="single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The public community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 should have access to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WHOIS Information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 (describe in the WHOIS Specification) in order to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mitigate abuse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, 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>address hijacking, theft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 and</w:t>
      </w:r>
      <w:r>
        <w:rPr>
          <w:rFonts w:ascii="Arial" w:hAnsi="Arial"/>
          <w:sz w:val="24"/>
          <w:szCs w:val="24"/>
          <w:u w:val="none"/>
          <w:rtl w:val="0"/>
          <w:lang w:val="it-IT"/>
        </w:rPr>
        <w:t xml:space="preserve"> slamming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>.</w:t>
      </w:r>
    </w:p>
    <w:p>
      <w:pPr>
        <w:pStyle w:val="Body"/>
      </w:pPr>
    </w:p>
    <w:p>
      <w:pPr>
        <w:pStyle w:val="Body"/>
        <w:numPr>
          <w:ilvl w:val="0"/>
          <w:numId w:val="1"/>
        </w:numPr>
        <w:rPr>
          <w:rFonts w:ascii="Arial" w:hAnsi="Arial"/>
          <w:sz w:val="24"/>
          <w:szCs w:val="24"/>
          <w:u w:val="single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Registrars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 should have access to and be able to collect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records of communications with the registrant regarding the registration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 (l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>og files including communication sources, IP, ISP, behaviour on the website, method of transmission, source IP address, HTTP header, email, Skype handle associated with communication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) in order to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mitigate f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raud prevention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, for b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illing disputes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, for commercial purposes</w:t>
      </w:r>
      <w:r>
        <w:rPr>
          <w:rFonts w:ascii="Arial" w:hAnsi="Arial"/>
          <w:b w:val="1"/>
          <w:bCs w:val="1"/>
          <w:sz w:val="24"/>
          <w:szCs w:val="24"/>
          <w:u w:val="none"/>
          <w:rtl w:val="0"/>
          <w:lang w:val="en-US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