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0354DAD9" w:rsidR="00180EA6" w:rsidRPr="00DD2A3B" w:rsidRDefault="00C22E7B" w:rsidP="00B57551">
      <w:pPr>
        <w:jc w:val="center"/>
        <w:rPr>
          <w:b/>
          <w:color w:val="000000" w:themeColor="text1"/>
        </w:rPr>
      </w:pPr>
      <w:r w:rsidRPr="00DD2A3B">
        <w:rPr>
          <w:b/>
          <w:color w:val="000000" w:themeColor="text1"/>
        </w:rPr>
        <w:t xml:space="preserve">Version </w:t>
      </w:r>
      <w:r w:rsidR="00CF7ABF" w:rsidRPr="00DD2A3B">
        <w:rPr>
          <w:b/>
          <w:color w:val="000000" w:themeColor="text1"/>
        </w:rPr>
        <w:t>6</w:t>
      </w:r>
      <w:r w:rsidR="006222B3" w:rsidRPr="00DD2A3B">
        <w:rPr>
          <w:b/>
          <w:color w:val="000000" w:themeColor="text1"/>
        </w:rPr>
        <w:t>, 2</w:t>
      </w:r>
      <w:r w:rsidR="00CF7ABF" w:rsidRPr="00DD2A3B">
        <w:rPr>
          <w:b/>
          <w:color w:val="000000" w:themeColor="text1"/>
        </w:rPr>
        <w:t>7</w:t>
      </w:r>
      <w:r w:rsidRPr="00DD2A3B">
        <w:rPr>
          <w:b/>
          <w:color w:val="000000" w:themeColor="text1"/>
        </w:rPr>
        <w:t xml:space="preserve"> September 2016</w:t>
      </w:r>
      <w:r w:rsidR="00790973" w:rsidRPr="00DD2A3B">
        <w:rPr>
          <w:b/>
          <w:color w:val="000000" w:themeColor="text1"/>
        </w:rPr>
        <w:t xml:space="preserve"> + WG Comments</w:t>
      </w:r>
    </w:p>
    <w:p w14:paraId="0C4503DA" w14:textId="534F7019"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7C6750">
        <w:rPr>
          <w:b/>
          <w:color w:val="000000" w:themeColor="text1"/>
        </w:rPr>
        <w:t xml:space="preserve"> (thru 3</w:t>
      </w:r>
      <w:bookmarkStart w:id="0" w:name="_GoBack"/>
      <w:bookmarkEnd w:id="0"/>
      <w:r>
        <w:rPr>
          <w:b/>
          <w:color w:val="000000" w:themeColor="text1"/>
        </w:rPr>
        <w:t xml:space="preserve"> 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4053467A" w:rsidR="00DD2A3B" w:rsidRDefault="00DD2A3B" w:rsidP="000819D7">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r>
              <w:rPr>
                <w:color w:val="000000" w:themeColor="text1"/>
              </w:rPr>
              <w:t>(This may have been already done in distributed v6 redline)</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77777777" w:rsidR="00DD2A3B" w:rsidRDefault="00DD2A3B" w:rsidP="000819D7">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319D9425" w14:textId="77777777" w:rsidR="00DD2A3B" w:rsidRPr="002F7891" w:rsidRDefault="00DD2A3B" w:rsidP="000819D7">
            <w:pPr>
              <w:rPr>
                <w:color w:val="000000" w:themeColor="text1"/>
              </w:rPr>
            </w:pPr>
            <w:r>
              <w:rPr>
                <w:color w:val="000000" w:themeColor="text1"/>
              </w:rPr>
              <w:t>P</w:t>
            </w:r>
            <w:r w:rsidRPr="001F7385">
              <w:rPr>
                <w:color w:val="000000" w:themeColor="text1"/>
              </w:rPr>
              <w:t>erhaps a more fulsome consolidated RDS purpose statement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10BF1971"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5ACC6884" w14:textId="770F8B31" w:rsidR="00180EA6" w:rsidRPr="00117F74" w:rsidRDefault="005D48EA" w:rsidP="00117F74">
            <w:pPr>
              <w:pStyle w:val="ListParagraph"/>
              <w:numPr>
                <w:ilvl w:val="0"/>
                <w:numId w:val="16"/>
              </w:numPr>
              <w:rPr>
                <w:i/>
                <w:color w:val="000000" w:themeColor="text1"/>
              </w:rPr>
            </w:pPr>
            <w:r w:rsidRPr="00117F74">
              <w:rPr>
                <w:i/>
                <w:color w:val="000000" w:themeColor="text1"/>
              </w:rPr>
              <w:t>Proposed Title: Draft Statement of Purpose for the Collection and Use of Registration Data,  and a Potential Directory Service for the Disclosure of Registration Data (Stephanie Perrin</w:t>
            </w:r>
            <w:r w:rsidR="00E92EC6" w:rsidRPr="00117F74">
              <w:rPr>
                <w:i/>
                <w:color w:val="000000" w:themeColor="text1"/>
              </w:rPr>
              <w:t>- 29/9</w:t>
            </w:r>
            <w:r w:rsidRPr="00117F74">
              <w:rPr>
                <w:i/>
                <w:color w:val="000000" w:themeColor="text1"/>
              </w:rPr>
              <w:t>)</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1EE1C546" w:rsidR="00180EA6" w:rsidRDefault="00180EA6" w:rsidP="00C22E7B">
            <w:pPr>
              <w:rPr>
                <w:color w:val="000000" w:themeColor="text1"/>
              </w:rPr>
            </w:pPr>
            <w:r w:rsidRPr="002B57DA">
              <w:rPr>
                <w:color w:val="000000" w:themeColor="text1"/>
              </w:rPr>
              <w:t xml:space="preserve">This statement is intended to define the purpose(s) of a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names.  The statement is grouped into two categories: 1) Overall Goals for this Statement of Purpose; 2) Specific Purposes.  To ensure that the purposes are understood in the appropriate context, a list of prerequisite conditions of purposes is also provided.</w:t>
            </w:r>
          </w:p>
        </w:tc>
        <w:tc>
          <w:tcPr>
            <w:tcW w:w="6588" w:type="dxa"/>
          </w:tcPr>
          <w:p w14:paraId="752B03D5" w14:textId="0168BE8A" w:rsidR="00180EA6" w:rsidRPr="00117F74" w:rsidRDefault="005D48EA" w:rsidP="005D48EA">
            <w:pPr>
              <w:pStyle w:val="ListParagraph"/>
              <w:numPr>
                <w:ilvl w:val="0"/>
                <w:numId w:val="16"/>
              </w:numPr>
              <w:rPr>
                <w:i/>
                <w:color w:val="000000" w:themeColor="text1"/>
              </w:rPr>
            </w:pPr>
            <w:r w:rsidRPr="00117F74">
              <w:rPr>
                <w:i/>
                <w:color w:val="000000" w:themeColor="text1"/>
              </w:rPr>
              <w:t>Several implicit assumptions appear to have crept in, namely that an RDS is necessary, and that data will be released through it. Add “potential” before RDS; similar edit to Specific Purpose 3 intro. (Stephanie Perrin</w:t>
            </w:r>
            <w:r w:rsidR="00E92EC6" w:rsidRPr="00117F74">
              <w:rPr>
                <w:i/>
                <w:color w:val="000000" w:themeColor="text1"/>
              </w:rPr>
              <w:t xml:space="preserve"> – 29/9</w:t>
            </w:r>
            <w:r w:rsidRPr="00117F74">
              <w:rPr>
                <w:i/>
                <w:color w:val="000000" w:themeColor="text1"/>
              </w:rPr>
              <w:t>)</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6F54710A" w:rsidR="00180EA6" w:rsidRDefault="00180EA6" w:rsidP="00C22E7B">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This purpose statement is intended to focus on the purpose(s) of the RDS as a whole, although some overlap may be unavoidable.</w:t>
            </w:r>
          </w:p>
        </w:tc>
        <w:tc>
          <w:tcPr>
            <w:tcW w:w="6588" w:type="dxa"/>
          </w:tcPr>
          <w:p w14:paraId="2A05C404" w14:textId="2A5BBC7B" w:rsidR="00180EA6" w:rsidRPr="005D48EA" w:rsidRDefault="002C15C3" w:rsidP="005D48EA">
            <w:pPr>
              <w:pStyle w:val="ListParagraph"/>
              <w:numPr>
                <w:ilvl w:val="0"/>
                <w:numId w:val="7"/>
              </w:numPr>
              <w:rPr>
                <w:i/>
              </w:rPr>
            </w:pPr>
            <w:r w:rsidRPr="005D48EA">
              <w:rPr>
                <w:i/>
                <w:color w:val="000000" w:themeColor="text1"/>
              </w:rPr>
              <w:t xml:space="preserve">Add “the collection, use and disclosure of” before “individual registration data elements.” After “system” replace “collect” by “assemble.” </w:t>
            </w:r>
            <w:r w:rsidRPr="005D48EA">
              <w:rPr>
                <w:i/>
              </w:rPr>
              <w:t>The data has been collected already by registrars to register a domain name.</w:t>
            </w:r>
            <w:r w:rsidRPr="005D48EA">
              <w:rPr>
                <w:i/>
              </w:rPr>
              <w:t xml:space="preserve"> (Stephanie Perrin</w:t>
            </w:r>
            <w:r w:rsidR="00E92EC6">
              <w:rPr>
                <w:i/>
              </w:rPr>
              <w:t>- 29/9</w:t>
            </w:r>
            <w:r w:rsidRPr="005D48EA">
              <w:rPr>
                <w:i/>
              </w:rPr>
              <w:t>)</w:t>
            </w:r>
          </w:p>
          <w:p w14:paraId="55C39EC5" w14:textId="1C5A80E5" w:rsidR="005D48EA" w:rsidRPr="00DD2A3B" w:rsidRDefault="005D48EA" w:rsidP="005D48EA">
            <w:pPr>
              <w:pStyle w:val="ListParagraph"/>
              <w:numPr>
                <w:ilvl w:val="0"/>
                <w:numId w:val="7"/>
              </w:numPr>
              <w:rPr>
                <w:i/>
                <w:color w:val="000000" w:themeColor="text1"/>
              </w:rPr>
            </w:pPr>
            <w:r w:rsidRPr="005D48EA">
              <w:rPr>
                <w:i/>
                <w:color w:val="000000" w:themeColor="text1"/>
              </w:rPr>
              <w:t xml:space="preserve">Regarding overlap within statement of purpose being “unavoidable”: </w:t>
            </w:r>
            <w:r w:rsidRPr="005D48EA">
              <w:rPr>
                <w:i/>
              </w:rPr>
              <w:t>By creating this greatly enlarged statement of purpose for the RDS, have we not then leapt to the conclusion that we need a (new) RDS?</w:t>
            </w:r>
            <w:r w:rsidRPr="005D48EA">
              <w:rPr>
                <w:i/>
              </w:rPr>
              <w:t xml:space="preserve"> (Stephanie Perrin</w:t>
            </w:r>
            <w:r w:rsidR="00E92EC6">
              <w:rPr>
                <w:i/>
              </w:rPr>
              <w:t xml:space="preserve"> 29/9</w:t>
            </w:r>
            <w:r w:rsidRPr="005D48EA">
              <w:rPr>
                <w:i/>
              </w:rPr>
              <w:t>)</w:t>
            </w:r>
          </w:p>
          <w:p w14:paraId="237C050B" w14:textId="67763A60" w:rsidR="00DD2A3B" w:rsidRPr="005D48EA" w:rsidRDefault="00DD2A3B" w:rsidP="00DD2A3B">
            <w:pPr>
              <w:pStyle w:val="ListParagraph"/>
              <w:ind w:left="360"/>
              <w:rPr>
                <w:i/>
                <w:color w:val="000000" w:themeColor="text1"/>
              </w:rPr>
            </w:pPr>
          </w:p>
        </w:tc>
      </w:tr>
      <w:tr w:rsidR="00180EA6" w14:paraId="13B98FF8" w14:textId="77777777" w:rsidTr="007C6750">
        <w:trPr>
          <w:gridAfter w:val="1"/>
          <w:wAfter w:w="15" w:type="dxa"/>
          <w:cantSplit/>
        </w:trPr>
        <w:tc>
          <w:tcPr>
            <w:tcW w:w="6588" w:type="dxa"/>
            <w:gridSpan w:val="4"/>
            <w:tcBorders>
              <w:top w:val="dashed" w:sz="4" w:space="0" w:color="auto"/>
              <w:bottom w:val="dashed" w:sz="4" w:space="0" w:color="auto"/>
            </w:tcBorders>
          </w:tcPr>
          <w:p w14:paraId="3C7BBD81" w14:textId="31B3A4E2" w:rsidR="00180EA6" w:rsidRPr="002C15C3" w:rsidRDefault="00180EA6" w:rsidP="002C15C3">
            <w:pPr>
              <w:rPr>
                <w:color w:val="000000" w:themeColor="text1"/>
              </w:rPr>
            </w:pPr>
            <w:r w:rsidRPr="002B57DA">
              <w:rPr>
                <w:color w:val="000000" w:themeColor="text1"/>
                <w:u w:val="single"/>
              </w:rPr>
              <w:lastRenderedPageBreak/>
              <w:t>Overall Goals for this Statement of Purpose</w:t>
            </w:r>
          </w:p>
        </w:tc>
        <w:tc>
          <w:tcPr>
            <w:tcW w:w="6588" w:type="dxa"/>
          </w:tcPr>
          <w:p w14:paraId="7221BF6C" w14:textId="269278BF" w:rsidR="00180EA6" w:rsidRDefault="00180EA6" w:rsidP="002C15C3">
            <w:pPr>
              <w:rPr>
                <w:color w:val="000000" w:themeColor="text1"/>
              </w:rPr>
            </w:pPr>
          </w:p>
        </w:tc>
      </w:tr>
      <w:tr w:rsidR="00180EA6" w14:paraId="153B14E1" w14:textId="77777777" w:rsidTr="007C6750">
        <w:trPr>
          <w:gridAfter w:val="1"/>
          <w:wAfter w:w="15" w:type="dxa"/>
          <w:cantSplit/>
        </w:trPr>
        <w:tc>
          <w:tcPr>
            <w:tcW w:w="6588" w:type="dxa"/>
            <w:gridSpan w:val="4"/>
            <w:tcBorders>
              <w:top w:val="dashed" w:sz="4" w:space="0" w:color="auto"/>
              <w:bottom w:val="dashed" w:sz="4" w:space="0" w:color="auto"/>
            </w:tcBorders>
          </w:tcPr>
          <w:p w14:paraId="50D4C8C7" w14:textId="65ABFE14" w:rsidR="00180EA6" w:rsidRPr="0044101B" w:rsidRDefault="0044101B" w:rsidP="00C22E7B">
            <w:pPr>
              <w:pStyle w:val="ListParagraph"/>
              <w:numPr>
                <w:ilvl w:val="0"/>
                <w:numId w:val="6"/>
              </w:numPr>
              <w:rPr>
                <w:color w:val="000000" w:themeColor="text1"/>
              </w:rPr>
            </w:pPr>
            <w:r w:rsidRPr="002B57DA">
              <w:rPr>
                <w:rFonts w:cs="Arial"/>
                <w:color w:val="000000" w:themeColor="text1"/>
              </w:rPr>
              <w:t>To set unambiguous boundaries for RDS policy requirements and RDS consensus policies</w:t>
            </w:r>
          </w:p>
        </w:tc>
        <w:tc>
          <w:tcPr>
            <w:tcW w:w="6588" w:type="dxa"/>
          </w:tcPr>
          <w:p w14:paraId="0E27502A" w14:textId="570F8C3C" w:rsidR="00180EA6" w:rsidRPr="00117F74" w:rsidRDefault="005D48EA" w:rsidP="00117F74">
            <w:pPr>
              <w:pStyle w:val="ListParagraph"/>
              <w:numPr>
                <w:ilvl w:val="0"/>
                <w:numId w:val="17"/>
              </w:numPr>
              <w:rPr>
                <w:i/>
                <w:color w:val="000000" w:themeColor="text1"/>
              </w:rPr>
            </w:pPr>
            <w:r w:rsidRPr="00117F74">
              <w:rPr>
                <w:i/>
                <w:color w:val="000000" w:themeColor="text1"/>
              </w:rPr>
              <w:t>Delete Goal a. “To set unambiguous boundaries for RDS policy requirements and RDS consensus policies.” Too ambiguous. Not very helpful.</w:t>
            </w:r>
            <w:r w:rsidRPr="00117F74">
              <w:rPr>
                <w:i/>
                <w:color w:val="000000" w:themeColor="text1"/>
              </w:rPr>
              <w:t xml:space="preserve"> (Greg Aaron</w:t>
            </w:r>
            <w:r w:rsidR="00E92EC6" w:rsidRPr="00117F74">
              <w:rPr>
                <w:i/>
                <w:color w:val="000000" w:themeColor="text1"/>
              </w:rPr>
              <w:t>- 30/9</w:t>
            </w:r>
            <w:r w:rsidRPr="00117F74">
              <w:rPr>
                <w:i/>
                <w:color w:val="000000" w:themeColor="text1"/>
              </w:rPr>
              <w:t>)</w:t>
            </w:r>
          </w:p>
        </w:tc>
      </w:tr>
      <w:tr w:rsidR="00180EA6" w14:paraId="673D15E6" w14:textId="77777777" w:rsidTr="007C6750">
        <w:trPr>
          <w:gridAfter w:val="1"/>
          <w:wAfter w:w="15" w:type="dxa"/>
          <w:cantSplit/>
        </w:trPr>
        <w:tc>
          <w:tcPr>
            <w:tcW w:w="6588" w:type="dxa"/>
            <w:gridSpan w:val="4"/>
            <w:tcBorders>
              <w:top w:val="dashed" w:sz="4" w:space="0" w:color="auto"/>
              <w:bottom w:val="dashed" w:sz="4" w:space="0" w:color="auto"/>
            </w:tcBorders>
          </w:tcPr>
          <w:p w14:paraId="169CC95E" w14:textId="1EA14B76" w:rsidR="00180EA6" w:rsidRPr="0044101B" w:rsidRDefault="0044101B" w:rsidP="00C22E7B">
            <w:pPr>
              <w:pStyle w:val="ListParagraph"/>
              <w:numPr>
                <w:ilvl w:val="0"/>
                <w:numId w:val="6"/>
              </w:numPr>
              <w:rPr>
                <w:color w:val="000000" w:themeColor="text1"/>
              </w:rPr>
            </w:pPr>
            <w:r w:rsidRPr="002B57DA">
              <w:rPr>
                <w:color w:val="000000" w:themeColor="text1"/>
              </w:rPr>
              <w:t xml:space="preserve">To </w:t>
            </w:r>
            <w:r w:rsidRPr="002B57DA">
              <w:rPr>
                <w:rFonts w:cs="Arial"/>
                <w:color w:val="000000" w:themeColor="text1"/>
              </w:rPr>
              <w:t>establish minimum criteria for RDS policy requirements and RDS consensus policies</w:t>
            </w:r>
          </w:p>
        </w:tc>
        <w:tc>
          <w:tcPr>
            <w:tcW w:w="6588" w:type="dxa"/>
          </w:tcPr>
          <w:p w14:paraId="20E86E4C" w14:textId="02B563A7" w:rsidR="00180EA6" w:rsidRPr="005D48EA" w:rsidRDefault="005D48EA" w:rsidP="005D48EA">
            <w:pPr>
              <w:pStyle w:val="ListParagraph"/>
              <w:numPr>
                <w:ilvl w:val="0"/>
                <w:numId w:val="8"/>
              </w:numPr>
              <w:rPr>
                <w:i/>
                <w:color w:val="000000" w:themeColor="text1"/>
              </w:rPr>
            </w:pPr>
            <w:r w:rsidRPr="005D48EA">
              <w:rPr>
                <w:i/>
                <w:color w:val="000000" w:themeColor="text1"/>
              </w:rPr>
              <w:t>Delete Overall Goals b-e</w:t>
            </w:r>
            <w:r w:rsidRPr="005D48EA">
              <w:rPr>
                <w:i/>
                <w:color w:val="000000" w:themeColor="text1"/>
              </w:rPr>
              <w:t xml:space="preserve"> (Stephanie Perrin</w:t>
            </w:r>
            <w:r w:rsidR="00E92EC6">
              <w:rPr>
                <w:i/>
                <w:color w:val="000000" w:themeColor="text1"/>
              </w:rPr>
              <w:t xml:space="preserve"> – 29/9</w:t>
            </w:r>
            <w:r w:rsidRPr="005D48EA">
              <w:rPr>
                <w:i/>
                <w:color w:val="000000" w:themeColor="text1"/>
              </w:rPr>
              <w:t>)</w:t>
            </w:r>
          </w:p>
          <w:p w14:paraId="17E5D585" w14:textId="41EA1947" w:rsidR="005D48EA" w:rsidRPr="005D48EA" w:rsidRDefault="005D48EA" w:rsidP="005D48EA">
            <w:pPr>
              <w:pStyle w:val="ListParagraph"/>
              <w:numPr>
                <w:ilvl w:val="0"/>
                <w:numId w:val="8"/>
              </w:numPr>
              <w:rPr>
                <w:color w:val="000000" w:themeColor="text1"/>
              </w:rPr>
            </w:pPr>
            <w:r w:rsidRPr="005D48EA">
              <w:rPr>
                <w:i/>
                <w:color w:val="000000" w:themeColor="text1"/>
              </w:rPr>
              <w:t xml:space="preserve">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w:t>
            </w:r>
            <w:r w:rsidRPr="005D48EA">
              <w:rPr>
                <w:i/>
                <w:color w:val="000000" w:themeColor="text1"/>
              </w:rPr>
              <w:t>d</w:t>
            </w:r>
            <w:r w:rsidRPr="005D48EA">
              <w:rPr>
                <w:i/>
                <w:color w:val="000000" w:themeColor="text1"/>
              </w:rPr>
              <w:t>eliberation.</w:t>
            </w:r>
            <w:r w:rsidRPr="005D48EA">
              <w:rPr>
                <w:i/>
                <w:color w:val="000000" w:themeColor="text1"/>
              </w:rPr>
              <w:t xml:space="preserve"> (Stephanie Perrin</w:t>
            </w:r>
            <w:r w:rsidR="00E92EC6">
              <w:rPr>
                <w:i/>
                <w:color w:val="000000" w:themeColor="text1"/>
              </w:rPr>
              <w:t xml:space="preserve"> – 29/9</w:t>
            </w:r>
            <w:r w:rsidRPr="005D48EA">
              <w:rPr>
                <w:i/>
                <w:color w:val="000000" w:themeColor="text1"/>
              </w:rPr>
              <w:t>)</w:t>
            </w:r>
          </w:p>
        </w:tc>
      </w:tr>
      <w:tr w:rsidR="0044101B" w14:paraId="475612CE" w14:textId="77777777" w:rsidTr="007C6750">
        <w:trPr>
          <w:gridAfter w:val="1"/>
          <w:wAfter w:w="15" w:type="dxa"/>
          <w:cantSplit/>
        </w:trPr>
        <w:tc>
          <w:tcPr>
            <w:tcW w:w="6588" w:type="dxa"/>
            <w:gridSpan w:val="4"/>
            <w:tcBorders>
              <w:top w:val="dashed" w:sz="4" w:space="0" w:color="auto"/>
              <w:bottom w:val="dashed" w:sz="4" w:space="0" w:color="auto"/>
            </w:tcBorders>
          </w:tcPr>
          <w:p w14:paraId="4493B8BE" w14:textId="2420966E" w:rsidR="0044101B" w:rsidRPr="0044101B" w:rsidRDefault="0044101B" w:rsidP="0044101B">
            <w:pPr>
              <w:pStyle w:val="ListParagraph"/>
              <w:numPr>
                <w:ilvl w:val="0"/>
                <w:numId w:val="6"/>
              </w:numPr>
              <w:rPr>
                <w:color w:val="000000" w:themeColor="text1"/>
              </w:rPr>
            </w:pPr>
            <w:r w:rsidRPr="002B57DA">
              <w:rPr>
                <w:rFonts w:cs="Arial"/>
                <w:color w:val="000000" w:themeColor="text1"/>
              </w:rPr>
              <w:t>To describe why, specifically and explicitly, an RDS is needed (see Specific Purposes, below).</w:t>
            </w:r>
          </w:p>
        </w:tc>
        <w:tc>
          <w:tcPr>
            <w:tcW w:w="6588" w:type="dxa"/>
          </w:tcPr>
          <w:p w14:paraId="722317D4" w14:textId="39E62CCD"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44101B" w14:paraId="634880F7" w14:textId="77777777" w:rsidTr="007C6750">
        <w:trPr>
          <w:gridAfter w:val="1"/>
          <w:wAfter w:w="15" w:type="dxa"/>
          <w:cantSplit/>
        </w:trPr>
        <w:tc>
          <w:tcPr>
            <w:tcW w:w="6588" w:type="dxa"/>
            <w:gridSpan w:val="4"/>
            <w:tcBorders>
              <w:top w:val="dashed" w:sz="4" w:space="0" w:color="auto"/>
              <w:bottom w:val="dashed" w:sz="4" w:space="0" w:color="auto"/>
            </w:tcBorders>
          </w:tcPr>
          <w:p w14:paraId="26530078" w14:textId="1E8A1BA0" w:rsidR="0044101B" w:rsidRPr="002C15C3" w:rsidRDefault="0044101B" w:rsidP="002C15C3">
            <w:pPr>
              <w:pStyle w:val="ListParagraph"/>
              <w:numPr>
                <w:ilvl w:val="0"/>
                <w:numId w:val="6"/>
              </w:numPr>
              <w:rPr>
                <w:color w:val="000000" w:themeColor="text1"/>
              </w:rPr>
            </w:pPr>
            <w:r w:rsidRPr="002B57DA">
              <w:rPr>
                <w:color w:val="000000" w:themeColor="text1"/>
              </w:rPr>
              <w:t>To communicate purpose(s) of the RDS to registrants (and others)</w:t>
            </w:r>
          </w:p>
        </w:tc>
        <w:tc>
          <w:tcPr>
            <w:tcW w:w="6588" w:type="dxa"/>
          </w:tcPr>
          <w:p w14:paraId="5945BBF5" w14:textId="7357583B"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0DB4959D" w14:textId="77777777" w:rsidTr="007C6750">
        <w:trPr>
          <w:gridAfter w:val="1"/>
          <w:wAfter w:w="15" w:type="dxa"/>
          <w:cantSplit/>
        </w:trPr>
        <w:tc>
          <w:tcPr>
            <w:tcW w:w="6588" w:type="dxa"/>
            <w:gridSpan w:val="4"/>
            <w:tcBorders>
              <w:top w:val="dashed" w:sz="4" w:space="0" w:color="auto"/>
              <w:bottom w:val="dashed" w:sz="4" w:space="0" w:color="auto"/>
            </w:tcBorders>
          </w:tcPr>
          <w:p w14:paraId="6EC27DAD" w14:textId="51E59D6E" w:rsidR="002C15C3" w:rsidRPr="002C15C3" w:rsidRDefault="002C15C3" w:rsidP="002C15C3">
            <w:pPr>
              <w:pStyle w:val="ListParagraph"/>
              <w:numPr>
                <w:ilvl w:val="0"/>
                <w:numId w:val="6"/>
              </w:numPr>
              <w:rPr>
                <w:color w:val="000000" w:themeColor="text1"/>
              </w:rPr>
            </w:pPr>
            <w:r w:rsidRPr="002B57DA">
              <w:rPr>
                <w:color w:val="000000" w:themeColor="text1"/>
              </w:rPr>
              <w:t>To establish sufficient relationship between the purpose(s) and the use(s) of the RDS</w:t>
            </w:r>
          </w:p>
        </w:tc>
        <w:tc>
          <w:tcPr>
            <w:tcW w:w="6588" w:type="dxa"/>
          </w:tcPr>
          <w:p w14:paraId="365C4AF6" w14:textId="3E164CEB" w:rsidR="002C15C3"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521398E6" w14:textId="77777777" w:rsidTr="007C6750">
        <w:trPr>
          <w:gridAfter w:val="1"/>
          <w:wAfter w:w="15" w:type="dxa"/>
          <w:cantSplit/>
        </w:trPr>
        <w:tc>
          <w:tcPr>
            <w:tcW w:w="6588" w:type="dxa"/>
            <w:gridSpan w:val="4"/>
            <w:tcBorders>
              <w:top w:val="dashed" w:sz="4" w:space="0" w:color="auto"/>
              <w:bottom w:val="dashed" w:sz="4" w:space="0" w:color="auto"/>
            </w:tcBorders>
          </w:tcPr>
          <w:p w14:paraId="7F0C77BC" w14:textId="54DDA198" w:rsidR="002C15C3" w:rsidRPr="002B57DA" w:rsidRDefault="002C15C3" w:rsidP="002C15C3">
            <w:pPr>
              <w:pStyle w:val="ListParagraph"/>
              <w:numPr>
                <w:ilvl w:val="0"/>
                <w:numId w:val="6"/>
              </w:numPr>
              <w:rPr>
                <w:color w:val="000000" w:themeColor="text1"/>
              </w:rPr>
            </w:pPr>
            <w:r w:rsidRPr="002B57DA">
              <w:rPr>
                <w:color w:val="000000" w:themeColor="text1"/>
              </w:rPr>
              <w:t xml:space="preserve">To provide </w:t>
            </w:r>
            <w:r>
              <w:rPr>
                <w:color w:val="000000" w:themeColor="text1"/>
              </w:rPr>
              <w:t xml:space="preserve">a </w:t>
            </w:r>
            <w:r w:rsidRPr="002B57DA">
              <w:rPr>
                <w:color w:val="000000" w:themeColor="text1"/>
              </w:rPr>
              <w:t>framework that enables contracted parties to comply with applicable laws</w:t>
            </w:r>
          </w:p>
        </w:tc>
        <w:tc>
          <w:tcPr>
            <w:tcW w:w="6588" w:type="dxa"/>
          </w:tcPr>
          <w:p w14:paraId="1C5A5FA2" w14:textId="075C13F0" w:rsidR="002C15C3" w:rsidRPr="00F145FA" w:rsidRDefault="005D48EA" w:rsidP="005D48EA">
            <w:pPr>
              <w:pStyle w:val="ListParagraph"/>
              <w:numPr>
                <w:ilvl w:val="0"/>
                <w:numId w:val="18"/>
              </w:numPr>
              <w:rPr>
                <w:i/>
                <w:color w:val="000000" w:themeColor="text1"/>
              </w:rPr>
            </w:pPr>
            <w:r w:rsidRPr="00F145FA">
              <w:rPr>
                <w:i/>
                <w:color w:val="000000" w:themeColor="text1"/>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w:t>
            </w:r>
            <w:r w:rsidRPr="00F145FA">
              <w:rPr>
                <w:i/>
                <w:color w:val="000000" w:themeColor="text1"/>
              </w:rPr>
              <w:t xml:space="preserve"> (Stephanie Perrin</w:t>
            </w:r>
            <w:r w:rsidR="00E92EC6" w:rsidRPr="00F145FA">
              <w:rPr>
                <w:i/>
                <w:color w:val="000000" w:themeColor="text1"/>
              </w:rPr>
              <w:t xml:space="preserve"> – 29/9</w:t>
            </w:r>
            <w:r w:rsidRPr="00F145FA">
              <w:rPr>
                <w:i/>
                <w:color w:val="000000" w:themeColor="text1"/>
              </w:rPr>
              <w:t>)</w:t>
            </w:r>
          </w:p>
        </w:tc>
      </w:tr>
      <w:tr w:rsidR="005D48EA" w14:paraId="000FCD4E" w14:textId="77777777" w:rsidTr="007C6750">
        <w:trPr>
          <w:gridAfter w:val="1"/>
          <w:wAfter w:w="15" w:type="dxa"/>
          <w:cantSplit/>
        </w:trPr>
        <w:tc>
          <w:tcPr>
            <w:tcW w:w="6588" w:type="dxa"/>
            <w:gridSpan w:val="4"/>
            <w:tcBorders>
              <w:top w:val="dashed" w:sz="4" w:space="0" w:color="auto"/>
              <w:bottom w:val="dashed" w:sz="4" w:space="0" w:color="auto"/>
            </w:tcBorders>
          </w:tcPr>
          <w:p w14:paraId="60DBC169" w14:textId="26B738FD" w:rsidR="005D48EA" w:rsidRPr="005D48EA" w:rsidRDefault="005D48EA" w:rsidP="005D48EA">
            <w:pPr>
              <w:rPr>
                <w:color w:val="000000" w:themeColor="text1"/>
              </w:rPr>
            </w:pPr>
            <w:r w:rsidRPr="002B57DA">
              <w:rPr>
                <w:color w:val="000000" w:themeColor="text1"/>
                <w:u w:val="single"/>
              </w:rPr>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w:t>
            </w:r>
            <w:r w:rsidRPr="00F145FA">
              <w:rPr>
                <w:i/>
                <w:color w:val="000000" w:themeColor="text1"/>
              </w:rPr>
              <w:t xml:space="preserve">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35D7C2CD" w14:textId="64AA180D"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other consensus policies that pertain to generic top-level domain (gTLD) names</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507CB8F" w14:textId="127894D9" w:rsidR="005D48EA" w:rsidRPr="005D48EA" w:rsidRDefault="005D48EA" w:rsidP="005D48EA">
            <w:pPr>
              <w:pStyle w:val="ListParagraph"/>
              <w:numPr>
                <w:ilvl w:val="0"/>
                <w:numId w:val="5"/>
              </w:numPr>
              <w:ind w:hanging="218"/>
              <w:rPr>
                <w:color w:val="000000" w:themeColor="text1"/>
              </w:rPr>
            </w:pPr>
            <w:r w:rsidRPr="005D48EA">
              <w:rPr>
                <w:color w:val="000000" w:themeColor="text1"/>
              </w:rPr>
              <w:t>Consistency with applicable laws</w:t>
            </w:r>
          </w:p>
        </w:tc>
        <w:tc>
          <w:tcPr>
            <w:tcW w:w="6588" w:type="dxa"/>
          </w:tcPr>
          <w:p w14:paraId="1718D93C" w14:textId="77777777" w:rsidR="005D48EA" w:rsidRPr="005D48EA" w:rsidRDefault="005D48EA" w:rsidP="005D48EA">
            <w:pPr>
              <w:rPr>
                <w:i/>
                <w:color w:val="000000" w:themeColor="text1"/>
              </w:rPr>
            </w:pPr>
          </w:p>
        </w:tc>
      </w:tr>
      <w:tr w:rsidR="005D48EA" w14:paraId="54BA6A6E"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2A5D86A5" w14:textId="647ACEE3" w:rsidR="005D48EA" w:rsidRPr="00D16640" w:rsidRDefault="005D48EA" w:rsidP="00D16640">
            <w:pPr>
              <w:pStyle w:val="ListParagraph"/>
              <w:numPr>
                <w:ilvl w:val="0"/>
                <w:numId w:val="5"/>
              </w:numPr>
              <w:ind w:hanging="218"/>
              <w:rPr>
                <w:color w:val="000000" w:themeColor="text1"/>
              </w:rPr>
            </w:pPr>
            <w:r w:rsidRPr="002B57DA">
              <w:rPr>
                <w:color w:val="000000" w:themeColor="text1"/>
              </w:rPr>
              <w:t>Helps to clearly articulate a rationale for an RDS</w:t>
            </w:r>
          </w:p>
        </w:tc>
        <w:tc>
          <w:tcPr>
            <w:tcW w:w="6588" w:type="dxa"/>
          </w:tcPr>
          <w:p w14:paraId="61033FFB" w14:textId="2E0CF727" w:rsidR="005D48EA" w:rsidRPr="00F145FA" w:rsidRDefault="00C474FC" w:rsidP="00F145FA">
            <w:pPr>
              <w:pStyle w:val="ListParagraph"/>
              <w:numPr>
                <w:ilvl w:val="0"/>
                <w:numId w:val="18"/>
              </w:numPr>
              <w:rPr>
                <w:i/>
                <w:color w:val="000000" w:themeColor="text1"/>
              </w:rPr>
            </w:pPr>
            <w:r w:rsidRPr="00F145FA">
              <w:rPr>
                <w:i/>
                <w:color w:val="000000" w:themeColor="text1"/>
              </w:rPr>
              <w:t xml:space="preserve">Delete Goal for each Purpose iv (help to articulate rationale). </w:t>
            </w:r>
            <w:r w:rsidRPr="00F145FA">
              <w:rPr>
                <w:i/>
              </w:rPr>
              <w:t>We are not drafting this purpose statement to justify creation of a new RDS.</w:t>
            </w:r>
            <w:r w:rsidRPr="00F145FA">
              <w:rPr>
                <w:i/>
              </w:rPr>
              <w:t xml:space="preserve"> (Stephane Perrin</w:t>
            </w:r>
            <w:r w:rsidR="00E92EC6" w:rsidRPr="00F145FA">
              <w:rPr>
                <w:i/>
              </w:rPr>
              <w:t xml:space="preserve"> – 29/9</w:t>
            </w:r>
            <w:r w:rsidRPr="00F145FA">
              <w:rPr>
                <w:i/>
              </w:rPr>
              <w:t>)</w:t>
            </w:r>
          </w:p>
        </w:tc>
      </w:tr>
      <w:tr w:rsidR="00C474FC" w14:paraId="2189F721"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55A6F77E" w14:textId="7665D912" w:rsidR="00C474FC" w:rsidRPr="00C474FC" w:rsidRDefault="00C474FC" w:rsidP="00C474FC">
            <w:pPr>
              <w:pStyle w:val="ListParagraph"/>
              <w:numPr>
                <w:ilvl w:val="0"/>
                <w:numId w:val="11"/>
              </w:numPr>
              <w:rPr>
                <w:color w:val="000000" w:themeColor="text1"/>
                <w:u w:val="single"/>
              </w:rPr>
            </w:pPr>
            <w:r w:rsidRPr="00C474FC">
              <w:rPr>
                <w:rFonts w:cs="Arial"/>
                <w:color w:val="000000" w:themeColor="text1"/>
              </w:rPr>
              <w:t xml:space="preserve">A purpose of gTLD registration data is to provide information about the lifecycle of a domain name (as specified by ICANN’s </w:t>
            </w:r>
            <w:hyperlink r:id="rId9" w:history="1">
              <w:r w:rsidRPr="00C474FC">
                <w:rPr>
                  <w:rStyle w:val="Hyperlink"/>
                  <w:rFonts w:cs="Arial"/>
                  <w:color w:val="000000" w:themeColor="text1"/>
                </w:rPr>
                <w:t>Diagram of gTLD Lifecycle</w:t>
              </w:r>
            </w:hyperlink>
            <w:r w:rsidRPr="00C474FC">
              <w:rPr>
                <w:rFonts w:cs="Arial"/>
                <w:color w:val="000000" w:themeColor="text1"/>
              </w:rPr>
              <w:t>) to enable management of a domain name registration.</w:t>
            </w:r>
          </w:p>
        </w:tc>
        <w:tc>
          <w:tcPr>
            <w:tcW w:w="6588" w:type="dxa"/>
          </w:tcPr>
          <w:p w14:paraId="16D05320" w14:textId="02E94DD3"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“provide” seems to be the wrong word, although I’m unsure if store/manage/maintain/record/define are any better</w:t>
            </w:r>
            <w:r w:rsidRPr="00B57551">
              <w:rPr>
                <w:i/>
                <w:color w:val="000000" w:themeColor="text1"/>
              </w:rPr>
              <w:t xml:space="preserve"> (Rob Golding</w:t>
            </w:r>
            <w:r w:rsidR="00E92EC6">
              <w:rPr>
                <w:i/>
                <w:color w:val="000000" w:themeColor="text1"/>
              </w:rPr>
              <w:t xml:space="preserve"> – 29/9</w:t>
            </w:r>
            <w:r w:rsidRPr="00B57551">
              <w:rPr>
                <w:i/>
                <w:color w:val="000000" w:themeColor="text1"/>
              </w:rPr>
              <w:t>)</w:t>
            </w:r>
          </w:p>
          <w:p w14:paraId="1BB6B79C" w14:textId="621A888E"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replace “enable” by “assist with”</w:t>
            </w:r>
            <w:r w:rsidRPr="00B57551">
              <w:rPr>
                <w:i/>
                <w:color w:val="000000" w:themeColor="text1"/>
              </w:rPr>
              <w:t xml:space="preserve"> (Rob Golding</w:t>
            </w:r>
            <w:r w:rsidR="00E92EC6">
              <w:rPr>
                <w:i/>
                <w:color w:val="000000" w:themeColor="text1"/>
              </w:rPr>
              <w:t xml:space="preserve"> – 29/9</w:t>
            </w:r>
            <w:r w:rsidRPr="00B57551">
              <w:rPr>
                <w:i/>
                <w:color w:val="000000" w:themeColor="text1"/>
              </w:rPr>
              <w:t>)</w:t>
            </w:r>
          </w:p>
          <w:p w14:paraId="01718FA5" w14:textId="37C38EB1" w:rsidR="00C474FC" w:rsidRPr="00C474FC" w:rsidRDefault="00C474FC" w:rsidP="00C474FC">
            <w:pPr>
              <w:pStyle w:val="ListParagraph"/>
              <w:numPr>
                <w:ilvl w:val="0"/>
                <w:numId w:val="9"/>
              </w:numPr>
              <w:rPr>
                <w:i/>
                <w:color w:val="000000" w:themeColor="text1"/>
              </w:rPr>
            </w:pPr>
            <w:r w:rsidRPr="00B57551">
              <w:rPr>
                <w:i/>
                <w:color w:val="000000" w:themeColor="text1"/>
              </w:rPr>
              <w:t>Delete “to enable management of a domain name registration”-  does not belong in a purpose statement; deals with a potential use case.</w:t>
            </w:r>
            <w:r w:rsidRPr="00B57551">
              <w:rPr>
                <w:i/>
                <w:color w:val="000000" w:themeColor="text1"/>
              </w:rPr>
              <w:t xml:space="preserve"> (Marc Anderson</w:t>
            </w:r>
            <w:r w:rsidR="00E92EC6">
              <w:rPr>
                <w:i/>
                <w:color w:val="000000" w:themeColor="text1"/>
              </w:rPr>
              <w:t xml:space="preserve"> – 29/9</w:t>
            </w:r>
            <w:r w:rsidRPr="00B57551">
              <w:rPr>
                <w:i/>
                <w:color w:val="000000" w:themeColor="text1"/>
              </w:rPr>
              <w:t>)</w:t>
            </w:r>
          </w:p>
        </w:tc>
      </w:tr>
      <w:tr w:rsidR="00C474FC" w14:paraId="06D4EBF5"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gTLD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w:t>
            </w:r>
            <w:r w:rsidRPr="00B57551">
              <w:rPr>
                <w:i/>
                <w:color w:val="000000" w:themeColor="text1"/>
              </w:rPr>
              <w:t xml:space="preserv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“facilitiate the management of”</w:t>
            </w:r>
            <w:r w:rsidRPr="00B57551">
              <w:rPr>
                <w:i/>
                <w:color w:val="000000" w:themeColor="text1"/>
              </w:rPr>
              <w:t xml:space="preserve">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t>Replace “needed by authorized parties to operate a generic top-level domain name” by “regarding a generic top-level domain name”</w:t>
            </w:r>
            <w:r w:rsidRPr="00B57551">
              <w:rPr>
                <w:i/>
                <w:color w:val="000000" w:themeColor="text1"/>
              </w:rPr>
              <w:t xml:space="preserve"> (Rob Golding</w:t>
            </w:r>
            <w:r w:rsidR="005A2355">
              <w:rPr>
                <w:i/>
                <w:color w:val="000000" w:themeColor="text1"/>
              </w:rPr>
              <w:t xml:space="preserve"> – 29/9</w:t>
            </w:r>
            <w:r w:rsidRPr="00B57551">
              <w:rPr>
                <w:i/>
                <w:color w:val="000000" w:themeColor="text1"/>
              </w:rPr>
              <w:t>)</w:t>
            </w:r>
          </w:p>
          <w:p w14:paraId="146521F8" w14:textId="13358BBD" w:rsidR="005D0EF2" w:rsidRPr="00B57551" w:rsidRDefault="005D0EF2" w:rsidP="00C474FC">
            <w:pPr>
              <w:pStyle w:val="ListParagraph"/>
              <w:numPr>
                <w:ilvl w:val="0"/>
                <w:numId w:val="9"/>
              </w:numPr>
              <w:rPr>
                <w:i/>
                <w:color w:val="000000" w:themeColor="text1"/>
              </w:rPr>
            </w:pPr>
            <w:r w:rsidRPr="00B57551">
              <w:rPr>
                <w:i/>
                <w:color w:val="000000" w:themeColor="text1"/>
              </w:rPr>
              <w:t>RDS does not collect or maintain gTLD registration data – it 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w:t>
            </w:r>
            <w:r w:rsidRPr="00B57551">
              <w:rPr>
                <w:i/>
                <w:color w:val="000000" w:themeColor="text1"/>
              </w:rPr>
              <w:t xml:space="preserve"> (Marc Anderson</w:t>
            </w:r>
            <w:r w:rsidR="005A2355">
              <w:rPr>
                <w:i/>
                <w:color w:val="000000" w:themeColor="text1"/>
              </w:rPr>
              <w:t xml:space="preserve"> – 29/9</w:t>
            </w:r>
            <w:r w:rsidRPr="00B57551">
              <w:rPr>
                <w:i/>
                <w:color w:val="000000" w:themeColor="text1"/>
              </w:rPr>
              <w:t>)</w:t>
            </w:r>
          </w:p>
        </w:tc>
      </w:tr>
      <w:tr w:rsidR="005D0EF2" w14:paraId="5D7D573F"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3601671" w14:textId="1954BEE5" w:rsidR="005D0EF2" w:rsidRPr="005D0EF2" w:rsidRDefault="005D0EF2" w:rsidP="005D0EF2">
            <w:pPr>
              <w:pStyle w:val="ListParagraph"/>
              <w:numPr>
                <w:ilvl w:val="0"/>
                <w:numId w:val="11"/>
              </w:numPr>
              <w:rPr>
                <w:color w:val="000000" w:themeColor="text1"/>
              </w:rPr>
            </w:pPr>
            <w:r w:rsidRPr="000F6341">
              <w:rPr>
                <w:rFonts w:cs="Arial"/>
                <w:color w:val="000000" w:themeColor="text1"/>
              </w:rPr>
              <w:lastRenderedPageBreak/>
              <w:t>Further specific purposes of the RDS include:</w:t>
            </w:r>
          </w:p>
        </w:tc>
        <w:tc>
          <w:tcPr>
            <w:tcW w:w="6588" w:type="dxa"/>
          </w:tcPr>
          <w:p w14:paraId="10887CCE" w14:textId="7B19190F" w:rsidR="00DD2A3B" w:rsidRDefault="005D0EF2" w:rsidP="00DD2A3B">
            <w:pPr>
              <w:pStyle w:val="ListParagraph"/>
              <w:numPr>
                <w:ilvl w:val="0"/>
                <w:numId w:val="14"/>
              </w:numPr>
              <w:rPr>
                <w:i/>
                <w:color w:val="000000" w:themeColor="text1"/>
              </w:rPr>
            </w:pPr>
            <w:r w:rsidRPr="00DD2A3B">
              <w:rPr>
                <w:i/>
                <w:color w:val="000000" w:themeColor="text1"/>
              </w:rPr>
              <w:t>Renumber 3a and 3b as purposes 3 and 4 respectively.</w:t>
            </w:r>
            <w:r w:rsidRPr="00DD2A3B">
              <w:rPr>
                <w:i/>
                <w:color w:val="000000" w:themeColor="text1"/>
              </w:rPr>
              <w:t xml:space="preserve"> (Marc Anderson</w:t>
            </w:r>
            <w:r w:rsidR="005A2355">
              <w:rPr>
                <w:i/>
                <w:color w:val="000000" w:themeColor="text1"/>
              </w:rPr>
              <w:t xml:space="preserve"> – 29/9</w:t>
            </w:r>
            <w:r w:rsidRPr="00DD2A3B">
              <w:rPr>
                <w:i/>
                <w:color w:val="000000" w:themeColor="text1"/>
              </w:rPr>
              <w:t>)</w:t>
            </w:r>
          </w:p>
          <w:p w14:paraId="4BB7EB91" w14:textId="5F28941F" w:rsidR="009B3A5D" w:rsidRPr="00DD2A3B" w:rsidRDefault="009B3A5D" w:rsidP="00DD2A3B">
            <w:pPr>
              <w:pStyle w:val="ListParagraph"/>
              <w:numPr>
                <w:ilvl w:val="0"/>
                <w:numId w:val="14"/>
              </w:numPr>
              <w:rPr>
                <w:i/>
                <w:color w:val="000000" w:themeColor="text1"/>
              </w:rPr>
            </w:pPr>
            <w:r w:rsidRPr="00DD2A3B">
              <w:rPr>
                <w:rFonts w:ascii="Calibri" w:hAnsi="Calibri" w:cs="Calibri"/>
                <w:i/>
              </w:rPr>
              <w:t>I believe that the specific purposes currently listed under 3a) and 3b) should not be regarded as secondary to 1) and 2). They should therefore be listed as 3) and 4) as suggested by Marc Anderson and Greg Aaron. 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1B9D2AD7"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registrars and proxy/privacy service providers enabling release of accurate gTLD registration data.</w:t>
            </w:r>
            <w:r w:rsidR="00DD2A3B">
              <w:rPr>
                <w:rFonts w:ascii="Calibri" w:hAnsi="Calibri" w:cs="Calibri"/>
                <w:i/>
              </w:rPr>
              <w:t xml:space="preserve"> (Gregory Mounier</w:t>
            </w:r>
            <w:r w:rsidR="005A2355">
              <w:rPr>
                <w:rFonts w:ascii="Calibri" w:hAnsi="Calibri" w:cs="Calibri"/>
                <w:i/>
              </w:rPr>
              <w:t xml:space="preserve"> – 3/10</w:t>
            </w:r>
            <w:r w:rsidR="00DD2A3B">
              <w:rPr>
                <w:rFonts w:ascii="Calibri" w:hAnsi="Calibri" w:cs="Calibri"/>
                <w:i/>
              </w:rPr>
              <w:t>)</w:t>
            </w:r>
          </w:p>
        </w:tc>
      </w:tr>
      <w:tr w:rsidR="005D0EF2" w14:paraId="41FA147B"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110C843B" w14:textId="082EAE68" w:rsidR="005D0EF2" w:rsidRPr="000F6341" w:rsidRDefault="005D0EF2" w:rsidP="00C14167">
            <w:pPr>
              <w:pStyle w:val="ListParagraph"/>
              <w:numPr>
                <w:ilvl w:val="1"/>
                <w:numId w:val="11"/>
              </w:numPr>
              <w:ind w:left="709" w:hanging="283"/>
              <w:rPr>
                <w:rFonts w:cs="Arial"/>
                <w:color w:val="000000" w:themeColor="text1"/>
              </w:rPr>
            </w:pPr>
            <w:r w:rsidRPr="000F6341">
              <w:rPr>
                <w:rFonts w:cs="Arial"/>
                <w:color w:val="000000" w:themeColor="text1"/>
              </w:rPr>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C14167">
            <w:pPr>
              <w:pStyle w:val="ListParagraph"/>
              <w:numPr>
                <w:ilvl w:val="0"/>
                <w:numId w:val="12"/>
              </w:numPr>
              <w:rPr>
                <w:i/>
                <w:color w:val="000000" w:themeColor="text1"/>
              </w:rPr>
            </w:pPr>
            <w:r w:rsidRPr="00C14167">
              <w:rPr>
                <w:i/>
                <w:color w:val="000000" w:themeColor="text1"/>
              </w:rPr>
              <w:t>Comment offered during last WG call; Fabrico to propose new text.</w:t>
            </w:r>
            <w:r w:rsidRPr="00C14167">
              <w:rPr>
                <w:i/>
                <w:color w:val="000000" w:themeColor="text1"/>
              </w:rPr>
              <w:br/>
              <w:t>(concern may be addressed  by Marc’s proposal below?)</w:t>
            </w:r>
            <w:r w:rsidRPr="00C14167">
              <w:rPr>
                <w:i/>
                <w:color w:val="000000" w:themeColor="text1"/>
              </w:rPr>
              <w:t xml:space="preserve"> (Fabricio Vayra</w:t>
            </w:r>
            <w:r w:rsidR="005A2355">
              <w:rPr>
                <w:i/>
                <w:color w:val="000000" w:themeColor="text1"/>
              </w:rPr>
              <w:t xml:space="preserve"> – 28/9</w:t>
            </w:r>
            <w:r w:rsidRPr="00C14167">
              <w:rPr>
                <w:i/>
                <w:color w:val="000000" w:themeColor="text1"/>
              </w:rPr>
              <w:t>)</w:t>
            </w:r>
          </w:p>
          <w:p w14:paraId="4E6B8ECA" w14:textId="3E02A7EB" w:rsidR="00C14167" w:rsidRPr="00C14167" w:rsidRDefault="00C14167" w:rsidP="00C14167">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w:t>
            </w:r>
            <w:r w:rsidRPr="00C14167">
              <w:rPr>
                <w:i/>
                <w:color w:val="000000" w:themeColor="text1"/>
              </w:rPr>
              <w:t xml:space="preserve"> (Marc Anderson</w:t>
            </w:r>
            <w:r w:rsidR="005A2355">
              <w:rPr>
                <w:i/>
                <w:color w:val="000000" w:themeColor="text1"/>
              </w:rPr>
              <w:t xml:space="preserve"> – 29/9</w:t>
            </w:r>
            <w:r w:rsidRPr="00C14167">
              <w:rPr>
                <w:i/>
                <w:color w:val="000000" w:themeColor="text1"/>
              </w:rPr>
              <w:t>)</w:t>
            </w:r>
          </w:p>
          <w:p w14:paraId="283986EE" w14:textId="4ECF9A47" w:rsidR="00C14167" w:rsidRPr="00C14167" w:rsidRDefault="00C14167" w:rsidP="00C14167">
            <w:pPr>
              <w:pStyle w:val="ListParagraph"/>
              <w:numPr>
                <w:ilvl w:val="0"/>
                <w:numId w:val="12"/>
              </w:numPr>
              <w:rPr>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w:t>
            </w:r>
            <w:r w:rsidRPr="00C14167">
              <w:rPr>
                <w:i/>
                <w:color w:val="000000" w:themeColor="text1"/>
              </w:rPr>
              <w:t xml:space="preserve"> (Greg Aaron</w:t>
            </w:r>
            <w:r w:rsidR="005A2355">
              <w:rPr>
                <w:i/>
                <w:color w:val="000000" w:themeColor="text1"/>
              </w:rPr>
              <w:t xml:space="preserve"> – 30/9</w:t>
            </w:r>
            <w:r w:rsidRPr="00C14167">
              <w:rPr>
                <w:i/>
                <w:color w:val="000000" w:themeColor="text1"/>
              </w:rPr>
              <w:t>)</w:t>
            </w:r>
          </w:p>
        </w:tc>
      </w:tr>
      <w:tr w:rsidR="005D0EF2" w14:paraId="06E1425A" w14:textId="77777777" w:rsidTr="007C6750">
        <w:trPr>
          <w:gridAfter w:val="1"/>
          <w:wAfter w:w="15" w:type="dxa"/>
          <w:trHeight w:val="255"/>
        </w:trPr>
        <w:tc>
          <w:tcPr>
            <w:tcW w:w="6588" w:type="dxa"/>
            <w:gridSpan w:val="4"/>
            <w:tcBorders>
              <w:top w:val="dashed" w:sz="4" w:space="0" w:color="auto"/>
              <w:bottom w:val="dashed" w:sz="4" w:space="0" w:color="auto"/>
            </w:tcBorders>
          </w:tcPr>
          <w:p w14:paraId="666B9813" w14:textId="3142B76B" w:rsidR="005D0EF2" w:rsidRPr="000F6341" w:rsidRDefault="005D0EF2" w:rsidP="00C14167">
            <w:pPr>
              <w:pStyle w:val="ListParagraph"/>
              <w:numPr>
                <w:ilvl w:val="1"/>
                <w:numId w:val="11"/>
              </w:numPr>
              <w:ind w:left="709" w:hanging="283"/>
              <w:rPr>
                <w:rFonts w:cs="Arial"/>
                <w:color w:val="000000" w:themeColor="text1"/>
              </w:rPr>
            </w:pPr>
            <w:r w:rsidRPr="000F6341">
              <w:rPr>
                <w:color w:val="000000" w:themeColor="text1"/>
              </w:rPr>
              <w:t xml:space="preserve">To enable release of accurate gTLD registration data that may not otherwise be publicly available, </w:t>
            </w:r>
            <w:r w:rsidRPr="000F6341">
              <w:rPr>
                <w:rFonts w:cs="Arial"/>
                <w:color w:val="000000" w:themeColor="text1"/>
              </w:rPr>
              <w:t>under specific and explicit policy-defined conditions</w:t>
            </w:r>
          </w:p>
        </w:tc>
        <w:tc>
          <w:tcPr>
            <w:tcW w:w="6588" w:type="dxa"/>
            <w:tcBorders>
              <w:bottom w:val="dashed" w:sz="4" w:space="0" w:color="auto"/>
            </w:tcBorders>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Having accurate data may be a goal, but the purpose is to display the data of record – a potential use case is to facilitate data correction. Revise to read: “A purpose of RDS is to enable the release of gTLD registration data that may not otherwise be publicly available.”</w:t>
            </w:r>
            <w:r w:rsidRPr="004644A9">
              <w:rPr>
                <w:i/>
                <w:color w:val="000000" w:themeColor="text1"/>
              </w:rPr>
              <w:t xml:space="preserv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 xml:space="preserve">This is the doc’s only mention of data accuracy, an important topic.  The doc says that accuracy is a concern only in cases of gated or </w:t>
            </w:r>
            <w:r w:rsidRPr="004644A9">
              <w:rPr>
                <w:i/>
                <w:color w:val="000000" w:themeColor="text1"/>
              </w:rPr>
              <w:lastRenderedPageBreak/>
              <w:t>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w:t>
            </w:r>
            <w:r w:rsidRPr="004644A9">
              <w:rPr>
                <w:i/>
                <w:color w:val="000000" w:themeColor="text1"/>
              </w:rPr>
              <w:t xml:space="preserv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Although I support the simplification to the language of specific purposes 3a) and 3b) (which should be renumbered 3 and 4), as proposed by Marc, I share Greg’s views that the notion of “accurate”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0"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1"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I therefore support Greg Aaron’s suggestion to add a fifth purpose: “A purpose of a system to collect, maintain, and provide access to gTLD registration data (hereafter referred to as “the RDS”) is to collect and provide information that is accurate.”</w:t>
            </w:r>
            <w:r>
              <w:rPr>
                <w:rFonts w:ascii="Calibri" w:hAnsi="Calibri" w:cs="Calibri"/>
                <w:i/>
              </w:rPr>
              <w:t xml:space="preserve"> (Gregory Mounier</w:t>
            </w:r>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A purpose of an RDS may be to release registration data that IS publicly available in other ways.  Current examples include domain and nameserver data found in zone files and the DNS, registrar contact info, etc.</w:t>
            </w:r>
            <w:r w:rsidRPr="004644A9">
              <w:rPr>
                <w:i/>
                <w:color w:val="000000" w:themeColor="text1"/>
              </w:rPr>
              <w:t xml:space="preserve"> (Greg Aaron</w:t>
            </w:r>
            <w:r w:rsidR="005A2355">
              <w:rPr>
                <w:i/>
                <w:color w:val="000000" w:themeColor="text1"/>
              </w:rPr>
              <w:t xml:space="preserve"> – 30/9</w:t>
            </w:r>
            <w:r w:rsidRPr="004644A9">
              <w:rPr>
                <w:i/>
                <w:color w:val="000000" w:themeColor="text1"/>
              </w:rPr>
              <w:t>)</w:t>
            </w:r>
          </w:p>
          <w:p w14:paraId="48B5F0BC" w14:textId="36B867CE" w:rsidR="004644A9" w:rsidRPr="004644A9" w:rsidRDefault="004644A9" w:rsidP="004644A9">
            <w:pPr>
              <w:pStyle w:val="ListParagraph"/>
              <w:numPr>
                <w:ilvl w:val="0"/>
                <w:numId w:val="13"/>
              </w:numPr>
              <w:rPr>
                <w:color w:val="000000" w:themeColor="text1"/>
              </w:rPr>
            </w:pPr>
            <w:r w:rsidRPr="004644A9">
              <w:rPr>
                <w:i/>
                <w:color w:val="000000" w:themeColor="text1"/>
              </w:rPr>
              <w:t>“under specific and explicit policy-defined conditions” is not just about release – it implies that all allowable 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w:t>
            </w:r>
            <w:r w:rsidRPr="004644A9">
              <w:rPr>
                <w:i/>
                <w:color w:val="000000" w:themeColor="text1"/>
              </w:rPr>
              <w:t xml:space="preserve"> (Greg Aaron</w:t>
            </w:r>
            <w:r w:rsidR="005A2355">
              <w:rPr>
                <w:i/>
                <w:color w:val="000000" w:themeColor="text1"/>
              </w:rPr>
              <w:t xml:space="preserve"> – 30/9</w:t>
            </w:r>
            <w:r w:rsidRPr="004644A9">
              <w:rPr>
                <w:i/>
                <w:color w:val="000000" w:themeColor="text1"/>
              </w:rPr>
              <w:t>)</w:t>
            </w:r>
          </w:p>
        </w:tc>
      </w:tr>
    </w:tbl>
    <w:p w14:paraId="0307EA6B" w14:textId="399D32B6" w:rsidR="00790973" w:rsidRPr="00790973" w:rsidRDefault="00790973" w:rsidP="00B57551">
      <w:pPr>
        <w:rPr>
          <w:color w:val="000000" w:themeColor="text1"/>
        </w:rPr>
      </w:pPr>
    </w:p>
    <w:sectPr w:rsidR="00790973" w:rsidRPr="00790973" w:rsidSect="00EC29E7">
      <w:footerReference w:type="even" r:id="rId12"/>
      <w:footerReference w:type="default" r:id="rId13"/>
      <w:pgSz w:w="15840" w:h="12240" w:orient="landscape"/>
      <w:pgMar w:top="1440" w:right="1440" w:bottom="1440" w:left="1440" w:header="720" w:footer="720" w:gutter="0"/>
      <w:cols w:space="720"/>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0CCBD" w14:textId="77777777" w:rsidR="00B03C2B" w:rsidRDefault="00B03C2B" w:rsidP="007F0F50">
      <w:pPr>
        <w:spacing w:after="0" w:line="240" w:lineRule="auto"/>
      </w:pPr>
      <w:r>
        <w:separator/>
      </w:r>
    </w:p>
  </w:endnote>
  <w:endnote w:type="continuationSeparator" w:id="0">
    <w:p w14:paraId="3F3FFBA1" w14:textId="77777777" w:rsidR="00B03C2B" w:rsidRDefault="00B03C2B"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7C6750">
      <w:rPr>
        <w:rStyle w:val="PageNumber"/>
        <w:noProof/>
        <w:sz w:val="18"/>
        <w:szCs w:val="18"/>
      </w:rPr>
      <w:t>1</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82CB2" w14:textId="77777777" w:rsidR="00B03C2B" w:rsidRDefault="00B03C2B" w:rsidP="007F0F50">
      <w:pPr>
        <w:spacing w:after="0" w:line="240" w:lineRule="auto"/>
      </w:pPr>
      <w:r>
        <w:separator/>
      </w:r>
    </w:p>
  </w:footnote>
  <w:footnote w:type="continuationSeparator" w:id="0">
    <w:p w14:paraId="2F8B2BD9" w14:textId="77777777" w:rsidR="00B03C2B" w:rsidRDefault="00B03C2B"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386AFC"/>
    <w:multiLevelType w:val="hybridMultilevel"/>
    <w:tmpl w:val="6A00F9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041AA"/>
    <w:multiLevelType w:val="hybridMultilevel"/>
    <w:tmpl w:val="99AE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8B79F0"/>
    <w:multiLevelType w:val="hybridMultilevel"/>
    <w:tmpl w:val="D4A2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1"/>
  </w:num>
  <w:num w:numId="4">
    <w:abstractNumId w:val="6"/>
  </w:num>
  <w:num w:numId="5">
    <w:abstractNumId w:val="5"/>
  </w:num>
  <w:num w:numId="6">
    <w:abstractNumId w:val="9"/>
  </w:num>
  <w:num w:numId="7">
    <w:abstractNumId w:val="7"/>
  </w:num>
  <w:num w:numId="8">
    <w:abstractNumId w:val="14"/>
  </w:num>
  <w:num w:numId="9">
    <w:abstractNumId w:val="16"/>
  </w:num>
  <w:num w:numId="10">
    <w:abstractNumId w:val="1"/>
  </w:num>
  <w:num w:numId="11">
    <w:abstractNumId w:val="17"/>
  </w:num>
  <w:num w:numId="12">
    <w:abstractNumId w:val="8"/>
  </w:num>
  <w:num w:numId="13">
    <w:abstractNumId w:val="4"/>
  </w:num>
  <w:num w:numId="14">
    <w:abstractNumId w:val="10"/>
  </w:num>
  <w:num w:numId="15">
    <w:abstractNumId w:val="0"/>
  </w:num>
  <w:num w:numId="16">
    <w:abstractNumId w:val="1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466B0"/>
    <w:rsid w:val="00057889"/>
    <w:rsid w:val="00060B47"/>
    <w:rsid w:val="000A5730"/>
    <w:rsid w:val="000F17E2"/>
    <w:rsid w:val="000F6341"/>
    <w:rsid w:val="001043D8"/>
    <w:rsid w:val="00117F74"/>
    <w:rsid w:val="00151270"/>
    <w:rsid w:val="00180EA6"/>
    <w:rsid w:val="001918AC"/>
    <w:rsid w:val="00195A4A"/>
    <w:rsid w:val="001A04C5"/>
    <w:rsid w:val="001B19E0"/>
    <w:rsid w:val="001F7385"/>
    <w:rsid w:val="0021509A"/>
    <w:rsid w:val="00221C6D"/>
    <w:rsid w:val="00235875"/>
    <w:rsid w:val="0026353C"/>
    <w:rsid w:val="0026631A"/>
    <w:rsid w:val="00297C75"/>
    <w:rsid w:val="002B57DA"/>
    <w:rsid w:val="002C15C3"/>
    <w:rsid w:val="002F40C3"/>
    <w:rsid w:val="002F7891"/>
    <w:rsid w:val="00303F58"/>
    <w:rsid w:val="0033513B"/>
    <w:rsid w:val="003A2AD3"/>
    <w:rsid w:val="003C4F6F"/>
    <w:rsid w:val="0044101B"/>
    <w:rsid w:val="004644A9"/>
    <w:rsid w:val="00500CB8"/>
    <w:rsid w:val="0050520F"/>
    <w:rsid w:val="005530D2"/>
    <w:rsid w:val="00572203"/>
    <w:rsid w:val="005839AC"/>
    <w:rsid w:val="005A2355"/>
    <w:rsid w:val="005A4D92"/>
    <w:rsid w:val="005B344F"/>
    <w:rsid w:val="005C2946"/>
    <w:rsid w:val="005D0EF2"/>
    <w:rsid w:val="005D48EA"/>
    <w:rsid w:val="006031DC"/>
    <w:rsid w:val="006222B3"/>
    <w:rsid w:val="006258C2"/>
    <w:rsid w:val="006A557E"/>
    <w:rsid w:val="006B4186"/>
    <w:rsid w:val="006E5F46"/>
    <w:rsid w:val="00700149"/>
    <w:rsid w:val="00773C15"/>
    <w:rsid w:val="007875DE"/>
    <w:rsid w:val="00790973"/>
    <w:rsid w:val="00795169"/>
    <w:rsid w:val="007B0019"/>
    <w:rsid w:val="007B0267"/>
    <w:rsid w:val="007C6750"/>
    <w:rsid w:val="007D0BF1"/>
    <w:rsid w:val="007F0F50"/>
    <w:rsid w:val="008505CF"/>
    <w:rsid w:val="0085623E"/>
    <w:rsid w:val="008639C9"/>
    <w:rsid w:val="00867638"/>
    <w:rsid w:val="008D05B5"/>
    <w:rsid w:val="008D1875"/>
    <w:rsid w:val="008D54C4"/>
    <w:rsid w:val="008E050D"/>
    <w:rsid w:val="00912CB9"/>
    <w:rsid w:val="00961B13"/>
    <w:rsid w:val="00982F22"/>
    <w:rsid w:val="009B219B"/>
    <w:rsid w:val="009B3A5D"/>
    <w:rsid w:val="009D40E2"/>
    <w:rsid w:val="009E2D39"/>
    <w:rsid w:val="00A27E6A"/>
    <w:rsid w:val="00A405BD"/>
    <w:rsid w:val="00A92A4F"/>
    <w:rsid w:val="00AD0A08"/>
    <w:rsid w:val="00B03C2B"/>
    <w:rsid w:val="00B12D13"/>
    <w:rsid w:val="00B548A9"/>
    <w:rsid w:val="00B57551"/>
    <w:rsid w:val="00B6689A"/>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B0C73"/>
    <w:rsid w:val="00DD2A3B"/>
    <w:rsid w:val="00DD2D15"/>
    <w:rsid w:val="00E0241A"/>
    <w:rsid w:val="00E7182A"/>
    <w:rsid w:val="00E8323D"/>
    <w:rsid w:val="00E92EC6"/>
    <w:rsid w:val="00E9738F"/>
    <w:rsid w:val="00EC0253"/>
    <w:rsid w:val="00EC29E7"/>
    <w:rsid w:val="00F03AC2"/>
    <w:rsid w:val="00F145FA"/>
    <w:rsid w:val="00F303E1"/>
    <w:rsid w:val="00F56FF7"/>
    <w:rsid w:val="00F73BA1"/>
    <w:rsid w:val="00F8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hyperlink" Target="https://community.icann.org/download/attachments/61611153/gTLD-Lifecycle.pdf?version=1&amp;modificationDate=1473789116546&amp;api=v2" TargetMode="External"/><Relationship Id="rId10"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FD56-A05B-D045-B6FD-80363B4E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1758</Words>
  <Characters>10023</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6</cp:revision>
  <dcterms:created xsi:type="dcterms:W3CDTF">2016-10-03T13:34:00Z</dcterms:created>
  <dcterms:modified xsi:type="dcterms:W3CDTF">2016-10-03T16:48:00Z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