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98086" w14:textId="77777777" w:rsidR="00D10654" w:rsidRPr="005253C8" w:rsidRDefault="00D10654">
      <w:pPr>
        <w:rPr>
          <w:rFonts w:asciiTheme="majorHAnsi" w:hAnsiTheme="majorHAnsi"/>
          <w:b/>
          <w:sz w:val="32"/>
          <w:szCs w:val="32"/>
          <w:u w:val="single"/>
        </w:rPr>
      </w:pPr>
      <w:r w:rsidRPr="005253C8">
        <w:rPr>
          <w:rFonts w:asciiTheme="majorHAnsi" w:hAnsiTheme="majorHAnsi"/>
          <w:b/>
          <w:sz w:val="32"/>
          <w:szCs w:val="32"/>
          <w:u w:val="single"/>
        </w:rPr>
        <w:t>Inter-Registrar Transfer Policy</w:t>
      </w:r>
    </w:p>
    <w:p w14:paraId="4A84739D" w14:textId="77777777" w:rsidR="00D10654" w:rsidRPr="005253C8" w:rsidRDefault="00D10654">
      <w:pPr>
        <w:rPr>
          <w:rFonts w:asciiTheme="majorHAnsi" w:hAnsiTheme="majorHAnsi"/>
        </w:rPr>
      </w:pPr>
    </w:p>
    <w:p w14:paraId="56542D31" w14:textId="77777777" w:rsidR="00D10654" w:rsidRPr="005253C8" w:rsidRDefault="00D10654">
      <w:pPr>
        <w:rPr>
          <w:rFonts w:asciiTheme="majorHAnsi" w:hAnsiTheme="majorHAnsi"/>
        </w:rPr>
      </w:pPr>
    </w:p>
    <w:p w14:paraId="7656A4DD" w14:textId="77777777" w:rsidR="00936252" w:rsidRPr="005253C8" w:rsidRDefault="00664ECD">
      <w:pPr>
        <w:rPr>
          <w:rFonts w:asciiTheme="majorHAnsi" w:hAnsiTheme="majorHAnsi"/>
        </w:rPr>
      </w:pPr>
      <w:r w:rsidRPr="005253C8">
        <w:rPr>
          <w:rFonts w:asciiTheme="majorHAnsi" w:hAnsiTheme="majorHAnsi"/>
        </w:rPr>
        <w:t xml:space="preserve">Document link: </w:t>
      </w:r>
      <w:hyperlink r:id="rId6" w:history="1">
        <w:r w:rsidRPr="005253C8">
          <w:rPr>
            <w:rStyle w:val="Hyperlink"/>
            <w:rFonts w:asciiTheme="majorHAnsi" w:hAnsiTheme="majorHAnsi"/>
          </w:rPr>
          <w:t>https://www.icann.org/resources/pages/transfer-policy-2015-09-24-en</w:t>
        </w:r>
      </w:hyperlink>
      <w:r w:rsidRPr="005253C8">
        <w:rPr>
          <w:rFonts w:asciiTheme="majorHAnsi" w:hAnsiTheme="majorHAnsi"/>
        </w:rPr>
        <w:t xml:space="preserve"> </w:t>
      </w:r>
    </w:p>
    <w:p w14:paraId="74FF99FC" w14:textId="77777777" w:rsidR="00936252" w:rsidRPr="005253C8" w:rsidRDefault="00936252">
      <w:pPr>
        <w:rPr>
          <w:rFonts w:asciiTheme="majorHAnsi" w:hAnsiTheme="majorHAnsi"/>
        </w:rPr>
      </w:pPr>
    </w:p>
    <w:p w14:paraId="0CC34160" w14:textId="77777777" w:rsidR="00BF189D" w:rsidRPr="005253C8" w:rsidRDefault="00BF189D">
      <w:pPr>
        <w:rPr>
          <w:rFonts w:asciiTheme="majorHAnsi" w:hAnsiTheme="majorHAnsi"/>
          <w:b/>
        </w:rPr>
      </w:pPr>
      <w:r w:rsidRPr="005253C8">
        <w:rPr>
          <w:rFonts w:asciiTheme="majorHAnsi" w:hAnsiTheme="majorHAnsi"/>
          <w:b/>
        </w:rPr>
        <w:t>[User/Purpose]</w:t>
      </w:r>
    </w:p>
    <w:p w14:paraId="39AFB7D9" w14:textId="77777777" w:rsidR="00BF189D" w:rsidRPr="005253C8" w:rsidRDefault="00084589" w:rsidP="00BF189D">
      <w:pPr>
        <w:pStyle w:val="NormalWeb"/>
        <w:shd w:val="clear" w:color="auto" w:fill="FFFFFF"/>
        <w:spacing w:line="336" w:lineRule="atLeast"/>
        <w:rPr>
          <w:rFonts w:asciiTheme="majorHAnsi" w:hAnsiTheme="majorHAnsi"/>
          <w:color w:val="333333"/>
          <w:sz w:val="24"/>
          <w:szCs w:val="24"/>
        </w:rPr>
      </w:pPr>
      <w:r w:rsidRPr="005253C8">
        <w:rPr>
          <w:rFonts w:asciiTheme="majorHAnsi" w:hAnsiTheme="majorHAnsi"/>
          <w:b/>
          <w:sz w:val="24"/>
          <w:szCs w:val="24"/>
        </w:rPr>
        <w:t>Section I.A.4.5</w:t>
      </w:r>
      <w:r w:rsidR="00BF189D" w:rsidRPr="005253C8">
        <w:rPr>
          <w:rFonts w:asciiTheme="majorHAnsi" w:hAnsiTheme="majorHAnsi"/>
          <w:sz w:val="24"/>
          <w:szCs w:val="24"/>
        </w:rPr>
        <w:t>: “</w:t>
      </w:r>
      <w:r w:rsidR="00BF189D" w:rsidRPr="005253C8">
        <w:rPr>
          <w:rFonts w:asciiTheme="majorHAnsi" w:hAnsiTheme="majorHAnsi"/>
          <w:color w:val="333333"/>
          <w:sz w:val="24"/>
          <w:szCs w:val="24"/>
        </w:rPr>
        <w:t>For purposes of facilitating transfer requests, Registrars should provide and maintain a unique and private email address for use only by other Registrars and the Registry:</w:t>
      </w:r>
    </w:p>
    <w:p w14:paraId="252CCD9C" w14:textId="77777777" w:rsidR="00BF189D" w:rsidRPr="005253C8" w:rsidRDefault="00BF189D" w:rsidP="005253C8">
      <w:pPr>
        <w:pStyle w:val="NormalWeb"/>
        <w:shd w:val="clear" w:color="auto" w:fill="FFFFFF"/>
        <w:spacing w:line="336" w:lineRule="atLeast"/>
        <w:ind w:left="720"/>
        <w:rPr>
          <w:rFonts w:asciiTheme="majorHAnsi" w:hAnsiTheme="majorHAnsi"/>
          <w:color w:val="333333"/>
          <w:sz w:val="24"/>
          <w:szCs w:val="24"/>
        </w:rPr>
      </w:pPr>
      <w:bookmarkStart w:id="0" w:name="I.A.4.5.1"/>
      <w:bookmarkEnd w:id="0"/>
      <w:r w:rsidRPr="005253C8">
        <w:rPr>
          <w:rFonts w:asciiTheme="majorHAnsi" w:hAnsiTheme="majorHAnsi"/>
          <w:color w:val="333333"/>
          <w:sz w:val="24"/>
          <w:szCs w:val="24"/>
        </w:rPr>
        <w:t>4.5.1 This email address is for issue related to transfer requests and the procedures set forth in this policy only.</w:t>
      </w:r>
    </w:p>
    <w:p w14:paraId="42D8A1FA" w14:textId="77777777" w:rsidR="00BF189D" w:rsidRPr="005253C8" w:rsidRDefault="00BF189D" w:rsidP="005253C8">
      <w:pPr>
        <w:pStyle w:val="NormalWeb"/>
        <w:shd w:val="clear" w:color="auto" w:fill="FFFFFF"/>
        <w:spacing w:line="336" w:lineRule="atLeast"/>
        <w:ind w:left="720"/>
        <w:rPr>
          <w:rFonts w:asciiTheme="majorHAnsi" w:hAnsiTheme="majorHAnsi"/>
          <w:color w:val="333333"/>
          <w:sz w:val="24"/>
          <w:szCs w:val="24"/>
        </w:rPr>
      </w:pPr>
      <w:bookmarkStart w:id="1" w:name="I.A.4.5.2"/>
      <w:bookmarkEnd w:id="1"/>
      <w:r w:rsidRPr="005253C8">
        <w:rPr>
          <w:rFonts w:asciiTheme="majorHAnsi" w:hAnsiTheme="majorHAnsi"/>
          <w:color w:val="333333"/>
          <w:sz w:val="24"/>
          <w:szCs w:val="24"/>
        </w:rPr>
        <w:t>4.5.2 The email address should be managed to ensure messages are received by someone who can respond to the transfer issue.</w:t>
      </w:r>
    </w:p>
    <w:p w14:paraId="0BCAD887" w14:textId="77777777" w:rsidR="00BF189D" w:rsidRPr="005253C8" w:rsidRDefault="00BF189D" w:rsidP="005253C8">
      <w:pPr>
        <w:pStyle w:val="NormalWeb"/>
        <w:shd w:val="clear" w:color="auto" w:fill="FFFFFF"/>
        <w:spacing w:before="0" w:beforeAutospacing="0" w:after="0" w:afterAutospacing="0" w:line="336" w:lineRule="atLeast"/>
        <w:ind w:left="720"/>
        <w:rPr>
          <w:rFonts w:asciiTheme="majorHAnsi" w:hAnsiTheme="majorHAnsi"/>
          <w:color w:val="333333"/>
          <w:sz w:val="24"/>
          <w:szCs w:val="24"/>
        </w:rPr>
      </w:pPr>
      <w:bookmarkStart w:id="2" w:name="I.A.4.5.3"/>
      <w:bookmarkEnd w:id="2"/>
      <w:r w:rsidRPr="005253C8">
        <w:rPr>
          <w:rFonts w:asciiTheme="majorHAnsi" w:hAnsiTheme="majorHAnsi"/>
          <w:color w:val="333333"/>
          <w:sz w:val="24"/>
          <w:szCs w:val="24"/>
        </w:rPr>
        <w:t>4.5.3 Messages received at such email address must be responded to within a commercial reasonable timeframe not to exceed seven (7) calendar days.”</w:t>
      </w:r>
    </w:p>
    <w:p w14:paraId="7FE16B4F" w14:textId="77777777" w:rsidR="00BF189D" w:rsidRPr="005253C8" w:rsidRDefault="00BF189D">
      <w:pPr>
        <w:rPr>
          <w:rFonts w:asciiTheme="majorHAnsi" w:hAnsiTheme="majorHAnsi"/>
        </w:rPr>
      </w:pPr>
    </w:p>
    <w:p w14:paraId="05DEC5B7" w14:textId="77777777" w:rsidR="00084589" w:rsidRPr="005253C8" w:rsidRDefault="00084589" w:rsidP="00084589">
      <w:pPr>
        <w:pStyle w:val="NormalWeb"/>
        <w:shd w:val="clear" w:color="auto" w:fill="FFFFFF"/>
        <w:spacing w:line="336" w:lineRule="atLeast"/>
        <w:rPr>
          <w:rFonts w:asciiTheme="majorHAnsi" w:hAnsiTheme="majorHAnsi"/>
          <w:color w:val="333333"/>
          <w:sz w:val="24"/>
          <w:szCs w:val="24"/>
        </w:rPr>
      </w:pPr>
      <w:r w:rsidRPr="005253C8">
        <w:rPr>
          <w:rFonts w:asciiTheme="majorHAnsi" w:hAnsiTheme="majorHAnsi"/>
          <w:b/>
          <w:sz w:val="24"/>
          <w:szCs w:val="24"/>
        </w:rPr>
        <w:t>Section I.A.4.6</w:t>
      </w:r>
      <w:r w:rsidRPr="005253C8">
        <w:rPr>
          <w:rFonts w:asciiTheme="majorHAnsi" w:hAnsiTheme="majorHAnsi"/>
          <w:sz w:val="24"/>
          <w:szCs w:val="24"/>
        </w:rPr>
        <w:t>: “</w:t>
      </w:r>
      <w:r w:rsidRPr="005253C8">
        <w:rPr>
          <w:rFonts w:asciiTheme="majorHAnsi" w:hAnsiTheme="majorHAnsi"/>
          <w:color w:val="333333"/>
          <w:sz w:val="24"/>
          <w:szCs w:val="24"/>
        </w:rPr>
        <w:t>Transfer Emergency Action Contact</w:t>
      </w:r>
    </w:p>
    <w:p w14:paraId="4E53B574" w14:textId="77777777" w:rsidR="00084589" w:rsidRPr="005253C8" w:rsidRDefault="00084589" w:rsidP="005253C8">
      <w:pPr>
        <w:pStyle w:val="NormalWeb"/>
        <w:shd w:val="clear" w:color="auto" w:fill="FFFFFF"/>
        <w:spacing w:line="336" w:lineRule="atLeast"/>
        <w:ind w:left="720"/>
        <w:rPr>
          <w:rFonts w:asciiTheme="majorHAnsi" w:hAnsiTheme="majorHAnsi"/>
          <w:color w:val="333333"/>
          <w:sz w:val="24"/>
          <w:szCs w:val="24"/>
        </w:rPr>
      </w:pPr>
      <w:bookmarkStart w:id="3" w:name="I.A.4.6.1"/>
      <w:bookmarkEnd w:id="3"/>
      <w:r w:rsidRPr="005253C8">
        <w:rPr>
          <w:rFonts w:asciiTheme="majorHAnsi" w:hAnsiTheme="majorHAnsi"/>
          <w:color w:val="333333"/>
          <w:sz w:val="24"/>
          <w:szCs w:val="24"/>
        </w:rPr>
        <w:t>4.6.1 Registrars will establish a Transfer Emergency Action Contact ("TEAC") for urgent communications relating to transfers. The goal of the</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TEAC</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is to quickly establish a real-time conversation between registrars (in a language that both parties can understand) in an emergency. Further actions can then be taken towards a resolution, including initiating existing (or future) transfer dispute or undo processes.</w:t>
      </w:r>
    </w:p>
    <w:p w14:paraId="7C64F0EA" w14:textId="77777777" w:rsidR="00084589" w:rsidRPr="005253C8" w:rsidRDefault="00084589" w:rsidP="005253C8">
      <w:pPr>
        <w:pStyle w:val="NormalWeb"/>
        <w:shd w:val="clear" w:color="auto" w:fill="FFFFFF"/>
        <w:spacing w:line="336" w:lineRule="atLeast"/>
        <w:ind w:left="720"/>
        <w:rPr>
          <w:rFonts w:asciiTheme="majorHAnsi" w:hAnsiTheme="majorHAnsi"/>
          <w:color w:val="333333"/>
          <w:sz w:val="24"/>
          <w:szCs w:val="24"/>
        </w:rPr>
      </w:pPr>
      <w:bookmarkStart w:id="4" w:name="I.A.4.6.2"/>
      <w:bookmarkEnd w:id="4"/>
      <w:r w:rsidRPr="005253C8">
        <w:rPr>
          <w:rFonts w:asciiTheme="majorHAnsi" w:hAnsiTheme="majorHAnsi"/>
          <w:color w:val="333333"/>
          <w:sz w:val="24"/>
          <w:szCs w:val="24"/>
        </w:rPr>
        <w:t>4.6.2 Communications to TEACs will be reserved for use by</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ICANN-Accredited Registrars,</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gTLD</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Registry Operators and</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ICANN</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Staff. The</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TEAC</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point of contact may be designated as a telephone number or some other real-time communication channel and will be recorded in, and protected by, the</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ICANNRADAR system. Communications to a</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TEAC</w:t>
      </w:r>
      <w:r w:rsidRPr="005253C8">
        <w:rPr>
          <w:rStyle w:val="apple-converted-space"/>
          <w:rFonts w:asciiTheme="majorHAnsi" w:hAnsiTheme="majorHAnsi"/>
          <w:color w:val="333333"/>
          <w:sz w:val="24"/>
          <w:szCs w:val="24"/>
        </w:rPr>
        <w:t> </w:t>
      </w:r>
      <w:r w:rsidRPr="005253C8">
        <w:rPr>
          <w:rFonts w:asciiTheme="majorHAnsi" w:hAnsiTheme="majorHAnsi"/>
          <w:color w:val="333333"/>
          <w:sz w:val="24"/>
          <w:szCs w:val="24"/>
        </w:rPr>
        <w:t>must be initiated in a timely manner, within a reasonable period of time following the alleged unauthorized loss of a domain.”</w:t>
      </w:r>
    </w:p>
    <w:p w14:paraId="477B2FAD" w14:textId="77777777" w:rsidR="00084589" w:rsidRPr="005253C8" w:rsidRDefault="00084589" w:rsidP="00084589">
      <w:pPr>
        <w:pStyle w:val="NormalWeb"/>
        <w:shd w:val="clear" w:color="auto" w:fill="FFFFFF"/>
        <w:spacing w:line="336" w:lineRule="atLeast"/>
        <w:rPr>
          <w:rFonts w:asciiTheme="majorHAnsi" w:hAnsiTheme="majorHAnsi"/>
          <w:color w:val="333333"/>
          <w:sz w:val="24"/>
          <w:szCs w:val="24"/>
        </w:rPr>
      </w:pPr>
      <w:r w:rsidRPr="005253C8">
        <w:rPr>
          <w:rFonts w:asciiTheme="majorHAnsi" w:hAnsiTheme="majorHAnsi"/>
          <w:b/>
          <w:sz w:val="24"/>
          <w:szCs w:val="24"/>
        </w:rPr>
        <w:t>Section I.A.5.5 to I.A.5.6</w:t>
      </w:r>
      <w:r w:rsidRPr="005253C8">
        <w:rPr>
          <w:rFonts w:asciiTheme="majorHAnsi" w:hAnsiTheme="majorHAnsi"/>
          <w:sz w:val="24"/>
          <w:szCs w:val="24"/>
        </w:rPr>
        <w:t>: “</w:t>
      </w:r>
      <w:r w:rsidRPr="005253C8">
        <w:rPr>
          <w:rFonts w:asciiTheme="majorHAnsi" w:hAnsiTheme="majorHAnsi"/>
          <w:color w:val="333333"/>
          <w:sz w:val="24"/>
          <w:szCs w:val="24"/>
        </w:rPr>
        <w:t>5.5 Registrar-generated "AuthInfo" codes must be unique on a per-domain basis.</w:t>
      </w:r>
    </w:p>
    <w:p w14:paraId="5BE0E4A0" w14:textId="77777777" w:rsidR="00084589" w:rsidRPr="005253C8" w:rsidRDefault="00084589" w:rsidP="005253C8">
      <w:pPr>
        <w:pStyle w:val="NormalWeb"/>
        <w:shd w:val="clear" w:color="auto" w:fill="FFFFFF"/>
        <w:spacing w:line="336" w:lineRule="atLeast"/>
        <w:rPr>
          <w:rFonts w:asciiTheme="majorHAnsi" w:hAnsiTheme="majorHAnsi"/>
          <w:color w:val="333333"/>
          <w:sz w:val="24"/>
          <w:szCs w:val="24"/>
        </w:rPr>
      </w:pPr>
      <w:bookmarkStart w:id="5" w:name="I.A.5.6"/>
      <w:bookmarkEnd w:id="5"/>
      <w:r w:rsidRPr="005253C8">
        <w:rPr>
          <w:rFonts w:asciiTheme="majorHAnsi" w:hAnsiTheme="majorHAnsi"/>
          <w:color w:val="333333"/>
          <w:sz w:val="24"/>
          <w:szCs w:val="24"/>
        </w:rPr>
        <w:lastRenderedPageBreak/>
        <w:t>5.6 The "AuthInfo" codes must be used solely to identify a Registered Name Holder, whereas the FOAs still need to be used for authorization or confirmation of a transfer request, as described in Section 2 and Section 4 of this policy.</w:t>
      </w:r>
    </w:p>
    <w:p w14:paraId="5DAFB3BA" w14:textId="77777777" w:rsidR="00084589" w:rsidRPr="005253C8" w:rsidRDefault="00084589" w:rsidP="00084589">
      <w:pPr>
        <w:rPr>
          <w:rFonts w:asciiTheme="majorHAnsi" w:eastAsia="Times New Roman" w:hAnsiTheme="majorHAnsi" w:cs="Times New Roman"/>
          <w:lang w:val="en-ZA"/>
        </w:rPr>
      </w:pPr>
      <w:r w:rsidRPr="005253C8">
        <w:rPr>
          <w:rFonts w:asciiTheme="majorHAnsi" w:hAnsiTheme="majorHAnsi"/>
          <w:b/>
        </w:rPr>
        <w:t>Section I.B.1.1</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 In general, registrants must be permitted to update their registration/Whois data and transfer their registration rights to other registrants freely.”</w:t>
      </w:r>
    </w:p>
    <w:p w14:paraId="388ECC19" w14:textId="77777777" w:rsidR="00084589" w:rsidRPr="005253C8" w:rsidRDefault="00084589">
      <w:pPr>
        <w:rPr>
          <w:rFonts w:asciiTheme="majorHAnsi" w:hAnsiTheme="majorHAnsi"/>
        </w:rPr>
      </w:pPr>
    </w:p>
    <w:p w14:paraId="5938B9A4" w14:textId="77777777" w:rsidR="00BF189D" w:rsidRPr="005253C8" w:rsidRDefault="00BF189D">
      <w:pPr>
        <w:rPr>
          <w:rFonts w:asciiTheme="majorHAnsi" w:hAnsiTheme="majorHAnsi"/>
        </w:rPr>
      </w:pPr>
    </w:p>
    <w:p w14:paraId="7036AB42" w14:textId="77777777" w:rsidR="00811AF0" w:rsidRPr="005253C8" w:rsidRDefault="00811AF0">
      <w:pPr>
        <w:rPr>
          <w:rFonts w:asciiTheme="majorHAnsi" w:hAnsiTheme="majorHAnsi"/>
          <w:b/>
        </w:rPr>
      </w:pPr>
      <w:r w:rsidRPr="005253C8">
        <w:rPr>
          <w:rFonts w:asciiTheme="majorHAnsi" w:hAnsiTheme="majorHAnsi"/>
          <w:b/>
        </w:rPr>
        <w:t>[Data Elements]</w:t>
      </w:r>
    </w:p>
    <w:p w14:paraId="7C54E547" w14:textId="77777777" w:rsidR="00811AF0" w:rsidRPr="005253C8" w:rsidRDefault="00811AF0">
      <w:pPr>
        <w:rPr>
          <w:rFonts w:asciiTheme="majorHAnsi" w:hAnsiTheme="majorHAnsi"/>
        </w:rPr>
      </w:pPr>
    </w:p>
    <w:p w14:paraId="5FECE0FB" w14:textId="77777777" w:rsidR="00811AF0" w:rsidRPr="005253C8" w:rsidRDefault="00811AF0">
      <w:pPr>
        <w:rPr>
          <w:rFonts w:asciiTheme="majorHAnsi" w:eastAsia="Times New Roman" w:hAnsiTheme="majorHAnsi" w:cs="Times New Roman"/>
          <w:lang w:val="en-ZA"/>
        </w:rPr>
      </w:pPr>
      <w:r w:rsidRPr="005253C8">
        <w:rPr>
          <w:rFonts w:asciiTheme="majorHAnsi" w:hAnsiTheme="majorHAnsi"/>
          <w:b/>
        </w:rPr>
        <w:t>Section I.A.2.1.2</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In the event that the Gaining Registrar relies on a physical process to obtain this authorization, a paper copy of the </w:t>
      </w:r>
      <w:r w:rsidRPr="005253C8">
        <w:rPr>
          <w:rFonts w:asciiTheme="majorHAnsi" w:eastAsia="Times New Roman" w:hAnsiTheme="majorHAnsi" w:cs="Times New Roman"/>
          <w:lang w:val="en-ZA"/>
        </w:rPr>
        <w:t>FOA</w:t>
      </w:r>
      <w:r w:rsidRPr="005253C8">
        <w:rPr>
          <w:rFonts w:asciiTheme="majorHAnsi" w:eastAsia="Times New Roman" w:hAnsiTheme="majorHAnsi" w:cs="Times New Roman"/>
          <w:color w:val="333333"/>
          <w:shd w:val="clear" w:color="auto" w:fill="FFFFFF"/>
          <w:lang w:val="en-ZA"/>
        </w:rPr>
        <w:t> will suffice insofar as it has been signed by the Transfer Contact and further that it is accompanied by a physical copy of the Registrar of Record's Whois output for the domain name in question”</w:t>
      </w:r>
    </w:p>
    <w:p w14:paraId="1D7FF7B2" w14:textId="77777777" w:rsidR="00936252" w:rsidRPr="005253C8" w:rsidRDefault="00936252" w:rsidP="00936252">
      <w:pPr>
        <w:pStyle w:val="NormalWeb"/>
        <w:shd w:val="clear" w:color="auto" w:fill="FFFFFF"/>
        <w:spacing w:line="336" w:lineRule="atLeast"/>
        <w:rPr>
          <w:rFonts w:asciiTheme="majorHAnsi" w:hAnsiTheme="majorHAnsi"/>
          <w:color w:val="333333"/>
          <w:sz w:val="24"/>
          <w:szCs w:val="24"/>
        </w:rPr>
      </w:pPr>
      <w:r w:rsidRPr="005253C8">
        <w:rPr>
          <w:rFonts w:asciiTheme="majorHAnsi" w:hAnsiTheme="majorHAnsi"/>
          <w:b/>
          <w:sz w:val="24"/>
          <w:szCs w:val="24"/>
        </w:rPr>
        <w:t>Section I.A.2.1.3</w:t>
      </w:r>
      <w:r w:rsidR="00811AF0" w:rsidRPr="005253C8">
        <w:rPr>
          <w:rFonts w:asciiTheme="majorHAnsi" w:hAnsiTheme="majorHAnsi"/>
          <w:b/>
          <w:sz w:val="24"/>
          <w:szCs w:val="24"/>
        </w:rPr>
        <w:t>.1</w:t>
      </w:r>
      <w:r w:rsidR="00811AF0" w:rsidRPr="005253C8">
        <w:rPr>
          <w:rFonts w:asciiTheme="majorHAnsi" w:hAnsiTheme="majorHAnsi"/>
          <w:sz w:val="24"/>
          <w:szCs w:val="24"/>
        </w:rPr>
        <w:t>: “</w:t>
      </w:r>
      <w:r w:rsidRPr="005253C8">
        <w:rPr>
          <w:rFonts w:asciiTheme="majorHAnsi" w:hAnsiTheme="majorHAnsi"/>
          <w:color w:val="333333"/>
          <w:sz w:val="24"/>
          <w:szCs w:val="24"/>
        </w:rPr>
        <w:t>In the event that the Gaining Registrar relies on an electronic process to obtain this authorization the acceptable forms of identity would include:</w:t>
      </w:r>
    </w:p>
    <w:p w14:paraId="514E1A77" w14:textId="77777777" w:rsidR="00936252" w:rsidRPr="005253C8" w:rsidRDefault="00936252" w:rsidP="005253C8">
      <w:pPr>
        <w:pStyle w:val="NormalWeb"/>
        <w:shd w:val="clear" w:color="auto" w:fill="FFFFFF"/>
        <w:spacing w:line="336" w:lineRule="atLeast"/>
        <w:ind w:left="720"/>
        <w:rPr>
          <w:rFonts w:asciiTheme="majorHAnsi" w:hAnsiTheme="majorHAnsi"/>
          <w:color w:val="333333"/>
          <w:sz w:val="24"/>
          <w:szCs w:val="24"/>
        </w:rPr>
      </w:pPr>
      <w:bookmarkStart w:id="6" w:name="I.A.2.1.3.1.a"/>
      <w:bookmarkEnd w:id="6"/>
      <w:r w:rsidRPr="005253C8">
        <w:rPr>
          <w:rFonts w:asciiTheme="majorHAnsi" w:hAnsiTheme="majorHAnsi"/>
          <w:color w:val="333333"/>
          <w:sz w:val="24"/>
          <w:szCs w:val="24"/>
        </w:rPr>
        <w:t>(a) Electronic signature in conformance with national legislation, in the location of the Gaining Registrar (if such legislation exists).</w:t>
      </w:r>
    </w:p>
    <w:p w14:paraId="3C5A26EA" w14:textId="77777777" w:rsidR="00936252" w:rsidRPr="005253C8" w:rsidRDefault="00936252" w:rsidP="005253C8">
      <w:pPr>
        <w:pStyle w:val="NormalWeb"/>
        <w:shd w:val="clear" w:color="auto" w:fill="FFFFFF"/>
        <w:spacing w:before="0" w:beforeAutospacing="0" w:after="0" w:afterAutospacing="0" w:line="336" w:lineRule="atLeast"/>
        <w:ind w:left="720"/>
        <w:rPr>
          <w:rFonts w:asciiTheme="majorHAnsi" w:hAnsiTheme="majorHAnsi"/>
          <w:color w:val="333333"/>
          <w:sz w:val="24"/>
          <w:szCs w:val="24"/>
        </w:rPr>
      </w:pPr>
      <w:bookmarkStart w:id="7" w:name="I.A.2.1.3.1.b"/>
      <w:bookmarkEnd w:id="7"/>
      <w:r w:rsidRPr="005253C8">
        <w:rPr>
          <w:rFonts w:asciiTheme="majorHAnsi" w:hAnsiTheme="majorHAnsi"/>
          <w:color w:val="333333"/>
          <w:sz w:val="24"/>
          <w:szCs w:val="24"/>
        </w:rPr>
        <w:t>(b) Consent from an individual or entity that has an email address matching the Transfer Contact email address.”</w:t>
      </w:r>
    </w:p>
    <w:p w14:paraId="6993B71F" w14:textId="77777777" w:rsidR="00811AF0" w:rsidRPr="005253C8" w:rsidRDefault="00811AF0">
      <w:pPr>
        <w:rPr>
          <w:rFonts w:asciiTheme="majorHAnsi" w:hAnsiTheme="majorHAnsi"/>
        </w:rPr>
      </w:pPr>
    </w:p>
    <w:p w14:paraId="62E5117A" w14:textId="77777777" w:rsidR="00936252" w:rsidRPr="005253C8" w:rsidRDefault="00936252">
      <w:pPr>
        <w:rPr>
          <w:rFonts w:asciiTheme="majorHAnsi" w:eastAsia="Times New Roman" w:hAnsiTheme="majorHAnsi" w:cs="Times New Roman"/>
          <w:lang w:val="en-ZA"/>
        </w:rPr>
      </w:pPr>
      <w:r w:rsidRPr="005253C8">
        <w:rPr>
          <w:rFonts w:asciiTheme="majorHAnsi" w:hAnsiTheme="majorHAnsi"/>
          <w:b/>
        </w:rPr>
        <w:t>Section I.A.3.6</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r w:rsidRPr="005253C8">
        <w:rPr>
          <w:rFonts w:asciiTheme="majorHAnsi" w:hAnsiTheme="majorHAnsi"/>
        </w:rPr>
        <w:t>“</w:t>
      </w:r>
    </w:p>
    <w:p w14:paraId="08DC60C5" w14:textId="77777777" w:rsidR="00936252" w:rsidRPr="005253C8" w:rsidRDefault="00936252">
      <w:pPr>
        <w:rPr>
          <w:rFonts w:asciiTheme="majorHAnsi" w:hAnsiTheme="majorHAnsi"/>
        </w:rPr>
      </w:pPr>
    </w:p>
    <w:p w14:paraId="09792B2E" w14:textId="77777777" w:rsidR="00936252" w:rsidRPr="005253C8" w:rsidRDefault="00936252">
      <w:pPr>
        <w:rPr>
          <w:rFonts w:asciiTheme="majorHAnsi" w:hAnsiTheme="majorHAnsi"/>
          <w:b/>
        </w:rPr>
      </w:pPr>
      <w:r w:rsidRPr="005253C8">
        <w:rPr>
          <w:rFonts w:asciiTheme="majorHAnsi" w:hAnsiTheme="majorHAnsi"/>
          <w:b/>
        </w:rPr>
        <w:t>[Data Accuracy]</w:t>
      </w:r>
    </w:p>
    <w:p w14:paraId="087A2D60" w14:textId="77777777" w:rsidR="00936252" w:rsidRPr="005253C8" w:rsidRDefault="00936252">
      <w:pPr>
        <w:rPr>
          <w:rFonts w:asciiTheme="majorHAnsi" w:hAnsiTheme="majorHAnsi"/>
        </w:rPr>
      </w:pPr>
    </w:p>
    <w:p w14:paraId="522B6F0D" w14:textId="77777777" w:rsidR="00936252" w:rsidRPr="005253C8" w:rsidRDefault="00936252" w:rsidP="00936252">
      <w:pPr>
        <w:rPr>
          <w:rFonts w:asciiTheme="majorHAnsi" w:eastAsia="Times New Roman" w:hAnsiTheme="majorHAnsi" w:cs="Times New Roman"/>
          <w:lang w:val="en-ZA"/>
        </w:rPr>
      </w:pPr>
      <w:r w:rsidRPr="005253C8">
        <w:rPr>
          <w:rFonts w:asciiTheme="majorHAnsi" w:hAnsiTheme="majorHAnsi"/>
          <w:b/>
        </w:rPr>
        <w:t>Section I.A.3.7</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675021E2" w14:textId="77777777" w:rsidR="00936252" w:rsidRPr="005253C8" w:rsidRDefault="00936252">
      <w:pPr>
        <w:rPr>
          <w:rFonts w:asciiTheme="majorHAnsi" w:hAnsiTheme="majorHAnsi"/>
        </w:rPr>
      </w:pPr>
    </w:p>
    <w:p w14:paraId="0830C4FB" w14:textId="77777777" w:rsidR="00936252" w:rsidRPr="005253C8" w:rsidRDefault="00936252" w:rsidP="00936252">
      <w:pPr>
        <w:pStyle w:val="ListParagraph"/>
        <w:numPr>
          <w:ilvl w:val="0"/>
          <w:numId w:val="1"/>
        </w:numPr>
        <w:rPr>
          <w:rFonts w:asciiTheme="majorHAnsi" w:eastAsia="Times New Roman" w:hAnsiTheme="majorHAnsi" w:cs="Times New Roman"/>
          <w:lang w:val="en-ZA"/>
        </w:rPr>
      </w:pPr>
      <w:r w:rsidRPr="005253C8">
        <w:rPr>
          <w:rFonts w:asciiTheme="majorHAnsi" w:eastAsia="Times New Roman" w:hAnsiTheme="majorHAnsi" w:cs="Times New Roman"/>
          <w:color w:val="333333"/>
          <w:shd w:val="clear" w:color="auto" w:fill="FFFFFF"/>
          <w:lang w:val="en-ZA"/>
        </w:rPr>
        <w:t>Reasonable dispute over the identity of the Registered Name Holder or Administrative Contact.</w:t>
      </w:r>
    </w:p>
    <w:p w14:paraId="5201778C" w14:textId="77777777" w:rsidR="00936252" w:rsidRPr="005253C8" w:rsidRDefault="00936252" w:rsidP="005253C8">
      <w:pPr>
        <w:pStyle w:val="ListParagraph"/>
        <w:numPr>
          <w:ilvl w:val="0"/>
          <w:numId w:val="1"/>
        </w:numPr>
        <w:rPr>
          <w:rFonts w:asciiTheme="majorHAnsi" w:eastAsia="Times New Roman" w:hAnsiTheme="majorHAnsi" w:cs="Times New Roman"/>
          <w:lang w:val="en-ZA"/>
        </w:rPr>
      </w:pPr>
      <w:r w:rsidRPr="005253C8">
        <w:rPr>
          <w:rFonts w:asciiTheme="majorHAnsi" w:eastAsia="Times New Roman" w:hAnsiTheme="majorHAnsi" w:cs="Times New Roman"/>
          <w:color w:val="333333"/>
          <w:shd w:val="clear" w:color="auto" w:fill="FFFFFF"/>
          <w:lang w:val="en-ZA"/>
        </w:rPr>
        <w:t>The transfer was requested within 60 days of the creation date as shown in the registry Whois record for the domain name.</w:t>
      </w:r>
      <w:r w:rsidR="00A87555">
        <w:rPr>
          <w:rFonts w:asciiTheme="majorHAnsi" w:eastAsia="Times New Roman" w:hAnsiTheme="majorHAnsi" w:cs="Times New Roman"/>
          <w:color w:val="333333"/>
          <w:shd w:val="clear" w:color="auto" w:fill="FFFFFF"/>
          <w:lang w:val="en-ZA"/>
        </w:rPr>
        <w:t>”</w:t>
      </w:r>
    </w:p>
    <w:p w14:paraId="1D540FB3" w14:textId="77777777" w:rsidR="00936252" w:rsidRPr="005253C8" w:rsidRDefault="00936252">
      <w:pPr>
        <w:rPr>
          <w:rFonts w:asciiTheme="majorHAnsi" w:hAnsiTheme="majorHAnsi"/>
        </w:rPr>
      </w:pPr>
    </w:p>
    <w:p w14:paraId="3CEB17B3" w14:textId="77777777" w:rsidR="00936252" w:rsidRPr="005253C8" w:rsidRDefault="00936252">
      <w:pPr>
        <w:rPr>
          <w:rFonts w:asciiTheme="majorHAnsi" w:hAnsiTheme="majorHAnsi"/>
          <w:b/>
        </w:rPr>
      </w:pPr>
      <w:r w:rsidRPr="005253C8">
        <w:rPr>
          <w:rFonts w:asciiTheme="majorHAnsi" w:hAnsiTheme="majorHAnsi"/>
          <w:b/>
        </w:rPr>
        <w:t>[Gated Access]</w:t>
      </w:r>
    </w:p>
    <w:p w14:paraId="21F9076B" w14:textId="77777777" w:rsidR="00936252" w:rsidRPr="005253C8" w:rsidRDefault="00936252">
      <w:pPr>
        <w:rPr>
          <w:rFonts w:asciiTheme="majorHAnsi" w:hAnsiTheme="majorHAnsi"/>
        </w:rPr>
      </w:pPr>
    </w:p>
    <w:p w14:paraId="699E6218" w14:textId="77777777" w:rsidR="00936252" w:rsidRPr="00A87555" w:rsidRDefault="00936252">
      <w:pPr>
        <w:rPr>
          <w:rFonts w:asciiTheme="majorHAnsi" w:eastAsia="Times New Roman" w:hAnsiTheme="majorHAnsi" w:cs="Times New Roman"/>
          <w:lang w:val="en-ZA"/>
        </w:rPr>
      </w:pPr>
      <w:r w:rsidRPr="005253C8">
        <w:rPr>
          <w:rFonts w:asciiTheme="majorHAnsi" w:hAnsiTheme="majorHAnsi"/>
          <w:b/>
        </w:rPr>
        <w:t>Section I.A.1.1</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w:t>
      </w:r>
      <w:r w:rsidRPr="005253C8">
        <w:rPr>
          <w:rFonts w:asciiTheme="majorHAnsi" w:eastAsia="Times New Roman" w:hAnsiTheme="majorHAnsi" w:cs="Times New Roman"/>
          <w:lang w:val="en-ZA"/>
        </w:rPr>
        <w:t xml:space="preserve">. </w:t>
      </w:r>
      <w:r w:rsidRPr="005253C8">
        <w:rPr>
          <w:rFonts w:asciiTheme="majorHAnsi" w:eastAsia="Times New Roman" w:hAnsiTheme="majorHAnsi" w:cs="Times New Roman"/>
          <w:color w:val="333333"/>
          <w:shd w:val="clear" w:color="auto" w:fill="FFFFFF"/>
          <w:lang w:val="en-ZA"/>
        </w:rPr>
        <w:t>Registrars may use Whois data from either the Registrar of Record or the relevant Registry for the purpose of verifying the authenticity of a transfer request; or from another data source as determined by a consensus policy.”</w:t>
      </w:r>
    </w:p>
    <w:p w14:paraId="7C2624D5" w14:textId="77777777" w:rsidR="00936252" w:rsidRPr="005253C8" w:rsidRDefault="00936252">
      <w:pPr>
        <w:rPr>
          <w:rFonts w:asciiTheme="majorHAnsi" w:hAnsiTheme="majorHAnsi"/>
        </w:rPr>
      </w:pPr>
    </w:p>
    <w:p w14:paraId="5E5FF1B8" w14:textId="77777777" w:rsidR="00936252" w:rsidRPr="00A87555" w:rsidRDefault="00936252">
      <w:pPr>
        <w:rPr>
          <w:rFonts w:asciiTheme="majorHAnsi" w:hAnsiTheme="majorHAnsi"/>
          <w:b/>
        </w:rPr>
      </w:pPr>
      <w:r w:rsidRPr="00A87555">
        <w:rPr>
          <w:rFonts w:asciiTheme="majorHAnsi" w:hAnsiTheme="majorHAnsi"/>
          <w:b/>
        </w:rPr>
        <w:t>[Compliance]</w:t>
      </w:r>
    </w:p>
    <w:p w14:paraId="21C900E1" w14:textId="77777777" w:rsidR="00936252" w:rsidRPr="005253C8" w:rsidRDefault="00936252">
      <w:pPr>
        <w:rPr>
          <w:rFonts w:asciiTheme="majorHAnsi" w:hAnsiTheme="majorHAnsi"/>
        </w:rPr>
      </w:pPr>
    </w:p>
    <w:p w14:paraId="373373D5" w14:textId="77777777" w:rsidR="00936252" w:rsidRPr="005253C8" w:rsidRDefault="00936252" w:rsidP="00936252">
      <w:pPr>
        <w:rPr>
          <w:rFonts w:asciiTheme="majorHAnsi" w:eastAsia="Times New Roman" w:hAnsiTheme="majorHAnsi" w:cs="Times New Roman"/>
          <w:lang w:val="en-ZA"/>
        </w:rPr>
      </w:pPr>
      <w:r w:rsidRPr="00A87555">
        <w:rPr>
          <w:rFonts w:asciiTheme="majorHAnsi" w:hAnsiTheme="majorHAnsi"/>
          <w:b/>
        </w:rPr>
        <w:t>Section I.A.2.2.1</w:t>
      </w:r>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Transmission of a "transfer" command constitutes a representation on the part of the Gaining Registrar that the requisite authorization has been obtained from the Transfer Contact listed in the authoritative Whois database.”</w:t>
      </w:r>
    </w:p>
    <w:p w14:paraId="4BEF7FC8" w14:textId="77777777" w:rsidR="00936252" w:rsidRPr="005253C8" w:rsidRDefault="00936252">
      <w:pPr>
        <w:rPr>
          <w:rFonts w:asciiTheme="majorHAnsi" w:hAnsiTheme="majorHAnsi"/>
        </w:rPr>
      </w:pPr>
    </w:p>
    <w:p w14:paraId="3E05E77C" w14:textId="77777777" w:rsidR="00BF189D" w:rsidRPr="005253C8" w:rsidRDefault="00BF189D" w:rsidP="00BF189D">
      <w:pPr>
        <w:rPr>
          <w:rFonts w:asciiTheme="majorHAnsi" w:eastAsia="Times New Roman" w:hAnsiTheme="majorHAnsi" w:cs="Times New Roman"/>
          <w:lang w:val="en-ZA"/>
        </w:rPr>
      </w:pPr>
      <w:bookmarkStart w:id="8" w:name="_GoBack"/>
      <w:r w:rsidRPr="00A87555">
        <w:rPr>
          <w:rFonts w:asciiTheme="majorHAnsi" w:hAnsiTheme="majorHAnsi"/>
          <w:b/>
        </w:rPr>
        <w:t>Section I.A.4.4</w:t>
      </w:r>
      <w:bookmarkEnd w:id="8"/>
      <w:r w:rsidRPr="005253C8">
        <w:rPr>
          <w:rFonts w:asciiTheme="majorHAnsi" w:hAnsiTheme="majorHAnsi"/>
        </w:rPr>
        <w:t>: “</w:t>
      </w:r>
      <w:r w:rsidRPr="005253C8">
        <w:rPr>
          <w:rFonts w:asciiTheme="majorHAnsi" w:eastAsia="Times New Roman" w:hAnsiTheme="majorHAnsi" w:cs="Times New Roman"/>
          <w:color w:val="333333"/>
          <w:shd w:val="clear" w:color="auto" w:fill="FFFFFF"/>
          <w:lang w:val="en-ZA"/>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038E52FF" w14:textId="77777777" w:rsidR="00936252" w:rsidRPr="005253C8" w:rsidRDefault="00936252">
      <w:pPr>
        <w:rPr>
          <w:rFonts w:asciiTheme="majorHAnsi" w:hAnsiTheme="majorHAnsi"/>
        </w:rPr>
      </w:pPr>
    </w:p>
    <w:p w14:paraId="0612B70A" w14:textId="77777777" w:rsidR="00811AF0" w:rsidRPr="005253C8" w:rsidRDefault="00811AF0">
      <w:pPr>
        <w:rPr>
          <w:rFonts w:asciiTheme="majorHAnsi" w:hAnsiTheme="majorHAnsi"/>
        </w:rPr>
      </w:pPr>
    </w:p>
    <w:sectPr w:rsidR="00811AF0" w:rsidRPr="005253C8" w:rsidSect="002333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6FAA"/>
    <w:multiLevelType w:val="hybridMultilevel"/>
    <w:tmpl w:val="46B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54"/>
    <w:rsid w:val="00084589"/>
    <w:rsid w:val="00233380"/>
    <w:rsid w:val="005253C8"/>
    <w:rsid w:val="00664ECD"/>
    <w:rsid w:val="00811AF0"/>
    <w:rsid w:val="00936252"/>
    <w:rsid w:val="00A87555"/>
    <w:rsid w:val="00BF189D"/>
    <w:rsid w:val="00D1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A82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ECD"/>
    <w:rPr>
      <w:color w:val="0000FF" w:themeColor="hyperlink"/>
      <w:u w:val="single"/>
    </w:rPr>
  </w:style>
  <w:style w:type="character" w:customStyle="1" w:styleId="apple-converted-space">
    <w:name w:val="apple-converted-space"/>
    <w:basedOn w:val="DefaultParagraphFont"/>
    <w:rsid w:val="00811AF0"/>
  </w:style>
  <w:style w:type="paragraph" w:styleId="NormalWeb">
    <w:name w:val="Normal (Web)"/>
    <w:basedOn w:val="Normal"/>
    <w:uiPriority w:val="99"/>
    <w:unhideWhenUsed/>
    <w:rsid w:val="00936252"/>
    <w:pPr>
      <w:spacing w:before="100" w:beforeAutospacing="1" w:after="100" w:afterAutospacing="1"/>
    </w:pPr>
    <w:rPr>
      <w:rFonts w:ascii="Times" w:hAnsi="Times" w:cs="Times New Roman"/>
      <w:sz w:val="20"/>
      <w:szCs w:val="20"/>
      <w:lang w:val="en-ZA"/>
    </w:rPr>
  </w:style>
  <w:style w:type="paragraph" w:styleId="ListParagraph">
    <w:name w:val="List Paragraph"/>
    <w:basedOn w:val="Normal"/>
    <w:uiPriority w:val="34"/>
    <w:qFormat/>
    <w:rsid w:val="009362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ECD"/>
    <w:rPr>
      <w:color w:val="0000FF" w:themeColor="hyperlink"/>
      <w:u w:val="single"/>
    </w:rPr>
  </w:style>
  <w:style w:type="character" w:customStyle="1" w:styleId="apple-converted-space">
    <w:name w:val="apple-converted-space"/>
    <w:basedOn w:val="DefaultParagraphFont"/>
    <w:rsid w:val="00811AF0"/>
  </w:style>
  <w:style w:type="paragraph" w:styleId="NormalWeb">
    <w:name w:val="Normal (Web)"/>
    <w:basedOn w:val="Normal"/>
    <w:uiPriority w:val="99"/>
    <w:unhideWhenUsed/>
    <w:rsid w:val="00936252"/>
    <w:pPr>
      <w:spacing w:before="100" w:beforeAutospacing="1" w:after="100" w:afterAutospacing="1"/>
    </w:pPr>
    <w:rPr>
      <w:rFonts w:ascii="Times" w:hAnsi="Times" w:cs="Times New Roman"/>
      <w:sz w:val="20"/>
      <w:szCs w:val="20"/>
      <w:lang w:val="en-ZA"/>
    </w:rPr>
  </w:style>
  <w:style w:type="paragraph" w:styleId="ListParagraph">
    <w:name w:val="List Paragraph"/>
    <w:basedOn w:val="Normal"/>
    <w:uiPriority w:val="34"/>
    <w:qFormat/>
    <w:rsid w:val="0093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3503">
      <w:bodyDiv w:val="1"/>
      <w:marLeft w:val="0"/>
      <w:marRight w:val="0"/>
      <w:marTop w:val="0"/>
      <w:marBottom w:val="0"/>
      <w:divBdr>
        <w:top w:val="none" w:sz="0" w:space="0" w:color="auto"/>
        <w:left w:val="none" w:sz="0" w:space="0" w:color="auto"/>
        <w:bottom w:val="none" w:sz="0" w:space="0" w:color="auto"/>
        <w:right w:val="none" w:sz="0" w:space="0" w:color="auto"/>
      </w:divBdr>
      <w:divsChild>
        <w:div w:id="17932808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7543868">
      <w:bodyDiv w:val="1"/>
      <w:marLeft w:val="0"/>
      <w:marRight w:val="0"/>
      <w:marTop w:val="0"/>
      <w:marBottom w:val="0"/>
      <w:divBdr>
        <w:top w:val="none" w:sz="0" w:space="0" w:color="auto"/>
        <w:left w:val="none" w:sz="0" w:space="0" w:color="auto"/>
        <w:bottom w:val="none" w:sz="0" w:space="0" w:color="auto"/>
        <w:right w:val="none" w:sz="0" w:space="0" w:color="auto"/>
      </w:divBdr>
    </w:div>
    <w:div w:id="826750714">
      <w:bodyDiv w:val="1"/>
      <w:marLeft w:val="0"/>
      <w:marRight w:val="0"/>
      <w:marTop w:val="0"/>
      <w:marBottom w:val="0"/>
      <w:divBdr>
        <w:top w:val="none" w:sz="0" w:space="0" w:color="auto"/>
        <w:left w:val="none" w:sz="0" w:space="0" w:color="auto"/>
        <w:bottom w:val="none" w:sz="0" w:space="0" w:color="auto"/>
        <w:right w:val="none" w:sz="0" w:space="0" w:color="auto"/>
      </w:divBdr>
    </w:div>
    <w:div w:id="981348476">
      <w:bodyDiv w:val="1"/>
      <w:marLeft w:val="0"/>
      <w:marRight w:val="0"/>
      <w:marTop w:val="0"/>
      <w:marBottom w:val="0"/>
      <w:divBdr>
        <w:top w:val="none" w:sz="0" w:space="0" w:color="auto"/>
        <w:left w:val="none" w:sz="0" w:space="0" w:color="auto"/>
        <w:bottom w:val="none" w:sz="0" w:space="0" w:color="auto"/>
        <w:right w:val="none" w:sz="0" w:space="0" w:color="auto"/>
      </w:divBdr>
    </w:div>
    <w:div w:id="989595814">
      <w:bodyDiv w:val="1"/>
      <w:marLeft w:val="0"/>
      <w:marRight w:val="0"/>
      <w:marTop w:val="0"/>
      <w:marBottom w:val="0"/>
      <w:divBdr>
        <w:top w:val="none" w:sz="0" w:space="0" w:color="auto"/>
        <w:left w:val="none" w:sz="0" w:space="0" w:color="auto"/>
        <w:bottom w:val="none" w:sz="0" w:space="0" w:color="auto"/>
        <w:right w:val="none" w:sz="0" w:space="0" w:color="auto"/>
      </w:divBdr>
    </w:div>
    <w:div w:id="1057365215">
      <w:bodyDiv w:val="1"/>
      <w:marLeft w:val="0"/>
      <w:marRight w:val="0"/>
      <w:marTop w:val="0"/>
      <w:marBottom w:val="0"/>
      <w:divBdr>
        <w:top w:val="none" w:sz="0" w:space="0" w:color="auto"/>
        <w:left w:val="none" w:sz="0" w:space="0" w:color="auto"/>
        <w:bottom w:val="none" w:sz="0" w:space="0" w:color="auto"/>
        <w:right w:val="none" w:sz="0" w:space="0" w:color="auto"/>
      </w:divBdr>
    </w:div>
    <w:div w:id="1107964097">
      <w:bodyDiv w:val="1"/>
      <w:marLeft w:val="0"/>
      <w:marRight w:val="0"/>
      <w:marTop w:val="0"/>
      <w:marBottom w:val="0"/>
      <w:divBdr>
        <w:top w:val="none" w:sz="0" w:space="0" w:color="auto"/>
        <w:left w:val="none" w:sz="0" w:space="0" w:color="auto"/>
        <w:bottom w:val="none" w:sz="0" w:space="0" w:color="auto"/>
        <w:right w:val="none" w:sz="0" w:space="0" w:color="auto"/>
      </w:divBdr>
    </w:div>
    <w:div w:id="1278876730">
      <w:bodyDiv w:val="1"/>
      <w:marLeft w:val="0"/>
      <w:marRight w:val="0"/>
      <w:marTop w:val="0"/>
      <w:marBottom w:val="0"/>
      <w:divBdr>
        <w:top w:val="none" w:sz="0" w:space="0" w:color="auto"/>
        <w:left w:val="none" w:sz="0" w:space="0" w:color="auto"/>
        <w:bottom w:val="none" w:sz="0" w:space="0" w:color="auto"/>
        <w:right w:val="none" w:sz="0" w:space="0" w:color="auto"/>
      </w:divBdr>
      <w:divsChild>
        <w:div w:id="94079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5783139">
      <w:bodyDiv w:val="1"/>
      <w:marLeft w:val="0"/>
      <w:marRight w:val="0"/>
      <w:marTop w:val="0"/>
      <w:marBottom w:val="0"/>
      <w:divBdr>
        <w:top w:val="none" w:sz="0" w:space="0" w:color="auto"/>
        <w:left w:val="none" w:sz="0" w:space="0" w:color="auto"/>
        <w:bottom w:val="none" w:sz="0" w:space="0" w:color="auto"/>
        <w:right w:val="none" w:sz="0" w:space="0" w:color="auto"/>
      </w:divBdr>
    </w:div>
    <w:div w:id="1521510877">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599837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9978403">
      <w:bodyDiv w:val="1"/>
      <w:marLeft w:val="0"/>
      <w:marRight w:val="0"/>
      <w:marTop w:val="0"/>
      <w:marBottom w:val="0"/>
      <w:divBdr>
        <w:top w:val="none" w:sz="0" w:space="0" w:color="auto"/>
        <w:left w:val="none" w:sz="0" w:space="0" w:color="auto"/>
        <w:bottom w:val="none" w:sz="0" w:space="0" w:color="auto"/>
        <w:right w:val="none" w:sz="0" w:space="0" w:color="auto"/>
      </w:divBdr>
    </w:div>
    <w:div w:id="1816099942">
      <w:bodyDiv w:val="1"/>
      <w:marLeft w:val="0"/>
      <w:marRight w:val="0"/>
      <w:marTop w:val="0"/>
      <w:marBottom w:val="0"/>
      <w:divBdr>
        <w:top w:val="none" w:sz="0" w:space="0" w:color="auto"/>
        <w:left w:val="none" w:sz="0" w:space="0" w:color="auto"/>
        <w:bottom w:val="none" w:sz="0" w:space="0" w:color="auto"/>
        <w:right w:val="none" w:sz="0" w:space="0" w:color="auto"/>
      </w:divBdr>
    </w:div>
    <w:div w:id="1923643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transfer-policy-2015-09-24-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740</Words>
  <Characters>4224</Characters>
  <Application>Microsoft Macintosh Word</Application>
  <DocSecurity>0</DocSecurity>
  <Lines>35</Lines>
  <Paragraphs>9</Paragraphs>
  <ScaleCrop>false</ScaleCrop>
  <Company>DNServices</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Dinculescu</dc:creator>
  <cp:keywords/>
  <dc:description/>
  <cp:lastModifiedBy>Vlad Dinculescu</cp:lastModifiedBy>
  <cp:revision>2</cp:revision>
  <dcterms:created xsi:type="dcterms:W3CDTF">2016-06-06T08:01:00Z</dcterms:created>
  <dcterms:modified xsi:type="dcterms:W3CDTF">2016-06-06T16:07:00Z</dcterms:modified>
</cp:coreProperties>
</file>