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5E" w:rsidRPr="00B22E76" w:rsidRDefault="003E575E" w:rsidP="003E575E">
      <w:pPr>
        <w:rPr>
          <w:rFonts w:ascii="Arial" w:hAnsi="Arial" w:cs="Arial"/>
          <w:b/>
          <w:sz w:val="20"/>
          <w:szCs w:val="24"/>
        </w:rPr>
      </w:pPr>
      <w:bookmarkStart w:id="0" w:name="_GoBack"/>
      <w:bookmarkEnd w:id="0"/>
      <w:r>
        <w:rPr>
          <w:rFonts w:ascii="Arial" w:hAnsi="Arial" w:cs="Arial"/>
          <w:b/>
          <w:sz w:val="20"/>
          <w:szCs w:val="24"/>
        </w:rPr>
        <w:t>&lt;Category of Related Use Cases&gt;</w:t>
      </w:r>
      <w:r w:rsidRPr="00B22E76">
        <w:rPr>
          <w:rFonts w:ascii="Arial" w:hAnsi="Arial" w:cs="Arial"/>
          <w:b/>
          <w:sz w:val="20"/>
          <w:szCs w:val="24"/>
        </w:rPr>
        <w:t xml:space="preserve"> – </w:t>
      </w:r>
      <w:r>
        <w:rPr>
          <w:rFonts w:ascii="Arial" w:hAnsi="Arial" w:cs="Arial"/>
          <w:b/>
          <w:sz w:val="20"/>
          <w:szCs w:val="24"/>
        </w:rPr>
        <w:t>&lt;</w:t>
      </w:r>
      <w:r w:rsidR="00990854">
        <w:rPr>
          <w:rFonts w:ascii="Arial" w:hAnsi="Arial" w:cs="Arial"/>
          <w:b/>
          <w:sz w:val="20"/>
          <w:szCs w:val="24"/>
        </w:rPr>
        <w:t>Infringing a trademark</w:t>
      </w:r>
      <w:r>
        <w:rPr>
          <w:rFonts w:ascii="Arial" w:hAnsi="Arial" w:cs="Arial"/>
          <w:b/>
          <w:sz w:val="20"/>
          <w:szCs w:val="24"/>
        </w:rPr>
        <w:t>&gt;</w:t>
      </w:r>
    </w:p>
    <w:p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Goal/Scenario #1</w:t>
      </w:r>
    </w:p>
    <w:p w:rsidR="003E575E" w:rsidRPr="00B22E76" w:rsidRDefault="00AD36E6" w:rsidP="003E575E">
      <w:pPr>
        <w:spacing w:line="240" w:lineRule="auto"/>
        <w:rPr>
          <w:rFonts w:ascii="Arial" w:hAnsi="Arial" w:cs="Arial"/>
          <w:sz w:val="20"/>
          <w:szCs w:val="24"/>
        </w:rPr>
      </w:pPr>
      <w:r>
        <w:rPr>
          <w:rFonts w:ascii="Arial" w:hAnsi="Arial" w:cs="Arial"/>
          <w:sz w:val="20"/>
          <w:szCs w:val="24"/>
        </w:rPr>
        <w:t>A corporate employee attempts to prevent misuse of her corporation’s brands and trademarks.</w:t>
      </w:r>
    </w:p>
    <w:p w:rsidR="003E575E" w:rsidRPr="00B22E76" w:rsidRDefault="003E575E" w:rsidP="003E575E">
      <w:pPr>
        <w:spacing w:line="240" w:lineRule="auto"/>
        <w:rPr>
          <w:rFonts w:ascii="Arial" w:hAnsi="Arial" w:cs="Arial"/>
          <w:b/>
          <w:sz w:val="20"/>
          <w:szCs w:val="24"/>
          <w:u w:val="single"/>
        </w:rPr>
      </w:pPr>
      <w:r w:rsidRPr="00B22E76">
        <w:rPr>
          <w:rFonts w:ascii="Arial" w:hAnsi="Arial" w:cs="Arial"/>
          <w:b/>
          <w:sz w:val="20"/>
          <w:szCs w:val="24"/>
          <w:u w:val="single"/>
        </w:rPr>
        <w:t>Brief Format Use Case</w:t>
      </w:r>
    </w:p>
    <w:p w:rsidR="00AD1DC9" w:rsidRDefault="003E575E" w:rsidP="003E575E">
      <w:pPr>
        <w:spacing w:line="240" w:lineRule="auto"/>
        <w:rPr>
          <w:rFonts w:ascii="Arial" w:hAnsi="Arial" w:cs="Arial"/>
          <w:sz w:val="20"/>
          <w:szCs w:val="24"/>
        </w:rPr>
      </w:pPr>
      <w:r w:rsidRPr="00B22E76">
        <w:rPr>
          <w:rFonts w:ascii="Arial" w:hAnsi="Arial" w:cs="Arial"/>
          <w:b/>
          <w:sz w:val="20"/>
          <w:szCs w:val="24"/>
        </w:rPr>
        <w:t>Use Case:</w:t>
      </w:r>
      <w:r w:rsidRPr="00B22E76">
        <w:rPr>
          <w:rFonts w:ascii="Arial" w:hAnsi="Arial" w:cs="Arial"/>
          <w:sz w:val="20"/>
          <w:szCs w:val="24"/>
        </w:rPr>
        <w:t xml:space="preserve"> </w:t>
      </w:r>
      <w:r w:rsidR="00AD36E6">
        <w:rPr>
          <w:rFonts w:ascii="Arial" w:hAnsi="Arial" w:cs="Arial"/>
          <w:sz w:val="20"/>
          <w:szCs w:val="24"/>
        </w:rPr>
        <w:t>By various means</w:t>
      </w:r>
      <w:r w:rsidR="00BC7274">
        <w:rPr>
          <w:rFonts w:ascii="Arial" w:hAnsi="Arial" w:cs="Arial"/>
          <w:sz w:val="20"/>
          <w:szCs w:val="24"/>
        </w:rPr>
        <w:t>,</w:t>
      </w:r>
      <w:r w:rsidR="00AD36E6">
        <w:rPr>
          <w:rFonts w:ascii="Arial" w:hAnsi="Arial" w:cs="Arial"/>
          <w:sz w:val="20"/>
          <w:szCs w:val="24"/>
        </w:rPr>
        <w:t xml:space="preserve"> both reactive and proactive, </w:t>
      </w:r>
      <w:r w:rsidR="00F520B9">
        <w:rPr>
          <w:rFonts w:ascii="Arial" w:hAnsi="Arial" w:cs="Arial"/>
          <w:sz w:val="20"/>
          <w:szCs w:val="24"/>
        </w:rPr>
        <w:t>person</w:t>
      </w:r>
      <w:r w:rsidR="00AD36E6">
        <w:rPr>
          <w:rFonts w:ascii="Arial" w:hAnsi="Arial" w:cs="Arial"/>
          <w:sz w:val="20"/>
          <w:szCs w:val="24"/>
        </w:rPr>
        <w:t>s and/or organization who</w:t>
      </w:r>
      <w:r w:rsidR="00F520B9">
        <w:rPr>
          <w:rFonts w:ascii="Arial" w:hAnsi="Arial" w:cs="Arial"/>
          <w:sz w:val="20"/>
          <w:szCs w:val="24"/>
        </w:rPr>
        <w:t xml:space="preserve"> </w:t>
      </w:r>
      <w:r w:rsidR="00AD36E6">
        <w:rPr>
          <w:rFonts w:ascii="Arial" w:hAnsi="Arial" w:cs="Arial"/>
          <w:sz w:val="20"/>
          <w:szCs w:val="24"/>
        </w:rPr>
        <w:t>misuse</w:t>
      </w:r>
      <w:r w:rsidR="00F520B9">
        <w:rPr>
          <w:rFonts w:ascii="Arial" w:hAnsi="Arial" w:cs="Arial"/>
          <w:sz w:val="20"/>
          <w:szCs w:val="24"/>
        </w:rPr>
        <w:t xml:space="preserve"> a trademark </w:t>
      </w:r>
      <w:r w:rsidR="009B1F35">
        <w:rPr>
          <w:rFonts w:ascii="Arial" w:hAnsi="Arial" w:cs="Arial"/>
          <w:sz w:val="20"/>
          <w:szCs w:val="24"/>
        </w:rPr>
        <w:t xml:space="preserve">online </w:t>
      </w:r>
      <w:r w:rsidR="00AD36E6">
        <w:rPr>
          <w:rFonts w:ascii="Arial" w:hAnsi="Arial" w:cs="Arial"/>
          <w:sz w:val="20"/>
          <w:szCs w:val="24"/>
        </w:rPr>
        <w:t xml:space="preserve">are identified </w:t>
      </w:r>
      <w:r w:rsidR="00F520B9">
        <w:rPr>
          <w:rFonts w:ascii="Arial" w:hAnsi="Arial" w:cs="Arial"/>
          <w:sz w:val="20"/>
          <w:szCs w:val="24"/>
        </w:rPr>
        <w:t>in order to ask them to cease and desist.</w:t>
      </w:r>
      <w:r>
        <w:rPr>
          <w:rFonts w:ascii="Arial" w:hAnsi="Arial" w:cs="Arial"/>
          <w:sz w:val="20"/>
          <w:szCs w:val="24"/>
        </w:rPr>
        <w:t xml:space="preserve"> </w:t>
      </w:r>
      <w:r w:rsidR="00626C32">
        <w:rPr>
          <w:rFonts w:ascii="Arial" w:hAnsi="Arial" w:cs="Arial"/>
          <w:sz w:val="20"/>
          <w:szCs w:val="24"/>
        </w:rPr>
        <w:t>RDS lookups are the usual initial method for resolving the issue.</w:t>
      </w:r>
    </w:p>
    <w:p w:rsidR="00AD1DC9" w:rsidRDefault="003E575E" w:rsidP="00BC7274">
      <w:pPr>
        <w:spacing w:line="240" w:lineRule="auto"/>
        <w:rPr>
          <w:rFonts w:ascii="Arial" w:hAnsi="Arial" w:cs="Arial"/>
          <w:sz w:val="20"/>
          <w:szCs w:val="24"/>
        </w:rPr>
      </w:pPr>
      <w:r w:rsidRPr="00B22E76">
        <w:rPr>
          <w:rFonts w:ascii="Arial" w:hAnsi="Arial" w:cs="Arial"/>
          <w:b/>
          <w:sz w:val="20"/>
          <w:szCs w:val="24"/>
        </w:rPr>
        <w:t>Main Use Case:</w:t>
      </w:r>
      <w:r w:rsidRPr="00B22E76">
        <w:rPr>
          <w:rFonts w:ascii="Arial" w:hAnsi="Arial" w:cs="Arial"/>
          <w:sz w:val="20"/>
          <w:szCs w:val="24"/>
        </w:rPr>
        <w:t xml:space="preserve"> </w:t>
      </w:r>
    </w:p>
    <w:p w:rsidR="00EE5AA1" w:rsidRPr="00354ADE" w:rsidRDefault="00626C32" w:rsidP="003E575E">
      <w:pPr>
        <w:spacing w:line="240" w:lineRule="auto"/>
        <w:rPr>
          <w:rFonts w:ascii="Arial" w:hAnsi="Arial" w:cs="Arial"/>
          <w:i/>
          <w:iCs/>
          <w:sz w:val="20"/>
          <w:szCs w:val="24"/>
        </w:rPr>
      </w:pPr>
      <w:r w:rsidRPr="00354ADE">
        <w:rPr>
          <w:rFonts w:ascii="Arial" w:hAnsi="Arial" w:cs="Arial"/>
          <w:i/>
          <w:iCs/>
          <w:sz w:val="20"/>
          <w:szCs w:val="24"/>
        </w:rPr>
        <w:t>? Not really sure how this is different from “Use case” and “story”.</w:t>
      </w:r>
    </w:p>
    <w:p w:rsidR="003E575E" w:rsidRPr="00B22E76" w:rsidRDefault="003E575E" w:rsidP="003E575E">
      <w:pPr>
        <w:spacing w:line="240" w:lineRule="auto"/>
        <w:rPr>
          <w:rFonts w:ascii="Arial" w:hAnsi="Arial" w:cs="Arial"/>
          <w:b/>
          <w:sz w:val="20"/>
          <w:szCs w:val="24"/>
          <w:u w:val="single"/>
        </w:rPr>
      </w:pPr>
      <w:r w:rsidRPr="00B22E76">
        <w:rPr>
          <w:rFonts w:ascii="Arial" w:hAnsi="Arial" w:cs="Arial"/>
          <w:b/>
          <w:sz w:val="20"/>
          <w:szCs w:val="24"/>
          <w:u w:val="single"/>
        </w:rPr>
        <w:t>Casual Format Use Case</w:t>
      </w:r>
    </w:p>
    <w:p w:rsidR="00CF6AA1" w:rsidRPr="00B22E76" w:rsidRDefault="003E575E" w:rsidP="00CF6AA1">
      <w:pPr>
        <w:spacing w:line="240" w:lineRule="auto"/>
        <w:rPr>
          <w:rFonts w:ascii="Arial" w:hAnsi="Arial" w:cs="Arial"/>
          <w:sz w:val="20"/>
          <w:szCs w:val="24"/>
        </w:rPr>
      </w:pPr>
      <w:r w:rsidRPr="00B22E76">
        <w:rPr>
          <w:rFonts w:ascii="Arial" w:hAnsi="Arial" w:cs="Arial"/>
          <w:b/>
          <w:sz w:val="20"/>
          <w:szCs w:val="24"/>
        </w:rPr>
        <w:t>Title:</w:t>
      </w:r>
      <w:r w:rsidRPr="00B22E76">
        <w:rPr>
          <w:rFonts w:ascii="Arial" w:hAnsi="Arial" w:cs="Arial"/>
          <w:sz w:val="20"/>
          <w:szCs w:val="24"/>
        </w:rPr>
        <w:t xml:space="preserve"> </w:t>
      </w:r>
      <w:r w:rsidR="00CF6AA1">
        <w:rPr>
          <w:rFonts w:ascii="Arial" w:hAnsi="Arial" w:cs="Arial"/>
          <w:sz w:val="20"/>
          <w:szCs w:val="24"/>
        </w:rPr>
        <w:t>A corporate employee attempts to prevent misuse of her corporation’s brands and trademarks in domain names.</w:t>
      </w:r>
    </w:p>
    <w:p w:rsidR="00AD1DC9" w:rsidRDefault="003E575E" w:rsidP="003E575E">
      <w:pPr>
        <w:spacing w:line="240" w:lineRule="auto"/>
        <w:rPr>
          <w:rFonts w:ascii="Arial" w:hAnsi="Arial" w:cs="Arial"/>
          <w:sz w:val="20"/>
          <w:szCs w:val="24"/>
        </w:rPr>
      </w:pPr>
      <w:r w:rsidRPr="00B22E76">
        <w:rPr>
          <w:rFonts w:ascii="Arial" w:hAnsi="Arial" w:cs="Arial"/>
          <w:b/>
          <w:sz w:val="20"/>
          <w:szCs w:val="24"/>
        </w:rPr>
        <w:t>Primary Actor:</w:t>
      </w:r>
      <w:r w:rsidRPr="00B22E76">
        <w:rPr>
          <w:rFonts w:ascii="Arial" w:hAnsi="Arial" w:cs="Arial"/>
          <w:sz w:val="20"/>
          <w:szCs w:val="24"/>
        </w:rPr>
        <w:t xml:space="preserve"> </w:t>
      </w:r>
      <w:r w:rsidR="00CF6AA1">
        <w:rPr>
          <w:rFonts w:ascii="Arial" w:hAnsi="Arial" w:cs="Arial"/>
          <w:sz w:val="20"/>
          <w:szCs w:val="24"/>
        </w:rPr>
        <w:t>A trademark attorney at a company whose trademarks are being infringed.</w:t>
      </w:r>
    </w:p>
    <w:p w:rsidR="00125CEC" w:rsidRDefault="003E575E" w:rsidP="00626C32">
      <w:pPr>
        <w:spacing w:line="240" w:lineRule="auto"/>
        <w:rPr>
          <w:rFonts w:ascii="Arial" w:hAnsi="Arial" w:cs="Arial"/>
          <w:i/>
          <w:sz w:val="20"/>
          <w:szCs w:val="24"/>
        </w:rPr>
      </w:pPr>
      <w:r w:rsidRPr="00B22E76">
        <w:rPr>
          <w:rFonts w:ascii="Arial" w:hAnsi="Arial" w:cs="Arial"/>
          <w:b/>
          <w:sz w:val="20"/>
          <w:szCs w:val="24"/>
        </w:rPr>
        <w:t>Other stakeholders:</w:t>
      </w:r>
      <w:r w:rsidRPr="00B22E76">
        <w:rPr>
          <w:rFonts w:ascii="Arial" w:hAnsi="Arial" w:cs="Arial"/>
          <w:sz w:val="20"/>
          <w:szCs w:val="24"/>
        </w:rPr>
        <w:t xml:space="preserve"> </w:t>
      </w:r>
      <w:r w:rsidR="00CF6AA1">
        <w:rPr>
          <w:rFonts w:ascii="Arial" w:hAnsi="Arial" w:cs="Arial"/>
          <w:sz w:val="20"/>
          <w:szCs w:val="24"/>
        </w:rPr>
        <w:t xml:space="preserve">Registrant associated with the infringing registered domain name; Registrar associated </w:t>
      </w:r>
      <w:r w:rsidR="00626C32">
        <w:rPr>
          <w:rFonts w:ascii="Arial" w:hAnsi="Arial" w:cs="Arial"/>
          <w:sz w:val="20"/>
          <w:szCs w:val="24"/>
        </w:rPr>
        <w:t>with</w:t>
      </w:r>
      <w:r w:rsidR="00CF6AA1">
        <w:rPr>
          <w:rFonts w:ascii="Arial" w:hAnsi="Arial" w:cs="Arial"/>
          <w:sz w:val="20"/>
          <w:szCs w:val="24"/>
        </w:rPr>
        <w:t xml:space="preserve"> </w:t>
      </w:r>
      <w:r w:rsidR="00626C32">
        <w:rPr>
          <w:rFonts w:ascii="Arial" w:hAnsi="Arial" w:cs="Arial"/>
          <w:sz w:val="20"/>
          <w:szCs w:val="24"/>
        </w:rPr>
        <w:t>the</w:t>
      </w:r>
      <w:r w:rsidR="00CF6AA1">
        <w:rPr>
          <w:rFonts w:ascii="Arial" w:hAnsi="Arial" w:cs="Arial"/>
          <w:sz w:val="20"/>
          <w:szCs w:val="24"/>
        </w:rPr>
        <w:t xml:space="preserve"> </w:t>
      </w:r>
      <w:r w:rsidR="00626C32">
        <w:rPr>
          <w:rFonts w:ascii="Arial" w:hAnsi="Arial" w:cs="Arial"/>
          <w:sz w:val="20"/>
          <w:szCs w:val="24"/>
        </w:rPr>
        <w:t>infringing</w:t>
      </w:r>
      <w:r w:rsidR="00CF6AA1">
        <w:rPr>
          <w:rFonts w:ascii="Arial" w:hAnsi="Arial" w:cs="Arial"/>
          <w:sz w:val="20"/>
          <w:szCs w:val="24"/>
        </w:rPr>
        <w:t xml:space="preserve"> </w:t>
      </w:r>
      <w:r w:rsidR="00626C32">
        <w:rPr>
          <w:rFonts w:ascii="Arial" w:hAnsi="Arial" w:cs="Arial"/>
          <w:sz w:val="20"/>
          <w:szCs w:val="24"/>
        </w:rPr>
        <w:t>registered</w:t>
      </w:r>
      <w:r w:rsidR="00CF6AA1">
        <w:rPr>
          <w:rFonts w:ascii="Arial" w:hAnsi="Arial" w:cs="Arial"/>
          <w:sz w:val="20"/>
          <w:szCs w:val="24"/>
        </w:rPr>
        <w:t xml:space="preserve"> </w:t>
      </w:r>
      <w:r w:rsidR="00626C32">
        <w:rPr>
          <w:rFonts w:ascii="Arial" w:hAnsi="Arial" w:cs="Arial"/>
          <w:sz w:val="20"/>
          <w:szCs w:val="24"/>
        </w:rPr>
        <w:t xml:space="preserve">domain </w:t>
      </w:r>
      <w:r w:rsidR="00626C32" w:rsidRPr="00626C32">
        <w:rPr>
          <w:rFonts w:ascii="Arial" w:hAnsi="Arial" w:cs="Arial"/>
          <w:sz w:val="20"/>
          <w:szCs w:val="24"/>
        </w:rPr>
        <w:t xml:space="preserve">name; </w:t>
      </w:r>
      <w:r w:rsidR="00125CEC" w:rsidRPr="00626C32">
        <w:rPr>
          <w:rFonts w:ascii="Arial" w:hAnsi="Arial" w:cs="Arial"/>
          <w:sz w:val="20"/>
          <w:szCs w:val="24"/>
        </w:rPr>
        <w:t>Privacy proxy service engaged by the registrant.</w:t>
      </w:r>
    </w:p>
    <w:p w:rsidR="000C748A" w:rsidRDefault="003E575E" w:rsidP="003E575E">
      <w:pPr>
        <w:spacing w:line="240" w:lineRule="auto"/>
        <w:rPr>
          <w:rFonts w:ascii="Arial" w:hAnsi="Arial" w:cs="Arial"/>
          <w:sz w:val="20"/>
          <w:szCs w:val="24"/>
        </w:rPr>
      </w:pPr>
      <w:r w:rsidRPr="00B22E76">
        <w:rPr>
          <w:rFonts w:ascii="Arial" w:hAnsi="Arial" w:cs="Arial"/>
          <w:b/>
          <w:sz w:val="20"/>
          <w:szCs w:val="24"/>
        </w:rPr>
        <w:t>Scope:</w:t>
      </w:r>
      <w:r w:rsidRPr="00B22E76">
        <w:rPr>
          <w:rFonts w:ascii="Arial" w:hAnsi="Arial" w:cs="Arial"/>
          <w:sz w:val="20"/>
          <w:szCs w:val="24"/>
        </w:rPr>
        <w:t xml:space="preserve"> </w:t>
      </w:r>
      <w:r w:rsidR="00BC5C2C">
        <w:rPr>
          <w:rFonts w:ascii="Arial" w:hAnsi="Arial" w:cs="Arial"/>
          <w:sz w:val="20"/>
          <w:szCs w:val="24"/>
        </w:rPr>
        <w:t>I</w:t>
      </w:r>
      <w:r w:rsidR="009B1F35">
        <w:rPr>
          <w:rFonts w:ascii="Arial" w:hAnsi="Arial" w:cs="Arial"/>
          <w:sz w:val="20"/>
          <w:szCs w:val="24"/>
        </w:rPr>
        <w:t>nteracting with RDS</w:t>
      </w:r>
      <w:r w:rsidR="00BC5C2C">
        <w:rPr>
          <w:rFonts w:ascii="Arial" w:hAnsi="Arial" w:cs="Arial"/>
          <w:sz w:val="20"/>
          <w:szCs w:val="24"/>
        </w:rPr>
        <w:t>; registrant, registrar, other companies being infringed by the same entities, privacy proxy provider, outside counsel.</w:t>
      </w:r>
    </w:p>
    <w:p w:rsidR="003E575E" w:rsidRPr="00B22E76" w:rsidRDefault="003E575E" w:rsidP="003E575E">
      <w:pPr>
        <w:spacing w:line="240" w:lineRule="auto"/>
        <w:rPr>
          <w:rFonts w:ascii="Arial" w:hAnsi="Arial" w:cs="Arial"/>
          <w:sz w:val="20"/>
          <w:szCs w:val="24"/>
        </w:rPr>
      </w:pPr>
      <w:r w:rsidRPr="00B22E76">
        <w:rPr>
          <w:rFonts w:ascii="Arial" w:hAnsi="Arial" w:cs="Arial"/>
          <w:b/>
          <w:sz w:val="20"/>
          <w:szCs w:val="24"/>
        </w:rPr>
        <w:t>Level</w:t>
      </w:r>
      <w:proofErr w:type="gramStart"/>
      <w:r w:rsidRPr="00B22E76">
        <w:rPr>
          <w:rFonts w:ascii="Arial" w:hAnsi="Arial" w:cs="Arial"/>
          <w:b/>
          <w:sz w:val="20"/>
          <w:szCs w:val="24"/>
        </w:rPr>
        <w:t>:</w:t>
      </w:r>
      <w:r w:rsidRPr="00B22E76">
        <w:rPr>
          <w:rFonts w:ascii="Arial" w:hAnsi="Arial" w:cs="Arial"/>
          <w:sz w:val="20"/>
          <w:szCs w:val="24"/>
        </w:rPr>
        <w:t xml:space="preserve"> </w:t>
      </w:r>
      <w:r w:rsidR="00DA2399" w:rsidRPr="00354ADE">
        <w:rPr>
          <w:rFonts w:ascii="Arial" w:hAnsi="Arial" w:cs="Arial"/>
          <w:i/>
          <w:iCs/>
          <w:sz w:val="20"/>
          <w:szCs w:val="24"/>
        </w:rPr>
        <w:t>?</w:t>
      </w:r>
      <w:proofErr w:type="gramEnd"/>
    </w:p>
    <w:p w:rsidR="003E575E" w:rsidRPr="00626C32" w:rsidRDefault="003E575E" w:rsidP="00626C32">
      <w:pPr>
        <w:spacing w:line="240" w:lineRule="auto"/>
        <w:rPr>
          <w:rFonts w:ascii="Arial" w:hAnsi="Arial" w:cs="Arial"/>
          <w:iCs/>
          <w:sz w:val="20"/>
          <w:szCs w:val="24"/>
        </w:rPr>
      </w:pPr>
      <w:r w:rsidRPr="00B22E76">
        <w:rPr>
          <w:rFonts w:ascii="Arial" w:hAnsi="Arial" w:cs="Arial"/>
          <w:b/>
          <w:sz w:val="20"/>
          <w:szCs w:val="24"/>
        </w:rPr>
        <w:t>Data Elements:</w:t>
      </w:r>
      <w:r w:rsidRPr="00B22E76">
        <w:rPr>
          <w:rFonts w:ascii="Arial" w:hAnsi="Arial" w:cs="Arial"/>
          <w:sz w:val="20"/>
          <w:szCs w:val="24"/>
        </w:rPr>
        <w:t xml:space="preserve"> </w:t>
      </w:r>
      <w:r w:rsidR="00626C32">
        <w:rPr>
          <w:rFonts w:ascii="Arial" w:hAnsi="Arial" w:cs="Arial"/>
          <w:sz w:val="20"/>
          <w:szCs w:val="24"/>
        </w:rPr>
        <w:t xml:space="preserve"> </w:t>
      </w:r>
      <w:r w:rsidRPr="00626C32">
        <w:rPr>
          <w:rFonts w:ascii="Arial" w:hAnsi="Arial" w:cs="Arial"/>
          <w:iCs/>
          <w:sz w:val="20"/>
          <w:szCs w:val="24"/>
        </w:rPr>
        <w:t xml:space="preserve">Data elements that allow communication in real or near-real time are the most useful in the context of this use case. These include an email address, an instant messaging address, a telephone number, and/or an indicator that identifies the preferred contact method specified by the Registrant. </w:t>
      </w:r>
      <w:r w:rsidR="00DA2399" w:rsidRPr="00626C32">
        <w:rPr>
          <w:rFonts w:ascii="Arial" w:hAnsi="Arial" w:cs="Arial"/>
          <w:iCs/>
          <w:sz w:val="20"/>
          <w:szCs w:val="24"/>
        </w:rPr>
        <w:t xml:space="preserve"> </w:t>
      </w:r>
      <w:r w:rsidR="00626C32" w:rsidRPr="00626C32">
        <w:rPr>
          <w:rFonts w:ascii="Arial" w:hAnsi="Arial" w:cs="Arial"/>
          <w:iCs/>
          <w:sz w:val="20"/>
          <w:szCs w:val="24"/>
        </w:rPr>
        <w:t xml:space="preserve">In cases where the data </w:t>
      </w:r>
      <w:r w:rsidR="009B1F35">
        <w:rPr>
          <w:rFonts w:ascii="Arial" w:hAnsi="Arial" w:cs="Arial"/>
          <w:iCs/>
          <w:sz w:val="20"/>
          <w:szCs w:val="24"/>
        </w:rPr>
        <w:t>are</w:t>
      </w:r>
      <w:r w:rsidR="00626C32" w:rsidRPr="00626C32">
        <w:rPr>
          <w:rFonts w:ascii="Arial" w:hAnsi="Arial" w:cs="Arial"/>
          <w:iCs/>
          <w:sz w:val="20"/>
          <w:szCs w:val="24"/>
        </w:rPr>
        <w:t xml:space="preserve"> incorrect or incomplete, potentially any data element which can be retrieved may be useful for an investigation.</w:t>
      </w:r>
    </w:p>
    <w:p w:rsidR="00626C32" w:rsidRDefault="00207F0F" w:rsidP="00626C32">
      <w:pPr>
        <w:spacing w:line="240" w:lineRule="auto"/>
        <w:rPr>
          <w:rFonts w:ascii="Arial" w:hAnsi="Arial" w:cs="Arial"/>
          <w:sz w:val="20"/>
          <w:szCs w:val="24"/>
        </w:rPr>
      </w:pPr>
      <w:r>
        <w:rPr>
          <w:rFonts w:ascii="Arial" w:hAnsi="Arial" w:cs="Arial"/>
          <w:b/>
          <w:sz w:val="20"/>
          <w:szCs w:val="24"/>
        </w:rPr>
        <w:t xml:space="preserve">Main </w:t>
      </w:r>
      <w:r w:rsidR="003E575E" w:rsidRPr="00B22E76">
        <w:rPr>
          <w:rFonts w:ascii="Arial" w:hAnsi="Arial" w:cs="Arial"/>
          <w:b/>
          <w:sz w:val="20"/>
          <w:szCs w:val="24"/>
        </w:rPr>
        <w:t>Story:</w:t>
      </w:r>
      <w:r w:rsidR="003E575E" w:rsidRPr="00B22E76">
        <w:rPr>
          <w:rFonts w:ascii="Arial" w:hAnsi="Arial" w:cs="Arial"/>
          <w:sz w:val="20"/>
          <w:szCs w:val="24"/>
        </w:rPr>
        <w:t xml:space="preserve"> </w:t>
      </w:r>
      <w:r w:rsidR="00626C32">
        <w:rPr>
          <w:rFonts w:ascii="Arial" w:hAnsi="Arial" w:cs="Arial"/>
          <w:sz w:val="20"/>
          <w:szCs w:val="24"/>
        </w:rPr>
        <w:t xml:space="preserve">Terry works in the Legal and Corporate Affairs division of a prominent brand holder corporation.  Terry frequently receives information from individual businesses which comprise </w:t>
      </w:r>
      <w:r w:rsidR="009B1F35">
        <w:rPr>
          <w:rFonts w:ascii="Arial" w:hAnsi="Arial" w:cs="Arial"/>
          <w:sz w:val="20"/>
          <w:szCs w:val="24"/>
        </w:rPr>
        <w:t>her company,</w:t>
      </w:r>
      <w:r w:rsidR="00626C32">
        <w:rPr>
          <w:rFonts w:ascii="Arial" w:hAnsi="Arial" w:cs="Arial"/>
          <w:sz w:val="20"/>
          <w:szCs w:val="24"/>
        </w:rPr>
        <w:t xml:space="preserve"> informing her of sites which violate the trademarks and/or licensing terms of her company in the </w:t>
      </w:r>
      <w:r w:rsidR="00261A12">
        <w:rPr>
          <w:rFonts w:ascii="Arial" w:hAnsi="Arial" w:cs="Arial"/>
          <w:sz w:val="20"/>
          <w:szCs w:val="24"/>
        </w:rPr>
        <w:t>domain</w:t>
      </w:r>
      <w:r w:rsidR="00626C32">
        <w:rPr>
          <w:rFonts w:ascii="Arial" w:hAnsi="Arial" w:cs="Arial"/>
          <w:sz w:val="20"/>
          <w:szCs w:val="24"/>
        </w:rPr>
        <w:t xml:space="preserve"> name string or in the content of the site.  In fact, this happens several times per week.</w:t>
      </w:r>
    </w:p>
    <w:p w:rsidR="00626C32" w:rsidRDefault="00626C32" w:rsidP="00626C32">
      <w:pPr>
        <w:spacing w:line="240" w:lineRule="auto"/>
        <w:rPr>
          <w:rFonts w:ascii="Arial" w:hAnsi="Arial" w:cs="Arial"/>
          <w:sz w:val="20"/>
          <w:szCs w:val="24"/>
        </w:rPr>
      </w:pPr>
      <w:r>
        <w:rPr>
          <w:rFonts w:ascii="Arial" w:hAnsi="Arial" w:cs="Arial"/>
          <w:sz w:val="20"/>
          <w:szCs w:val="24"/>
        </w:rPr>
        <w:t>Terry also licenses a tool from another party which proactively detects infringements via DNS search, web search, and AI-based analytics.</w:t>
      </w:r>
    </w:p>
    <w:p w:rsidR="00626C32" w:rsidRDefault="00626C32" w:rsidP="00626C32">
      <w:pPr>
        <w:spacing w:line="240" w:lineRule="auto"/>
        <w:rPr>
          <w:rFonts w:ascii="Arial" w:hAnsi="Arial" w:cs="Arial"/>
          <w:sz w:val="20"/>
          <w:szCs w:val="24"/>
        </w:rPr>
      </w:pPr>
      <w:r>
        <w:rPr>
          <w:rFonts w:ascii="Arial" w:hAnsi="Arial" w:cs="Arial"/>
          <w:sz w:val="20"/>
          <w:szCs w:val="24"/>
        </w:rPr>
        <w:t>When infringing sites are identified, Terry uses Reverse WhoIs to identify other sites tied to the registrant.  Frequently, the same person or organization is infringing Terry’s company’s trademarks on other sites, or is infringing on the trademarks of other companies.</w:t>
      </w:r>
    </w:p>
    <w:p w:rsidR="00626C32" w:rsidRDefault="00626C32" w:rsidP="00626C32">
      <w:pPr>
        <w:spacing w:line="240" w:lineRule="auto"/>
        <w:rPr>
          <w:rFonts w:ascii="Arial" w:hAnsi="Arial" w:cs="Arial"/>
          <w:sz w:val="20"/>
          <w:szCs w:val="24"/>
        </w:rPr>
      </w:pPr>
      <w:r>
        <w:rPr>
          <w:rFonts w:ascii="Arial" w:hAnsi="Arial" w:cs="Arial"/>
          <w:sz w:val="20"/>
          <w:szCs w:val="24"/>
        </w:rPr>
        <w:t xml:space="preserve">If the infringing party can be contacted using RDS data, a cease and desist order may be sent.  Sometimes a UDRP is filed so that Terry’s company can reclaim the infringing domain. Often, the information is not correct, or is hidden behind a privacy proxy service.  In these cases, Terry contacts the registrar, notifies outside counsel, and may resort to additional investigations online to determine the identity of the infringing party. </w:t>
      </w:r>
    </w:p>
    <w:p w:rsidR="00261A12" w:rsidRDefault="00261A12" w:rsidP="00626C32">
      <w:pPr>
        <w:spacing w:line="240" w:lineRule="auto"/>
        <w:rPr>
          <w:rFonts w:ascii="Arial" w:hAnsi="Arial" w:cs="Arial"/>
          <w:sz w:val="20"/>
          <w:szCs w:val="24"/>
        </w:rPr>
      </w:pPr>
    </w:p>
    <w:p w:rsidR="00261A12" w:rsidRDefault="00261A12" w:rsidP="00626C32">
      <w:pPr>
        <w:spacing w:line="240" w:lineRule="auto"/>
        <w:rPr>
          <w:rFonts w:ascii="Arial" w:hAnsi="Arial" w:cs="Arial"/>
          <w:sz w:val="20"/>
          <w:szCs w:val="24"/>
        </w:rPr>
      </w:pPr>
      <w:r w:rsidRPr="00207F0F">
        <w:rPr>
          <w:rFonts w:ascii="Arial" w:hAnsi="Arial" w:cs="Arial"/>
          <w:b/>
          <w:bCs/>
          <w:sz w:val="20"/>
          <w:szCs w:val="24"/>
        </w:rPr>
        <w:t>Variant story</w:t>
      </w:r>
      <w:r>
        <w:rPr>
          <w:rFonts w:ascii="Arial" w:hAnsi="Arial" w:cs="Arial"/>
          <w:sz w:val="20"/>
          <w:szCs w:val="24"/>
        </w:rPr>
        <w:t>:  Same as above, except that the RDS data falsely identifies Terry’s company as the registrant.  In these cases, UDRP is not appropriate.  Terry has no recourse except to work directly with the registrar.</w:t>
      </w:r>
    </w:p>
    <w:p w:rsidR="00261A12" w:rsidRDefault="00261A12" w:rsidP="00626C32">
      <w:pPr>
        <w:spacing w:line="240" w:lineRule="auto"/>
        <w:rPr>
          <w:rFonts w:ascii="Arial" w:hAnsi="Arial" w:cs="Arial"/>
          <w:sz w:val="20"/>
          <w:szCs w:val="24"/>
        </w:rPr>
      </w:pPr>
    </w:p>
    <w:p w:rsidR="00605B01" w:rsidRDefault="00261A12" w:rsidP="00207F0F">
      <w:pPr>
        <w:spacing w:line="240" w:lineRule="auto"/>
        <w:rPr>
          <w:rFonts w:ascii="Arial" w:hAnsi="Arial" w:cs="Arial"/>
          <w:i/>
          <w:sz w:val="20"/>
          <w:szCs w:val="24"/>
        </w:rPr>
      </w:pPr>
      <w:r w:rsidRPr="00207F0F">
        <w:rPr>
          <w:rFonts w:ascii="Arial" w:hAnsi="Arial" w:cs="Arial"/>
          <w:b/>
          <w:bCs/>
          <w:sz w:val="20"/>
          <w:szCs w:val="24"/>
        </w:rPr>
        <w:t>Variant story 2</w:t>
      </w:r>
      <w:r>
        <w:rPr>
          <w:rFonts w:ascii="Arial" w:hAnsi="Arial" w:cs="Arial"/>
          <w:sz w:val="20"/>
          <w:szCs w:val="24"/>
        </w:rPr>
        <w:t>: Same as above, except that the domain name itself isn’t infringing – it’s the content on the site at that domain name</w:t>
      </w:r>
      <w:r w:rsidR="00354ADE">
        <w:rPr>
          <w:rFonts w:ascii="Arial" w:hAnsi="Arial" w:cs="Arial"/>
          <w:sz w:val="20"/>
          <w:szCs w:val="24"/>
        </w:rPr>
        <w:t xml:space="preserve"> which infringes</w:t>
      </w:r>
      <w:r w:rsidR="009B1F35">
        <w:rPr>
          <w:rFonts w:ascii="Arial" w:hAnsi="Arial" w:cs="Arial"/>
          <w:sz w:val="20"/>
          <w:szCs w:val="24"/>
        </w:rPr>
        <w:t xml:space="preserve">.  (For example, a site at </w:t>
      </w:r>
      <w:r w:rsidR="009B1F35">
        <w:rPr>
          <w:rFonts w:ascii="Consolas" w:hAnsi="Consolas" w:cs="Arial"/>
          <w:sz w:val="20"/>
          <w:szCs w:val="24"/>
          <w:u w:val="single"/>
        </w:rPr>
        <w:t>piratesR</w:t>
      </w:r>
      <w:r w:rsidRPr="00207F0F">
        <w:rPr>
          <w:rFonts w:ascii="Consolas" w:hAnsi="Consolas" w:cs="Arial"/>
          <w:sz w:val="20"/>
          <w:szCs w:val="24"/>
          <w:u w:val="single"/>
        </w:rPr>
        <w:t>us.com</w:t>
      </w:r>
      <w:r>
        <w:rPr>
          <w:rFonts w:ascii="Arial" w:hAnsi="Arial" w:cs="Arial"/>
          <w:sz w:val="20"/>
          <w:szCs w:val="24"/>
        </w:rPr>
        <w:t xml:space="preserve"> might be </w:t>
      </w:r>
      <w:r w:rsidR="00207F0F">
        <w:rPr>
          <w:rFonts w:ascii="Arial" w:hAnsi="Arial" w:cs="Arial"/>
          <w:sz w:val="20"/>
          <w:szCs w:val="24"/>
        </w:rPr>
        <w:t xml:space="preserve">impersonating Terry’s company and </w:t>
      </w:r>
      <w:r>
        <w:rPr>
          <w:rFonts w:ascii="Arial" w:hAnsi="Arial" w:cs="Arial"/>
          <w:sz w:val="20"/>
          <w:szCs w:val="24"/>
        </w:rPr>
        <w:t xml:space="preserve">using Terry’s company’s </w:t>
      </w:r>
      <w:r w:rsidR="00207F0F">
        <w:rPr>
          <w:rFonts w:ascii="Arial" w:hAnsi="Arial" w:cs="Arial"/>
          <w:sz w:val="20"/>
          <w:szCs w:val="24"/>
        </w:rPr>
        <w:t xml:space="preserve">trademarks to offer unauthorized software </w:t>
      </w:r>
      <w:r w:rsidR="00207F0F">
        <w:rPr>
          <w:rFonts w:ascii="Arial" w:hAnsi="Arial" w:cs="Arial"/>
          <w:sz w:val="20"/>
          <w:szCs w:val="24"/>
        </w:rPr>
        <w:lastRenderedPageBreak/>
        <w:t>downloads.  In these cases, if cease and desist does not change the registrant’s behaviour, Terry must directly ask the registrar to take action.  Unfortunately, Terry has only about a 50% success rate with such requests.</w:t>
      </w:r>
    </w:p>
    <w:p w:rsidR="00605B01" w:rsidRDefault="00605B01" w:rsidP="003E575E">
      <w:pPr>
        <w:rPr>
          <w:rFonts w:ascii="Arial" w:hAnsi="Arial" w:cs="Arial"/>
          <w:sz w:val="20"/>
          <w:szCs w:val="24"/>
        </w:rPr>
      </w:pPr>
      <w:r w:rsidRPr="00605B01">
        <w:rPr>
          <w:rFonts w:ascii="Arial" w:hAnsi="Arial" w:cs="Arial"/>
          <w:b/>
          <w:sz w:val="20"/>
          <w:szCs w:val="24"/>
        </w:rPr>
        <w:t>Privacy implications:</w:t>
      </w:r>
      <w:r>
        <w:rPr>
          <w:rFonts w:ascii="Arial" w:hAnsi="Arial" w:cs="Arial"/>
          <w:sz w:val="20"/>
          <w:szCs w:val="24"/>
        </w:rPr>
        <w:t xml:space="preserve"> </w:t>
      </w:r>
      <w:r w:rsidR="00166562">
        <w:rPr>
          <w:rFonts w:ascii="Arial" w:hAnsi="Arial" w:cs="Arial"/>
          <w:sz w:val="20"/>
          <w:szCs w:val="24"/>
        </w:rPr>
        <w:t xml:space="preserve">Data </w:t>
      </w:r>
      <w:r w:rsidR="001523EF">
        <w:rPr>
          <w:rFonts w:ascii="Arial" w:hAnsi="Arial" w:cs="Arial"/>
          <w:sz w:val="20"/>
          <w:szCs w:val="24"/>
        </w:rPr>
        <w:t>are</w:t>
      </w:r>
      <w:r w:rsidR="00166562">
        <w:rPr>
          <w:rFonts w:ascii="Arial" w:hAnsi="Arial" w:cs="Arial"/>
          <w:sz w:val="20"/>
          <w:szCs w:val="24"/>
        </w:rPr>
        <w:t xml:space="preserve"> collected and stored according to a corporate privacy policy, based on good privacy principles.  This privacy policy may be distinct from the public privacy policy Terry’s company publishes regarding </w:t>
      </w:r>
      <w:r w:rsidR="00354ADE">
        <w:rPr>
          <w:rFonts w:ascii="Arial" w:hAnsi="Arial" w:cs="Arial"/>
          <w:sz w:val="20"/>
          <w:szCs w:val="24"/>
        </w:rPr>
        <w:t>the</w:t>
      </w:r>
      <w:r w:rsidR="00166562">
        <w:rPr>
          <w:rFonts w:ascii="Arial" w:hAnsi="Arial" w:cs="Arial"/>
          <w:sz w:val="20"/>
          <w:szCs w:val="24"/>
        </w:rPr>
        <w:t xml:space="preserve"> use of customer data and PII.</w:t>
      </w:r>
    </w:p>
    <w:p w:rsidR="00605B01" w:rsidRPr="00605B01" w:rsidRDefault="00605B01" w:rsidP="00605B01">
      <w:pPr>
        <w:suppressAutoHyphens w:val="0"/>
        <w:spacing w:after="0" w:line="240" w:lineRule="auto"/>
        <w:rPr>
          <w:rFonts w:ascii="Arial" w:hAnsi="Arial" w:cs="Arial"/>
          <w:sz w:val="20"/>
          <w:szCs w:val="24"/>
        </w:rPr>
      </w:pPr>
      <w:r w:rsidRPr="00513E13">
        <w:rPr>
          <w:rFonts w:ascii="Arial" w:hAnsi="Arial" w:cs="Arial"/>
          <w:b/>
          <w:sz w:val="20"/>
          <w:szCs w:val="24"/>
        </w:rPr>
        <w:t>W</w:t>
      </w:r>
      <w:r w:rsidRPr="00605B01">
        <w:rPr>
          <w:rFonts w:ascii="Arial" w:hAnsi="Arial" w:cs="Arial"/>
          <w:b/>
          <w:sz w:val="20"/>
          <w:szCs w:val="24"/>
        </w:rPr>
        <w:t>ho has con</w:t>
      </w:r>
      <w:r w:rsidRPr="00513E13">
        <w:rPr>
          <w:rFonts w:ascii="Arial" w:hAnsi="Arial" w:cs="Arial"/>
          <w:b/>
          <w:sz w:val="20"/>
          <w:szCs w:val="24"/>
        </w:rPr>
        <w:t>trol of and access to the data:</w:t>
      </w:r>
      <w:r w:rsidRPr="00513E13">
        <w:rPr>
          <w:rFonts w:ascii="Arial" w:hAnsi="Arial" w:cs="Arial"/>
          <w:sz w:val="20"/>
          <w:szCs w:val="24"/>
        </w:rPr>
        <w:t xml:space="preserve"> </w:t>
      </w:r>
      <w:r w:rsidR="00166562">
        <w:rPr>
          <w:rFonts w:ascii="Arial" w:hAnsi="Arial" w:cs="Arial"/>
          <w:sz w:val="20"/>
          <w:szCs w:val="24"/>
        </w:rPr>
        <w:t xml:space="preserve">The data </w:t>
      </w:r>
      <w:r w:rsidR="001523EF">
        <w:rPr>
          <w:rFonts w:ascii="Arial" w:hAnsi="Arial" w:cs="Arial"/>
          <w:sz w:val="20"/>
          <w:szCs w:val="24"/>
        </w:rPr>
        <w:t>are</w:t>
      </w:r>
      <w:r w:rsidR="00166562">
        <w:rPr>
          <w:rFonts w:ascii="Arial" w:hAnsi="Arial" w:cs="Arial"/>
          <w:sz w:val="20"/>
          <w:szCs w:val="24"/>
        </w:rPr>
        <w:t xml:space="preserve"> collected and stored within a secure system at Terry’s company. This limits the number of employees with access to the RDS data and reduces the risk of the data escaping the company network security boundary.  Occasionally data is shared with registries, outside counsel, and law enforcement. Of these, only outside counsel is held accountable to Terry’s company privacy and data handling policy.</w:t>
      </w:r>
    </w:p>
    <w:p w:rsidR="00605B01" w:rsidRPr="00605B01" w:rsidRDefault="00605B01" w:rsidP="00605B01">
      <w:pPr>
        <w:suppressAutoHyphens w:val="0"/>
        <w:spacing w:after="0" w:line="240" w:lineRule="auto"/>
        <w:rPr>
          <w:rFonts w:ascii="Arial" w:hAnsi="Arial" w:cs="Arial"/>
          <w:sz w:val="20"/>
          <w:szCs w:val="24"/>
        </w:rPr>
      </w:pPr>
    </w:p>
    <w:p w:rsidR="00605B01" w:rsidRPr="00605B01" w:rsidRDefault="00605B01" w:rsidP="00605B01">
      <w:pPr>
        <w:suppressAutoHyphens w:val="0"/>
        <w:spacing w:after="0" w:line="240" w:lineRule="auto"/>
        <w:rPr>
          <w:rFonts w:ascii="Arial" w:hAnsi="Arial" w:cs="Arial"/>
          <w:sz w:val="20"/>
          <w:szCs w:val="24"/>
        </w:rPr>
      </w:pPr>
      <w:r w:rsidRPr="00513E13">
        <w:rPr>
          <w:rFonts w:ascii="Arial" w:hAnsi="Arial" w:cs="Arial"/>
          <w:b/>
          <w:sz w:val="20"/>
          <w:szCs w:val="24"/>
        </w:rPr>
        <w:t>C</w:t>
      </w:r>
      <w:r w:rsidRPr="00605B01">
        <w:rPr>
          <w:rFonts w:ascii="Arial" w:hAnsi="Arial" w:cs="Arial"/>
          <w:b/>
          <w:sz w:val="20"/>
          <w:szCs w:val="24"/>
        </w:rPr>
        <w:t>onditions under which the</w:t>
      </w:r>
      <w:r w:rsidRPr="00513E13">
        <w:rPr>
          <w:rFonts w:ascii="Arial" w:hAnsi="Arial" w:cs="Arial"/>
          <w:b/>
          <w:sz w:val="20"/>
          <w:szCs w:val="24"/>
        </w:rPr>
        <w:t xml:space="preserve"> data are</w:t>
      </w:r>
      <w:r w:rsidRPr="00605B01">
        <w:rPr>
          <w:rFonts w:ascii="Arial" w:hAnsi="Arial" w:cs="Arial"/>
          <w:b/>
          <w:sz w:val="20"/>
          <w:szCs w:val="24"/>
        </w:rPr>
        <w:t xml:space="preserve"> accessible</w:t>
      </w:r>
      <w:r w:rsidRPr="00513E13">
        <w:rPr>
          <w:rFonts w:ascii="Arial" w:hAnsi="Arial" w:cs="Arial"/>
          <w:b/>
          <w:sz w:val="20"/>
          <w:szCs w:val="24"/>
        </w:rPr>
        <w:t>:</w:t>
      </w:r>
      <w:r w:rsidRPr="00513E13">
        <w:rPr>
          <w:rFonts w:ascii="Arial" w:hAnsi="Arial" w:cs="Arial"/>
          <w:sz w:val="20"/>
          <w:szCs w:val="24"/>
        </w:rPr>
        <w:t xml:space="preserve"> </w:t>
      </w:r>
      <w:r w:rsidR="00166562">
        <w:rPr>
          <w:rFonts w:ascii="Arial" w:hAnsi="Arial" w:cs="Arial"/>
          <w:sz w:val="20"/>
          <w:szCs w:val="24"/>
        </w:rPr>
        <w:t xml:space="preserve">These data are available when </w:t>
      </w:r>
      <w:r w:rsidR="001523EF">
        <w:rPr>
          <w:rFonts w:ascii="Arial" w:hAnsi="Arial" w:cs="Arial"/>
          <w:sz w:val="20"/>
          <w:szCs w:val="24"/>
        </w:rPr>
        <w:t>registrars</w:t>
      </w:r>
      <w:r w:rsidR="00166562">
        <w:rPr>
          <w:rFonts w:ascii="Arial" w:hAnsi="Arial" w:cs="Arial"/>
          <w:sz w:val="20"/>
          <w:szCs w:val="24"/>
        </w:rPr>
        <w:t xml:space="preserve"> are </w:t>
      </w:r>
      <w:r w:rsidR="001523EF">
        <w:rPr>
          <w:rFonts w:ascii="Arial" w:hAnsi="Arial" w:cs="Arial"/>
          <w:sz w:val="20"/>
          <w:szCs w:val="24"/>
        </w:rPr>
        <w:t>in compliance, information is complete and accurate, and privacy proxies are not in use.</w:t>
      </w:r>
    </w:p>
    <w:p w:rsidR="00605B01" w:rsidRPr="00605B01" w:rsidRDefault="00605B01" w:rsidP="00605B01">
      <w:pPr>
        <w:suppressAutoHyphens w:val="0"/>
        <w:spacing w:after="0" w:line="240" w:lineRule="auto"/>
        <w:rPr>
          <w:rFonts w:ascii="Arial" w:hAnsi="Arial" w:cs="Arial"/>
          <w:sz w:val="20"/>
          <w:szCs w:val="24"/>
        </w:rPr>
      </w:pPr>
    </w:p>
    <w:p w:rsidR="00605B01" w:rsidRDefault="00513E13" w:rsidP="00605B01">
      <w:pPr>
        <w:suppressAutoHyphens w:val="0"/>
        <w:spacing w:after="0" w:line="240" w:lineRule="auto"/>
        <w:rPr>
          <w:rFonts w:ascii="Arial" w:hAnsi="Arial" w:cs="Arial"/>
          <w:sz w:val="20"/>
          <w:szCs w:val="24"/>
        </w:rPr>
      </w:pPr>
      <w:r w:rsidRPr="00513E13">
        <w:rPr>
          <w:rFonts w:ascii="Arial" w:hAnsi="Arial" w:cs="Arial"/>
          <w:b/>
          <w:sz w:val="20"/>
          <w:szCs w:val="24"/>
        </w:rPr>
        <w:t>H</w:t>
      </w:r>
      <w:r w:rsidR="00605B01" w:rsidRPr="00605B01">
        <w:rPr>
          <w:rFonts w:ascii="Arial" w:hAnsi="Arial" w:cs="Arial"/>
          <w:b/>
          <w:sz w:val="20"/>
          <w:szCs w:val="24"/>
        </w:rPr>
        <w:t xml:space="preserve">ow </w:t>
      </w:r>
      <w:r w:rsidRPr="00513E13">
        <w:rPr>
          <w:rFonts w:ascii="Arial" w:hAnsi="Arial" w:cs="Arial"/>
          <w:b/>
          <w:sz w:val="20"/>
          <w:szCs w:val="24"/>
        </w:rPr>
        <w:t>data</w:t>
      </w:r>
      <w:r w:rsidR="00605B01" w:rsidRPr="00605B01">
        <w:rPr>
          <w:rFonts w:ascii="Arial" w:hAnsi="Arial" w:cs="Arial"/>
          <w:b/>
          <w:sz w:val="20"/>
          <w:szCs w:val="24"/>
        </w:rPr>
        <w:t xml:space="preserve"> </w:t>
      </w:r>
      <w:r w:rsidRPr="00513E13">
        <w:rPr>
          <w:rFonts w:ascii="Arial" w:hAnsi="Arial" w:cs="Arial"/>
          <w:b/>
          <w:sz w:val="20"/>
          <w:szCs w:val="24"/>
        </w:rPr>
        <w:t xml:space="preserve">can </w:t>
      </w:r>
      <w:r w:rsidR="00605B01" w:rsidRPr="00605B01">
        <w:rPr>
          <w:rFonts w:ascii="Arial" w:hAnsi="Arial" w:cs="Arial"/>
          <w:b/>
          <w:sz w:val="20"/>
          <w:szCs w:val="24"/>
        </w:rPr>
        <w:t>be accessed</w:t>
      </w:r>
      <w:r w:rsidRPr="00513E13">
        <w:rPr>
          <w:rFonts w:ascii="Arial" w:hAnsi="Arial" w:cs="Arial"/>
          <w:b/>
          <w:sz w:val="20"/>
          <w:szCs w:val="24"/>
        </w:rPr>
        <w:t>:</w:t>
      </w:r>
      <w:r w:rsidRPr="00513E13">
        <w:rPr>
          <w:rFonts w:ascii="Arial" w:hAnsi="Arial" w:cs="Arial"/>
          <w:sz w:val="20"/>
          <w:szCs w:val="24"/>
        </w:rPr>
        <w:t xml:space="preserve"> </w:t>
      </w:r>
      <w:r w:rsidR="001523EF">
        <w:rPr>
          <w:rFonts w:ascii="Arial" w:hAnsi="Arial" w:cs="Arial"/>
          <w:sz w:val="20"/>
          <w:szCs w:val="24"/>
        </w:rPr>
        <w:t>Data are accessed using the various WhoIs implementations of various registrars.  Tooling can be created to automate the process and deal with the vagaries of various implementations and protocols.</w:t>
      </w:r>
    </w:p>
    <w:p w:rsidR="00513E13" w:rsidRDefault="00513E13" w:rsidP="00605B01">
      <w:pPr>
        <w:suppressAutoHyphens w:val="0"/>
        <w:spacing w:after="0" w:line="240" w:lineRule="auto"/>
        <w:rPr>
          <w:rFonts w:ascii="Arial" w:hAnsi="Arial" w:cs="Arial"/>
          <w:sz w:val="20"/>
          <w:szCs w:val="24"/>
        </w:rPr>
      </w:pPr>
    </w:p>
    <w:p w:rsidR="00513E13" w:rsidRPr="00605B01" w:rsidRDefault="00513E13" w:rsidP="003E575E"/>
    <w:sectPr w:rsidR="00513E13" w:rsidRPr="00605B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CD" w:rsidRDefault="005551CD" w:rsidP="003E575E">
      <w:pPr>
        <w:spacing w:after="0" w:line="240" w:lineRule="auto"/>
      </w:pPr>
      <w:r>
        <w:separator/>
      </w:r>
    </w:p>
  </w:endnote>
  <w:endnote w:type="continuationSeparator" w:id="0">
    <w:p w:rsidR="005551CD" w:rsidRDefault="005551CD" w:rsidP="003E5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3EC" w:rsidRPr="003603EC" w:rsidRDefault="003603EC" w:rsidP="003603EC">
    <w:pPr>
      <w:pStyle w:val="Footer"/>
      <w:jc w:val="center"/>
      <w:rPr>
        <w:sz w:val="20"/>
      </w:rPr>
    </w:pPr>
    <w:r w:rsidRPr="003603EC">
      <w:rPr>
        <w:sz w:val="20"/>
      </w:rPr>
      <w:t>Initial draft, prepared from EWG use case template, for WG discussion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CD" w:rsidRDefault="005551CD" w:rsidP="003E575E">
      <w:pPr>
        <w:spacing w:after="0" w:line="240" w:lineRule="auto"/>
      </w:pPr>
      <w:r>
        <w:separator/>
      </w:r>
    </w:p>
  </w:footnote>
  <w:footnote w:type="continuationSeparator" w:id="0">
    <w:p w:rsidR="005551CD" w:rsidRDefault="005551CD" w:rsidP="003E57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5E" w:rsidRPr="00A11A63" w:rsidRDefault="00A11A63" w:rsidP="00A11A63">
    <w:pPr>
      <w:pStyle w:val="Header"/>
    </w:pPr>
    <w:r w:rsidRPr="00A11A63">
      <w:t>12-Trademark Infringement</w:t>
    </w:r>
    <w:r>
      <w:t xml:space="preserve"> (</w:t>
    </w:r>
    <w:r>
      <w:rPr>
        <w:rFonts w:ascii="Arial" w:hAnsi="Arial" w:cs="Arial"/>
        <w:color w:val="333333"/>
        <w:sz w:val="21"/>
        <w:szCs w:val="21"/>
        <w:shd w:val="clear" w:color="auto" w:fill="FFFFFF"/>
      </w:rPr>
      <w:t xml:space="preserve">Mark </w:t>
    </w:r>
    <w:proofErr w:type="spellStart"/>
    <w:r>
      <w:rPr>
        <w:rFonts w:ascii="Arial" w:hAnsi="Arial" w:cs="Arial"/>
        <w:color w:val="333333"/>
        <w:sz w:val="21"/>
        <w:szCs w:val="21"/>
        <w:shd w:val="clear" w:color="auto" w:fill="FFFFFF"/>
      </w:rPr>
      <w:t>Svancarek</w:t>
    </w:r>
    <w:proofErr w:type="spellEnd"/>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5E"/>
    <w:rsid w:val="000C748A"/>
    <w:rsid w:val="00125CEC"/>
    <w:rsid w:val="001523EF"/>
    <w:rsid w:val="00166562"/>
    <w:rsid w:val="00207F0F"/>
    <w:rsid w:val="0023625C"/>
    <w:rsid w:val="00261A12"/>
    <w:rsid w:val="00354ADE"/>
    <w:rsid w:val="003603EC"/>
    <w:rsid w:val="003E575E"/>
    <w:rsid w:val="004F1090"/>
    <w:rsid w:val="00513E13"/>
    <w:rsid w:val="00524D9B"/>
    <w:rsid w:val="00531E8F"/>
    <w:rsid w:val="005551CD"/>
    <w:rsid w:val="00605B01"/>
    <w:rsid w:val="00626C32"/>
    <w:rsid w:val="006701AF"/>
    <w:rsid w:val="00760CF1"/>
    <w:rsid w:val="008F4E44"/>
    <w:rsid w:val="008F4FBB"/>
    <w:rsid w:val="00990854"/>
    <w:rsid w:val="009B1F35"/>
    <w:rsid w:val="00A11A63"/>
    <w:rsid w:val="00AD1DC9"/>
    <w:rsid w:val="00AD36E6"/>
    <w:rsid w:val="00BC5C2C"/>
    <w:rsid w:val="00BC7274"/>
    <w:rsid w:val="00CF6AA1"/>
    <w:rsid w:val="00DA2399"/>
    <w:rsid w:val="00EE5AA1"/>
    <w:rsid w:val="00F42CD3"/>
    <w:rsid w:val="00F50F12"/>
    <w:rsid w:val="00F520B9"/>
    <w:rsid w:val="00F720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5E"/>
    <w:pPr>
      <w:suppressAutoHyphens/>
      <w:spacing w:after="120"/>
    </w:pPr>
    <w:rPr>
      <w:rFonts w:ascii="Calibri" w:eastAsia="Times New Roman" w:hAnsi="Calibri" w:cs="Times New Roman"/>
      <w:sz w:val="2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5E"/>
    <w:rPr>
      <w:rFonts w:ascii="Calibri" w:eastAsia="Times New Roman" w:hAnsi="Calibri" w:cs="Times New Roman"/>
      <w:sz w:val="24"/>
      <w:szCs w:val="20"/>
      <w:lang w:val="en-GB" w:eastAsia="ar-SA"/>
    </w:rPr>
  </w:style>
  <w:style w:type="paragraph" w:styleId="Footer">
    <w:name w:val="footer"/>
    <w:basedOn w:val="Normal"/>
    <w:link w:val="FooterChar"/>
    <w:uiPriority w:val="99"/>
    <w:unhideWhenUsed/>
    <w:rsid w:val="003E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5E"/>
    <w:rPr>
      <w:rFonts w:ascii="Calibri" w:eastAsia="Times New Roman" w:hAnsi="Calibri" w:cs="Times New Roman"/>
      <w:sz w:val="24"/>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5E"/>
    <w:pPr>
      <w:suppressAutoHyphens/>
      <w:spacing w:after="120"/>
    </w:pPr>
    <w:rPr>
      <w:rFonts w:ascii="Calibri" w:eastAsia="Times New Roman" w:hAnsi="Calibri" w:cs="Times New Roman"/>
      <w:sz w:val="24"/>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75E"/>
    <w:rPr>
      <w:rFonts w:ascii="Calibri" w:eastAsia="Times New Roman" w:hAnsi="Calibri" w:cs="Times New Roman"/>
      <w:sz w:val="24"/>
      <w:szCs w:val="20"/>
      <w:lang w:val="en-GB" w:eastAsia="ar-SA"/>
    </w:rPr>
  </w:style>
  <w:style w:type="paragraph" w:styleId="Footer">
    <w:name w:val="footer"/>
    <w:basedOn w:val="Normal"/>
    <w:link w:val="FooterChar"/>
    <w:uiPriority w:val="99"/>
    <w:unhideWhenUsed/>
    <w:rsid w:val="003E5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75E"/>
    <w:rPr>
      <w:rFonts w:ascii="Calibri" w:eastAsia="Times New Roman" w:hAnsi="Calibri"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0149">
      <w:bodyDiv w:val="1"/>
      <w:marLeft w:val="0"/>
      <w:marRight w:val="0"/>
      <w:marTop w:val="0"/>
      <w:marBottom w:val="0"/>
      <w:divBdr>
        <w:top w:val="none" w:sz="0" w:space="0" w:color="auto"/>
        <w:left w:val="none" w:sz="0" w:space="0" w:color="auto"/>
        <w:bottom w:val="none" w:sz="0" w:space="0" w:color="auto"/>
        <w:right w:val="none" w:sz="0" w:space="0" w:color="auto"/>
      </w:divBdr>
      <w:divsChild>
        <w:div w:id="165363034">
          <w:marLeft w:val="0"/>
          <w:marRight w:val="0"/>
          <w:marTop w:val="0"/>
          <w:marBottom w:val="0"/>
          <w:divBdr>
            <w:top w:val="none" w:sz="0" w:space="0" w:color="auto"/>
            <w:left w:val="none" w:sz="0" w:space="0" w:color="auto"/>
            <w:bottom w:val="none" w:sz="0" w:space="0" w:color="auto"/>
            <w:right w:val="none" w:sz="0" w:space="0" w:color="auto"/>
          </w:divBdr>
          <w:divsChild>
            <w:div w:id="1513909444">
              <w:marLeft w:val="0"/>
              <w:marRight w:val="0"/>
              <w:marTop w:val="0"/>
              <w:marBottom w:val="0"/>
              <w:divBdr>
                <w:top w:val="none" w:sz="0" w:space="0" w:color="auto"/>
                <w:left w:val="none" w:sz="0" w:space="0" w:color="auto"/>
                <w:bottom w:val="none" w:sz="0" w:space="0" w:color="auto"/>
                <w:right w:val="none" w:sz="0" w:space="0" w:color="auto"/>
              </w:divBdr>
            </w:div>
            <w:div w:id="828788329">
              <w:marLeft w:val="0"/>
              <w:marRight w:val="0"/>
              <w:marTop w:val="0"/>
              <w:marBottom w:val="0"/>
              <w:divBdr>
                <w:top w:val="none" w:sz="0" w:space="0" w:color="auto"/>
                <w:left w:val="none" w:sz="0" w:space="0" w:color="auto"/>
                <w:bottom w:val="none" w:sz="0" w:space="0" w:color="auto"/>
                <w:right w:val="none" w:sz="0" w:space="0" w:color="auto"/>
              </w:divBdr>
            </w:div>
            <w:div w:id="810750081">
              <w:marLeft w:val="0"/>
              <w:marRight w:val="0"/>
              <w:marTop w:val="0"/>
              <w:marBottom w:val="0"/>
              <w:divBdr>
                <w:top w:val="none" w:sz="0" w:space="0" w:color="auto"/>
                <w:left w:val="none" w:sz="0" w:space="0" w:color="auto"/>
                <w:bottom w:val="none" w:sz="0" w:space="0" w:color="auto"/>
                <w:right w:val="none" w:sz="0" w:space="0" w:color="auto"/>
              </w:divBdr>
            </w:div>
            <w:div w:id="5943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5</cp:revision>
  <dcterms:created xsi:type="dcterms:W3CDTF">2016-08-01T06:04:00Z</dcterms:created>
  <dcterms:modified xsi:type="dcterms:W3CDTF">2016-08-01T13:32:00Z</dcterms:modified>
</cp:coreProperties>
</file>