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DD1D7" w14:textId="56665874" w:rsidR="00E1083F" w:rsidRDefault="00E1083F" w:rsidP="00E1083F">
      <w:pPr>
        <w:rPr>
          <w:rFonts w:ascii="Arial" w:hAnsi="Arial" w:cs="Arial"/>
          <w:b/>
          <w:sz w:val="20"/>
          <w:szCs w:val="24"/>
        </w:rPr>
      </w:pPr>
      <w:r>
        <w:rPr>
          <w:rFonts w:ascii="Arial" w:hAnsi="Arial" w:cs="Arial"/>
          <w:b/>
          <w:sz w:val="20"/>
          <w:szCs w:val="24"/>
        </w:rPr>
        <w:t xml:space="preserve">WHOIS Query for </w:t>
      </w:r>
      <w:r w:rsidRPr="00F5333A">
        <w:rPr>
          <w:rFonts w:ascii="Arial" w:hAnsi="Arial" w:cs="Arial"/>
          <w:b/>
          <w:sz w:val="20"/>
          <w:szCs w:val="24"/>
        </w:rPr>
        <w:t xml:space="preserve">Compliance </w:t>
      </w:r>
      <w:r>
        <w:rPr>
          <w:rFonts w:ascii="Arial" w:hAnsi="Arial" w:cs="Arial"/>
          <w:b/>
          <w:sz w:val="20"/>
          <w:szCs w:val="24"/>
        </w:rPr>
        <w:t>Purposes</w:t>
      </w:r>
      <w:bookmarkStart w:id="0" w:name="_GoBack"/>
      <w:bookmarkEnd w:id="0"/>
    </w:p>
    <w:p w14:paraId="2E7FA5C0" w14:textId="77777777" w:rsidR="003E575E" w:rsidRPr="00B22E76" w:rsidRDefault="003E575E" w:rsidP="003E575E">
      <w:pPr>
        <w:spacing w:line="240" w:lineRule="auto"/>
        <w:rPr>
          <w:rFonts w:ascii="Arial" w:hAnsi="Arial" w:cs="Arial"/>
          <w:sz w:val="20"/>
          <w:szCs w:val="24"/>
        </w:rPr>
      </w:pPr>
      <w:r w:rsidRPr="00B22E76">
        <w:rPr>
          <w:rFonts w:ascii="Arial" w:hAnsi="Arial" w:cs="Arial"/>
          <w:b/>
          <w:sz w:val="20"/>
          <w:szCs w:val="24"/>
        </w:rPr>
        <w:t>Goal/Scenario #1</w:t>
      </w:r>
    </w:p>
    <w:p w14:paraId="48142D5D" w14:textId="77777777" w:rsidR="00E1083F" w:rsidRDefault="00E1083F" w:rsidP="00E1083F">
      <w:pPr>
        <w:spacing w:line="240" w:lineRule="auto"/>
        <w:rPr>
          <w:rFonts w:ascii="Arial" w:hAnsi="Arial" w:cs="Arial"/>
          <w:sz w:val="20"/>
          <w:szCs w:val="24"/>
        </w:rPr>
      </w:pPr>
      <w:r w:rsidRPr="00E1083F">
        <w:rPr>
          <w:rFonts w:ascii="Arial" w:hAnsi="Arial" w:cs="Arial"/>
          <w:b/>
          <w:sz w:val="20"/>
          <w:szCs w:val="24"/>
        </w:rPr>
        <w:t>Background</w:t>
      </w:r>
      <w:r>
        <w:rPr>
          <w:rFonts w:ascii="Arial" w:hAnsi="Arial" w:cs="Arial"/>
          <w:sz w:val="20"/>
          <w:szCs w:val="24"/>
        </w:rPr>
        <w:t xml:space="preserve">: When a merchant applies for a credit card merchant account (that is, in order to be paid by customers via Visa, MasterCard or other popular methods), they must submit an application to a payment provider. “Payment provider” includes banks such as </w:t>
      </w:r>
      <w:proofErr w:type="spellStart"/>
      <w:r>
        <w:rPr>
          <w:rFonts w:ascii="Arial" w:hAnsi="Arial" w:cs="Arial"/>
          <w:sz w:val="20"/>
          <w:szCs w:val="24"/>
        </w:rPr>
        <w:t>WellsFargo</w:t>
      </w:r>
      <w:proofErr w:type="spellEnd"/>
      <w:r>
        <w:rPr>
          <w:rFonts w:ascii="Arial" w:hAnsi="Arial" w:cs="Arial"/>
          <w:sz w:val="20"/>
          <w:szCs w:val="24"/>
        </w:rPr>
        <w:t xml:space="preserve"> or Chase that are directly contracted with the credit card companies, and also includes downstream companies such as </w:t>
      </w:r>
      <w:proofErr w:type="spellStart"/>
      <w:r>
        <w:rPr>
          <w:rFonts w:ascii="Arial" w:hAnsi="Arial" w:cs="Arial"/>
          <w:sz w:val="20"/>
          <w:szCs w:val="24"/>
        </w:rPr>
        <w:t>Vantiv</w:t>
      </w:r>
      <w:proofErr w:type="spellEnd"/>
      <w:r>
        <w:rPr>
          <w:rFonts w:ascii="Arial" w:hAnsi="Arial" w:cs="Arial"/>
          <w:sz w:val="20"/>
          <w:szCs w:val="24"/>
        </w:rPr>
        <w:t xml:space="preserve"> or </w:t>
      </w:r>
      <w:proofErr w:type="spellStart"/>
      <w:r>
        <w:rPr>
          <w:rFonts w:ascii="Arial" w:hAnsi="Arial" w:cs="Arial"/>
          <w:sz w:val="20"/>
          <w:szCs w:val="24"/>
        </w:rPr>
        <w:t>Elavon</w:t>
      </w:r>
      <w:proofErr w:type="spellEnd"/>
      <w:r>
        <w:rPr>
          <w:rFonts w:ascii="Arial" w:hAnsi="Arial" w:cs="Arial"/>
          <w:sz w:val="20"/>
          <w:szCs w:val="24"/>
        </w:rPr>
        <w:t xml:space="preserve"> that are not banks but provide merchant accounts to merchants.</w:t>
      </w:r>
    </w:p>
    <w:p w14:paraId="491D2971" w14:textId="77777777" w:rsidR="00E1083F" w:rsidRDefault="00E1083F" w:rsidP="00E1083F">
      <w:pPr>
        <w:spacing w:line="240" w:lineRule="auto"/>
        <w:rPr>
          <w:rFonts w:ascii="Arial" w:hAnsi="Arial" w:cs="Arial"/>
          <w:sz w:val="20"/>
          <w:szCs w:val="24"/>
        </w:rPr>
      </w:pPr>
      <w:r>
        <w:rPr>
          <w:rFonts w:ascii="Arial" w:hAnsi="Arial" w:cs="Arial"/>
          <w:sz w:val="20"/>
          <w:szCs w:val="24"/>
        </w:rPr>
        <w:t xml:space="preserve">Before a payment provider can provide a merchant account to a merchant, they must verify that the merchant is not engaged in transaction laundering. Transaction laundering refers to a situation where an illicit merchant engaged in various types of illegal activity, such as illegal pharmaceutical sales, illegal gambling, child pornography, or other types of illegal or fraudulent activities, sets up a seemingly legal business selling shoes, books or some other innocuous product or service in order to obtain a merchant account under false </w:t>
      </w:r>
      <w:proofErr w:type="spellStart"/>
      <w:r>
        <w:rPr>
          <w:rFonts w:ascii="Arial" w:hAnsi="Arial" w:cs="Arial"/>
          <w:sz w:val="20"/>
          <w:szCs w:val="24"/>
        </w:rPr>
        <w:t>pretenses</w:t>
      </w:r>
      <w:proofErr w:type="spellEnd"/>
      <w:r>
        <w:rPr>
          <w:rFonts w:ascii="Arial" w:hAnsi="Arial" w:cs="Arial"/>
          <w:sz w:val="20"/>
          <w:szCs w:val="24"/>
        </w:rPr>
        <w:t xml:space="preserve">. (If you’ve ever wondered, transaction laundering is what enables online criminals to obtain Visa, MasterCard and other credit card accounts.) The merchant account is granted to the merchant on the basis of the seemingly legitimate business, but then the illegal transactions are processed through the merchant account. (A real-life example of this is below.) </w:t>
      </w:r>
    </w:p>
    <w:p w14:paraId="7ECBBA06" w14:textId="77777777" w:rsidR="00E1083F" w:rsidRDefault="00E1083F" w:rsidP="00E1083F">
      <w:pPr>
        <w:spacing w:line="240" w:lineRule="auto"/>
        <w:rPr>
          <w:rFonts w:ascii="Arial" w:hAnsi="Arial" w:cs="Arial"/>
          <w:sz w:val="20"/>
          <w:szCs w:val="24"/>
        </w:rPr>
      </w:pPr>
      <w:r>
        <w:rPr>
          <w:rFonts w:ascii="Arial" w:hAnsi="Arial" w:cs="Arial"/>
          <w:sz w:val="20"/>
          <w:szCs w:val="24"/>
        </w:rPr>
        <w:t xml:space="preserve">Payment providers must investigate (“underwrite”) the merchant that applied for a merchant account before granting a merchant account, and afterwards perform </w:t>
      </w:r>
      <w:proofErr w:type="spellStart"/>
      <w:r>
        <w:rPr>
          <w:rFonts w:ascii="Arial" w:hAnsi="Arial" w:cs="Arial"/>
          <w:sz w:val="20"/>
          <w:szCs w:val="24"/>
        </w:rPr>
        <w:t>ongoing</w:t>
      </w:r>
      <w:proofErr w:type="spellEnd"/>
      <w:r>
        <w:rPr>
          <w:rFonts w:ascii="Arial" w:hAnsi="Arial" w:cs="Arial"/>
          <w:sz w:val="20"/>
          <w:szCs w:val="24"/>
        </w:rPr>
        <w:t xml:space="preserve"> persistent monitoring of all merchants, usually through a third-party contractor. At present, there are seven companies, including LegitScript, certified by MasterCard as “Merchant Monitoring Solution Providers.” (Visa does not have a comparable program, but informally recognizes the same entities.) If a payment provider is found to have granted a merchant account to a merchant engaged in transaction laundering, the credit card networks can (and do) levy hundreds in thousands of dollars per transaction. Moreover, payment providers may be held civilly or criminally accountable by regulatory agencies (i.e., in the US, the FTC or others).</w:t>
      </w:r>
    </w:p>
    <w:p w14:paraId="0F6206B4" w14:textId="68AC808C" w:rsidR="00E1083F" w:rsidRDefault="00E1083F" w:rsidP="00E1083F">
      <w:pPr>
        <w:spacing w:line="240" w:lineRule="auto"/>
        <w:rPr>
          <w:rFonts w:ascii="Arial" w:hAnsi="Arial" w:cs="Arial"/>
          <w:sz w:val="20"/>
          <w:szCs w:val="24"/>
        </w:rPr>
      </w:pPr>
      <w:r w:rsidRPr="00E1083F">
        <w:rPr>
          <w:rFonts w:ascii="Arial" w:hAnsi="Arial" w:cs="Arial"/>
          <w:b/>
          <w:sz w:val="20"/>
          <w:szCs w:val="24"/>
        </w:rPr>
        <w:t>Goal</w:t>
      </w:r>
      <w:r>
        <w:rPr>
          <w:rFonts w:ascii="Arial" w:hAnsi="Arial" w:cs="Arial"/>
          <w:sz w:val="20"/>
          <w:szCs w:val="24"/>
        </w:rPr>
        <w:t>: Conduct due diligence on a merchant, and persistently monitor a merchant, to determine whether it is engaged in transaction laundering by identifying the other domain names under the merchant’s control.</w:t>
      </w:r>
    </w:p>
    <w:p w14:paraId="3EA7D7F2" w14:textId="77777777" w:rsidR="00E1083F" w:rsidRDefault="00E1083F" w:rsidP="003E575E">
      <w:pPr>
        <w:spacing w:line="240" w:lineRule="auto"/>
        <w:rPr>
          <w:rFonts w:ascii="Arial" w:hAnsi="Arial" w:cs="Arial"/>
          <w:sz w:val="20"/>
          <w:szCs w:val="24"/>
        </w:rPr>
      </w:pPr>
    </w:p>
    <w:p w14:paraId="5E940C52" w14:textId="77777777" w:rsidR="003E575E" w:rsidRDefault="003E575E" w:rsidP="003E575E">
      <w:pPr>
        <w:spacing w:line="240" w:lineRule="auto"/>
        <w:rPr>
          <w:rFonts w:ascii="Arial" w:hAnsi="Arial" w:cs="Arial"/>
          <w:b/>
          <w:sz w:val="20"/>
          <w:szCs w:val="24"/>
          <w:u w:val="single"/>
        </w:rPr>
      </w:pPr>
      <w:r w:rsidRPr="00B22E76">
        <w:rPr>
          <w:rFonts w:ascii="Arial" w:hAnsi="Arial" w:cs="Arial"/>
          <w:b/>
          <w:sz w:val="20"/>
          <w:szCs w:val="24"/>
          <w:u w:val="single"/>
        </w:rPr>
        <w:t>Brief Format Use Case</w:t>
      </w:r>
    </w:p>
    <w:p w14:paraId="5FBAC1C3" w14:textId="77777777" w:rsidR="00E1083F" w:rsidRPr="00B22E76" w:rsidRDefault="00E1083F" w:rsidP="003E575E">
      <w:pPr>
        <w:spacing w:line="240" w:lineRule="auto"/>
        <w:rPr>
          <w:rFonts w:ascii="Arial" w:hAnsi="Arial" w:cs="Arial"/>
          <w:b/>
          <w:sz w:val="20"/>
          <w:szCs w:val="24"/>
          <w:u w:val="single"/>
        </w:rPr>
      </w:pPr>
    </w:p>
    <w:p w14:paraId="33E7FA43" w14:textId="01E8EC38" w:rsidR="003E575E" w:rsidRPr="00B22E76" w:rsidRDefault="003E575E" w:rsidP="003E575E">
      <w:pPr>
        <w:spacing w:line="240" w:lineRule="auto"/>
        <w:rPr>
          <w:rFonts w:ascii="Arial" w:hAnsi="Arial" w:cs="Arial"/>
          <w:sz w:val="20"/>
          <w:szCs w:val="24"/>
        </w:rPr>
      </w:pPr>
      <w:r w:rsidRPr="00B22E76">
        <w:rPr>
          <w:rFonts w:ascii="Arial" w:hAnsi="Arial" w:cs="Arial"/>
          <w:b/>
          <w:sz w:val="20"/>
          <w:szCs w:val="24"/>
        </w:rPr>
        <w:t>Use Case:</w:t>
      </w:r>
      <w:r w:rsidRPr="00B22E76">
        <w:rPr>
          <w:rFonts w:ascii="Arial" w:hAnsi="Arial" w:cs="Arial"/>
          <w:sz w:val="20"/>
          <w:szCs w:val="24"/>
        </w:rPr>
        <w:t xml:space="preserve"> </w:t>
      </w:r>
      <w:r w:rsidR="00E1083F">
        <w:rPr>
          <w:rFonts w:ascii="Arial" w:hAnsi="Arial" w:cs="Arial"/>
          <w:b/>
          <w:sz w:val="20"/>
          <w:szCs w:val="24"/>
        </w:rPr>
        <w:t>Queries for Compliance Purposes</w:t>
      </w:r>
      <w:r w:rsidR="00E1083F">
        <w:rPr>
          <w:rFonts w:ascii="Arial" w:hAnsi="Arial" w:cs="Arial"/>
          <w:sz w:val="20"/>
          <w:szCs w:val="24"/>
        </w:rPr>
        <w:t xml:space="preserve"> </w:t>
      </w:r>
    </w:p>
    <w:p w14:paraId="60EC6BA9" w14:textId="47DB7837" w:rsidR="003E575E" w:rsidRPr="00B22E76" w:rsidRDefault="003E575E" w:rsidP="00E1083F">
      <w:pPr>
        <w:spacing w:line="240" w:lineRule="auto"/>
        <w:rPr>
          <w:rFonts w:ascii="Arial" w:hAnsi="Arial" w:cs="Arial"/>
          <w:sz w:val="20"/>
          <w:szCs w:val="24"/>
        </w:rPr>
      </w:pPr>
      <w:r w:rsidRPr="00B22E76">
        <w:rPr>
          <w:rFonts w:ascii="Arial" w:hAnsi="Arial" w:cs="Arial"/>
          <w:b/>
          <w:sz w:val="20"/>
          <w:szCs w:val="24"/>
        </w:rPr>
        <w:t>Main Use Case:</w:t>
      </w:r>
      <w:r w:rsidRPr="00B22E76">
        <w:rPr>
          <w:rFonts w:ascii="Arial" w:hAnsi="Arial" w:cs="Arial"/>
          <w:sz w:val="20"/>
          <w:szCs w:val="24"/>
        </w:rPr>
        <w:t xml:space="preserve"> </w:t>
      </w:r>
      <w:r w:rsidR="00E1083F">
        <w:rPr>
          <w:rFonts w:ascii="Arial" w:hAnsi="Arial" w:cs="Arial"/>
          <w:sz w:val="20"/>
          <w:szCs w:val="24"/>
        </w:rPr>
        <w:t xml:space="preserve">Investigative analysis of the merchant website </w:t>
      </w:r>
      <w:r w:rsidR="00E1083F">
        <w:rPr>
          <w:rFonts w:ascii="Arial" w:hAnsi="Arial" w:cs="Arial"/>
          <w:sz w:val="20"/>
          <w:szCs w:val="24"/>
          <w:u w:val="single"/>
        </w:rPr>
        <w:t>amishteacups.</w:t>
      </w:r>
      <w:r w:rsidR="00E1083F" w:rsidRPr="005A5EF6">
        <w:rPr>
          <w:rFonts w:ascii="Arial" w:hAnsi="Arial" w:cs="Arial"/>
          <w:sz w:val="20"/>
          <w:szCs w:val="24"/>
          <w:u w:val="single"/>
        </w:rPr>
        <w:t>com</w:t>
      </w:r>
      <w:r w:rsidR="00E1083F" w:rsidRPr="002B7511">
        <w:rPr>
          <w:rFonts w:ascii="Arial" w:hAnsi="Arial" w:cs="Arial"/>
          <w:sz w:val="20"/>
          <w:szCs w:val="24"/>
        </w:rPr>
        <w:t xml:space="preserve">, </w:t>
      </w:r>
      <w:r w:rsidR="00E1083F">
        <w:rPr>
          <w:rFonts w:ascii="Arial" w:hAnsi="Arial" w:cs="Arial"/>
          <w:sz w:val="20"/>
          <w:szCs w:val="24"/>
        </w:rPr>
        <w:t xml:space="preserve">a website for a business submitted to a payment provider in order to obtain a merchant account. In order to evaluate whether the merchant may be engaged in transaction laundering, </w:t>
      </w:r>
      <w:proofErr w:type="spellStart"/>
      <w:r w:rsidR="00E1083F">
        <w:rPr>
          <w:rFonts w:ascii="Arial" w:hAnsi="Arial" w:cs="Arial"/>
          <w:sz w:val="20"/>
          <w:szCs w:val="24"/>
        </w:rPr>
        <w:t>Whois</w:t>
      </w:r>
      <w:proofErr w:type="spellEnd"/>
      <w:r w:rsidR="00E1083F">
        <w:rPr>
          <w:rFonts w:ascii="Arial" w:hAnsi="Arial" w:cs="Arial"/>
          <w:sz w:val="20"/>
          <w:szCs w:val="24"/>
        </w:rPr>
        <w:t xml:space="preserve"> data from all domain names in all zone files were analysed. In these cases, full and complete access to all </w:t>
      </w:r>
      <w:proofErr w:type="spellStart"/>
      <w:r w:rsidR="00E1083F">
        <w:rPr>
          <w:rFonts w:ascii="Arial" w:hAnsi="Arial" w:cs="Arial"/>
          <w:sz w:val="20"/>
          <w:szCs w:val="24"/>
        </w:rPr>
        <w:t>Whois</w:t>
      </w:r>
      <w:proofErr w:type="spellEnd"/>
      <w:r w:rsidR="00E1083F">
        <w:rPr>
          <w:rFonts w:ascii="Arial" w:hAnsi="Arial" w:cs="Arial"/>
          <w:sz w:val="20"/>
          <w:szCs w:val="24"/>
        </w:rPr>
        <w:t xml:space="preserve"> data elements currently available for all domain names on the Internet are necessary to adequately evaluate the likelihood of transaction laundering (i.e., in order to “reverse query” </w:t>
      </w:r>
      <w:proofErr w:type="spellStart"/>
      <w:r w:rsidR="00E1083F">
        <w:rPr>
          <w:rFonts w:ascii="Arial" w:hAnsi="Arial" w:cs="Arial"/>
          <w:sz w:val="20"/>
          <w:szCs w:val="24"/>
        </w:rPr>
        <w:t>Whois</w:t>
      </w:r>
      <w:proofErr w:type="spellEnd"/>
      <w:r w:rsidR="00E1083F">
        <w:rPr>
          <w:rFonts w:ascii="Arial" w:hAnsi="Arial" w:cs="Arial"/>
          <w:sz w:val="20"/>
          <w:szCs w:val="24"/>
        </w:rPr>
        <w:t xml:space="preserve"> data). </w:t>
      </w:r>
    </w:p>
    <w:p w14:paraId="68EB18AB" w14:textId="77777777" w:rsidR="003E575E" w:rsidRPr="00B22E76" w:rsidRDefault="003E575E" w:rsidP="003E575E">
      <w:pPr>
        <w:spacing w:line="240" w:lineRule="auto"/>
        <w:rPr>
          <w:rFonts w:ascii="Arial" w:hAnsi="Arial" w:cs="Arial"/>
          <w:b/>
          <w:sz w:val="20"/>
          <w:szCs w:val="24"/>
          <w:u w:val="single"/>
        </w:rPr>
      </w:pPr>
      <w:r w:rsidRPr="00B22E76">
        <w:rPr>
          <w:rFonts w:ascii="Arial" w:hAnsi="Arial" w:cs="Arial"/>
          <w:b/>
          <w:sz w:val="20"/>
          <w:szCs w:val="24"/>
          <w:u w:val="single"/>
        </w:rPr>
        <w:t>Casual Format Use Case</w:t>
      </w:r>
    </w:p>
    <w:p w14:paraId="1E1E5601" w14:textId="652C96AA" w:rsidR="003E575E" w:rsidRPr="00B22E76" w:rsidRDefault="003E575E" w:rsidP="003E575E">
      <w:pPr>
        <w:spacing w:line="240" w:lineRule="auto"/>
        <w:rPr>
          <w:rFonts w:ascii="Arial" w:hAnsi="Arial" w:cs="Arial"/>
          <w:sz w:val="20"/>
          <w:szCs w:val="24"/>
        </w:rPr>
      </w:pPr>
      <w:r w:rsidRPr="00B22E76">
        <w:rPr>
          <w:rFonts w:ascii="Arial" w:hAnsi="Arial" w:cs="Arial"/>
          <w:b/>
          <w:sz w:val="20"/>
          <w:szCs w:val="24"/>
        </w:rPr>
        <w:t>Title:</w:t>
      </w:r>
      <w:r w:rsidRPr="00B22E76">
        <w:rPr>
          <w:rFonts w:ascii="Arial" w:hAnsi="Arial" w:cs="Arial"/>
          <w:sz w:val="20"/>
          <w:szCs w:val="24"/>
        </w:rPr>
        <w:t xml:space="preserve"> </w:t>
      </w:r>
      <w:r w:rsidR="00E1083F">
        <w:rPr>
          <w:rFonts w:ascii="Arial" w:hAnsi="Arial" w:cs="Arial"/>
          <w:sz w:val="20"/>
          <w:szCs w:val="24"/>
          <w:u w:val="single"/>
        </w:rPr>
        <w:t>amishteacups.com, buypuppiesonline.com</w:t>
      </w:r>
    </w:p>
    <w:p w14:paraId="0CD61DD6" w14:textId="6E3E3F73" w:rsidR="00AD1DC9" w:rsidRDefault="003E575E" w:rsidP="003E575E">
      <w:pPr>
        <w:spacing w:line="240" w:lineRule="auto"/>
        <w:rPr>
          <w:rFonts w:ascii="Arial" w:hAnsi="Arial" w:cs="Arial"/>
          <w:sz w:val="20"/>
          <w:szCs w:val="24"/>
        </w:rPr>
      </w:pPr>
      <w:r w:rsidRPr="00B22E76">
        <w:rPr>
          <w:rFonts w:ascii="Arial" w:hAnsi="Arial" w:cs="Arial"/>
          <w:b/>
          <w:sz w:val="20"/>
          <w:szCs w:val="24"/>
        </w:rPr>
        <w:t>Primary Actor:</w:t>
      </w:r>
      <w:r w:rsidRPr="00B22E76">
        <w:rPr>
          <w:rFonts w:ascii="Arial" w:hAnsi="Arial" w:cs="Arial"/>
          <w:sz w:val="20"/>
          <w:szCs w:val="24"/>
        </w:rPr>
        <w:t xml:space="preserve"> </w:t>
      </w:r>
      <w:r w:rsidR="00E1083F">
        <w:rPr>
          <w:rFonts w:ascii="Arial" w:hAnsi="Arial" w:cs="Arial"/>
          <w:sz w:val="20"/>
          <w:szCs w:val="24"/>
        </w:rPr>
        <w:t>LegitScript</w:t>
      </w:r>
    </w:p>
    <w:p w14:paraId="02E0470E" w14:textId="77777777" w:rsidR="00E1083F" w:rsidRDefault="003E575E" w:rsidP="00E1083F">
      <w:pPr>
        <w:spacing w:line="240" w:lineRule="auto"/>
        <w:rPr>
          <w:rFonts w:ascii="Arial" w:hAnsi="Arial" w:cs="Arial"/>
          <w:sz w:val="20"/>
          <w:szCs w:val="24"/>
        </w:rPr>
      </w:pPr>
      <w:r w:rsidRPr="00B22E76">
        <w:rPr>
          <w:rFonts w:ascii="Arial" w:hAnsi="Arial" w:cs="Arial"/>
          <w:b/>
          <w:sz w:val="20"/>
          <w:szCs w:val="24"/>
        </w:rPr>
        <w:t>Other stakeholders:</w:t>
      </w:r>
      <w:r w:rsidRPr="00B22E76">
        <w:rPr>
          <w:rFonts w:ascii="Arial" w:hAnsi="Arial" w:cs="Arial"/>
          <w:sz w:val="20"/>
          <w:szCs w:val="24"/>
        </w:rPr>
        <w:t xml:space="preserve"> </w:t>
      </w:r>
      <w:r w:rsidR="00E1083F">
        <w:rPr>
          <w:rFonts w:ascii="Arial" w:hAnsi="Arial" w:cs="Arial"/>
          <w:sz w:val="20"/>
          <w:szCs w:val="24"/>
        </w:rPr>
        <w:t>Credit Card Networks (Visa, MasterCard, etc.); Banks; Payment Providers.</w:t>
      </w:r>
    </w:p>
    <w:p w14:paraId="5F5893BE" w14:textId="55D0B2CA" w:rsidR="000C748A" w:rsidRDefault="003E575E" w:rsidP="00E1083F">
      <w:pPr>
        <w:spacing w:line="240" w:lineRule="auto"/>
        <w:rPr>
          <w:rFonts w:ascii="Arial" w:hAnsi="Arial" w:cs="Arial"/>
          <w:sz w:val="20"/>
          <w:szCs w:val="24"/>
        </w:rPr>
      </w:pPr>
      <w:r w:rsidRPr="00B22E76">
        <w:rPr>
          <w:rFonts w:ascii="Arial" w:hAnsi="Arial" w:cs="Arial"/>
          <w:b/>
          <w:sz w:val="20"/>
          <w:szCs w:val="24"/>
        </w:rPr>
        <w:t>Scope:</w:t>
      </w:r>
      <w:r w:rsidRPr="00B22E76">
        <w:rPr>
          <w:rFonts w:ascii="Arial" w:hAnsi="Arial" w:cs="Arial"/>
          <w:sz w:val="20"/>
          <w:szCs w:val="24"/>
        </w:rPr>
        <w:t xml:space="preserve"> </w:t>
      </w:r>
      <w:r w:rsidR="00E1083F">
        <w:rPr>
          <w:rFonts w:ascii="Arial" w:hAnsi="Arial" w:cs="Arial"/>
          <w:sz w:val="20"/>
          <w:szCs w:val="24"/>
        </w:rPr>
        <w:t>Initial steps utilized to confirm complianc</w:t>
      </w:r>
      <w:r w:rsidR="00E1083F">
        <w:rPr>
          <w:rFonts w:ascii="Arial" w:hAnsi="Arial" w:cs="Arial"/>
          <w:sz w:val="20"/>
          <w:szCs w:val="24"/>
        </w:rPr>
        <w:t>e of merchant account applicant</w:t>
      </w:r>
      <w:r w:rsidR="000C748A">
        <w:rPr>
          <w:rFonts w:ascii="Arial" w:hAnsi="Arial" w:cs="Arial"/>
          <w:sz w:val="20"/>
          <w:szCs w:val="24"/>
        </w:rPr>
        <w:t>.</w:t>
      </w:r>
    </w:p>
    <w:p w14:paraId="0D49189A" w14:textId="303270E7" w:rsidR="003E575E" w:rsidRPr="00B22E76" w:rsidRDefault="003E575E" w:rsidP="003E575E">
      <w:pPr>
        <w:spacing w:line="240" w:lineRule="auto"/>
        <w:rPr>
          <w:rFonts w:ascii="Arial" w:hAnsi="Arial" w:cs="Arial"/>
          <w:sz w:val="20"/>
          <w:szCs w:val="24"/>
        </w:rPr>
      </w:pPr>
      <w:r w:rsidRPr="00B22E76">
        <w:rPr>
          <w:rFonts w:ascii="Arial" w:hAnsi="Arial" w:cs="Arial"/>
          <w:b/>
          <w:sz w:val="20"/>
          <w:szCs w:val="24"/>
        </w:rPr>
        <w:t>Level:</w:t>
      </w:r>
      <w:r w:rsidRPr="00B22E76">
        <w:rPr>
          <w:rFonts w:ascii="Arial" w:hAnsi="Arial" w:cs="Arial"/>
          <w:sz w:val="20"/>
          <w:szCs w:val="24"/>
        </w:rPr>
        <w:t xml:space="preserve"> </w:t>
      </w:r>
      <w:r w:rsidR="00E1083F">
        <w:rPr>
          <w:rFonts w:ascii="Arial" w:hAnsi="Arial" w:cs="Arial"/>
          <w:sz w:val="20"/>
          <w:szCs w:val="24"/>
        </w:rPr>
        <w:t>The user collects WHOIS information for the merchant account applicant, and performs reverse WHOIS queries to identify associated websites, individuals and organizations.</w:t>
      </w:r>
    </w:p>
    <w:p w14:paraId="5448349C" w14:textId="77777777" w:rsidR="00E1083F" w:rsidRDefault="003E575E" w:rsidP="00E1083F">
      <w:pPr>
        <w:spacing w:line="240" w:lineRule="auto"/>
        <w:rPr>
          <w:rFonts w:ascii="Arial" w:hAnsi="Arial" w:cs="Arial"/>
          <w:sz w:val="20"/>
          <w:szCs w:val="24"/>
        </w:rPr>
      </w:pPr>
      <w:r w:rsidRPr="00B22E76">
        <w:rPr>
          <w:rFonts w:ascii="Arial" w:hAnsi="Arial" w:cs="Arial"/>
          <w:b/>
          <w:sz w:val="20"/>
          <w:szCs w:val="24"/>
        </w:rPr>
        <w:t>Data Elements:</w:t>
      </w:r>
      <w:r w:rsidR="00E1083F">
        <w:rPr>
          <w:rFonts w:ascii="Arial" w:hAnsi="Arial" w:cs="Arial"/>
          <w:sz w:val="20"/>
          <w:szCs w:val="24"/>
        </w:rPr>
        <w:t xml:space="preserve"> The initial step is to collect data from the WHOIS record of the domain name. The data collected includes the following: </w:t>
      </w:r>
    </w:p>
    <w:p w14:paraId="7117371F" w14:textId="77777777" w:rsidR="00E1083F" w:rsidRDefault="00E1083F" w:rsidP="00E1083F">
      <w:pPr>
        <w:spacing w:line="240" w:lineRule="auto"/>
        <w:rPr>
          <w:rFonts w:ascii="Arial" w:hAnsi="Arial" w:cs="Arial"/>
          <w:sz w:val="20"/>
          <w:szCs w:val="24"/>
        </w:rPr>
      </w:pPr>
    </w:p>
    <w:p w14:paraId="22AA9EBE" w14:textId="77777777" w:rsidR="00E1083F" w:rsidRDefault="00E1083F" w:rsidP="00E1083F">
      <w:pPr>
        <w:spacing w:line="240" w:lineRule="auto"/>
        <w:rPr>
          <w:rFonts w:ascii="Arial" w:hAnsi="Arial" w:cs="Arial"/>
          <w:sz w:val="20"/>
          <w:szCs w:val="24"/>
        </w:rPr>
      </w:pPr>
      <w:r>
        <w:rPr>
          <w:rFonts w:ascii="Arial" w:hAnsi="Arial" w:cs="Arial"/>
          <w:sz w:val="20"/>
          <w:szCs w:val="24"/>
        </w:rPr>
        <w:lastRenderedPageBreak/>
        <w:t>IP Address</w:t>
      </w:r>
    </w:p>
    <w:p w14:paraId="0698A9E1" w14:textId="77777777" w:rsidR="00E1083F" w:rsidRDefault="00E1083F" w:rsidP="00E1083F">
      <w:pPr>
        <w:spacing w:line="240" w:lineRule="auto"/>
        <w:rPr>
          <w:rFonts w:ascii="Arial" w:hAnsi="Arial" w:cs="Arial"/>
          <w:sz w:val="20"/>
          <w:szCs w:val="24"/>
        </w:rPr>
      </w:pPr>
      <w:r>
        <w:rPr>
          <w:rFonts w:ascii="Arial" w:hAnsi="Arial" w:cs="Arial"/>
          <w:sz w:val="20"/>
          <w:szCs w:val="24"/>
        </w:rPr>
        <w:t>Registrar</w:t>
      </w:r>
    </w:p>
    <w:p w14:paraId="29B9E1D3" w14:textId="77777777" w:rsidR="00E1083F" w:rsidRDefault="00E1083F" w:rsidP="00E1083F">
      <w:pPr>
        <w:spacing w:line="240" w:lineRule="auto"/>
        <w:rPr>
          <w:rFonts w:ascii="Arial" w:hAnsi="Arial" w:cs="Arial"/>
          <w:sz w:val="20"/>
          <w:szCs w:val="24"/>
        </w:rPr>
      </w:pPr>
      <w:r>
        <w:rPr>
          <w:rFonts w:ascii="Arial" w:hAnsi="Arial" w:cs="Arial"/>
          <w:sz w:val="20"/>
          <w:szCs w:val="24"/>
        </w:rPr>
        <w:t>Domain Creation Date</w:t>
      </w:r>
    </w:p>
    <w:p w14:paraId="5B192142" w14:textId="77777777" w:rsidR="00E1083F" w:rsidRDefault="00E1083F" w:rsidP="00E1083F">
      <w:pPr>
        <w:spacing w:line="240" w:lineRule="auto"/>
        <w:rPr>
          <w:rFonts w:ascii="Arial" w:hAnsi="Arial" w:cs="Arial"/>
          <w:sz w:val="20"/>
          <w:szCs w:val="24"/>
        </w:rPr>
      </w:pPr>
      <w:r>
        <w:rPr>
          <w:rFonts w:ascii="Arial" w:hAnsi="Arial" w:cs="Arial"/>
          <w:sz w:val="20"/>
          <w:szCs w:val="24"/>
        </w:rPr>
        <w:t>Name Server(s)</w:t>
      </w:r>
    </w:p>
    <w:p w14:paraId="6E1DD75C" w14:textId="77777777" w:rsidR="00E1083F" w:rsidRDefault="00E1083F" w:rsidP="00E1083F">
      <w:pPr>
        <w:spacing w:line="240" w:lineRule="auto"/>
        <w:rPr>
          <w:rFonts w:ascii="Arial" w:hAnsi="Arial" w:cs="Arial"/>
          <w:sz w:val="20"/>
          <w:szCs w:val="24"/>
        </w:rPr>
      </w:pPr>
      <w:r>
        <w:rPr>
          <w:rFonts w:ascii="Arial" w:hAnsi="Arial" w:cs="Arial"/>
          <w:sz w:val="20"/>
          <w:szCs w:val="24"/>
        </w:rPr>
        <w:t>Registrant, Administrative, Technical, and Billing Data: Name (Individual), Organization Name, Address, Telephone Number, Fax Number, and Email Address</w:t>
      </w:r>
    </w:p>
    <w:p w14:paraId="09DBE454" w14:textId="77777777" w:rsidR="00E1083F" w:rsidRDefault="00E1083F" w:rsidP="00E1083F">
      <w:pPr>
        <w:spacing w:line="240" w:lineRule="auto"/>
        <w:rPr>
          <w:rFonts w:ascii="Arial" w:hAnsi="Arial" w:cs="Arial"/>
          <w:sz w:val="20"/>
          <w:szCs w:val="24"/>
        </w:rPr>
      </w:pPr>
      <w:r>
        <w:rPr>
          <w:rFonts w:ascii="Arial" w:hAnsi="Arial" w:cs="Arial"/>
          <w:sz w:val="20"/>
          <w:szCs w:val="24"/>
        </w:rPr>
        <w:t>Mail servers</w:t>
      </w:r>
    </w:p>
    <w:p w14:paraId="53D32063" w14:textId="77777777" w:rsidR="00E1083F" w:rsidRDefault="00E1083F" w:rsidP="00E1083F">
      <w:pPr>
        <w:spacing w:line="240" w:lineRule="auto"/>
        <w:rPr>
          <w:rFonts w:ascii="Arial" w:hAnsi="Arial" w:cs="Arial"/>
          <w:sz w:val="20"/>
          <w:szCs w:val="24"/>
        </w:rPr>
      </w:pPr>
      <w:r>
        <w:rPr>
          <w:rFonts w:ascii="Arial" w:hAnsi="Arial" w:cs="Arial"/>
          <w:sz w:val="20"/>
          <w:szCs w:val="24"/>
        </w:rPr>
        <w:t>SOA record</w:t>
      </w:r>
    </w:p>
    <w:p w14:paraId="658E66CE" w14:textId="77777777" w:rsidR="00E1083F" w:rsidRDefault="003E575E" w:rsidP="003E575E">
      <w:pPr>
        <w:spacing w:line="240" w:lineRule="auto"/>
        <w:rPr>
          <w:rFonts w:ascii="Arial" w:hAnsi="Arial" w:cs="Arial"/>
          <w:sz w:val="20"/>
          <w:szCs w:val="24"/>
        </w:rPr>
      </w:pPr>
      <w:r w:rsidRPr="00B22E76">
        <w:rPr>
          <w:rFonts w:ascii="Arial" w:hAnsi="Arial" w:cs="Arial"/>
          <w:b/>
          <w:sz w:val="20"/>
          <w:szCs w:val="24"/>
        </w:rPr>
        <w:t>Story:</w:t>
      </w:r>
      <w:r w:rsidRPr="00B22E76">
        <w:rPr>
          <w:rFonts w:ascii="Arial" w:hAnsi="Arial" w:cs="Arial"/>
          <w:sz w:val="20"/>
          <w:szCs w:val="24"/>
        </w:rPr>
        <w:t xml:space="preserve"> </w:t>
      </w:r>
    </w:p>
    <w:p w14:paraId="2A8CF06C" w14:textId="77777777" w:rsidR="00E1083F" w:rsidRDefault="00E1083F" w:rsidP="00E1083F">
      <w:pPr>
        <w:spacing w:line="240" w:lineRule="auto"/>
        <w:rPr>
          <w:rFonts w:ascii="Arial" w:hAnsi="Arial" w:cs="Arial"/>
          <w:sz w:val="20"/>
          <w:szCs w:val="24"/>
        </w:rPr>
      </w:pPr>
      <w:r>
        <w:rPr>
          <w:rFonts w:ascii="Arial" w:hAnsi="Arial" w:cs="Arial"/>
          <w:sz w:val="20"/>
          <w:szCs w:val="24"/>
        </w:rPr>
        <w:t xml:space="preserve">LegitScript assessed the merchant URL </w:t>
      </w:r>
      <w:r w:rsidRPr="00240FDF">
        <w:rPr>
          <w:rFonts w:ascii="Arial" w:hAnsi="Arial" w:cs="Arial"/>
          <w:sz w:val="20"/>
          <w:szCs w:val="24"/>
          <w:u w:val="single"/>
        </w:rPr>
        <w:t>amishteacups.com</w:t>
      </w:r>
      <w:r>
        <w:rPr>
          <w:rFonts w:ascii="Arial" w:hAnsi="Arial" w:cs="Arial"/>
          <w:sz w:val="20"/>
          <w:szCs w:val="24"/>
        </w:rPr>
        <w:t xml:space="preserve"> and </w:t>
      </w:r>
      <w:r w:rsidRPr="00240FDF">
        <w:rPr>
          <w:rFonts w:ascii="Arial" w:hAnsi="Arial" w:cs="Arial"/>
          <w:sz w:val="20"/>
          <w:szCs w:val="24"/>
          <w:u w:val="single"/>
        </w:rPr>
        <w:t>buypuppiesonline.com</w:t>
      </w:r>
      <w:r>
        <w:rPr>
          <w:rFonts w:ascii="Arial" w:hAnsi="Arial" w:cs="Arial"/>
          <w:sz w:val="20"/>
          <w:szCs w:val="24"/>
        </w:rPr>
        <w:t xml:space="preserve"> (identical websites provided in a merchant application) to evaluate whether the merchant is involved in transaction laundering. In this case, we performed a reverse </w:t>
      </w:r>
      <w:proofErr w:type="spellStart"/>
      <w:r>
        <w:rPr>
          <w:rFonts w:ascii="Arial" w:hAnsi="Arial" w:cs="Arial"/>
          <w:sz w:val="20"/>
          <w:szCs w:val="24"/>
        </w:rPr>
        <w:t>Whois</w:t>
      </w:r>
      <w:proofErr w:type="spellEnd"/>
      <w:r>
        <w:rPr>
          <w:rFonts w:ascii="Arial" w:hAnsi="Arial" w:cs="Arial"/>
          <w:sz w:val="20"/>
          <w:szCs w:val="24"/>
        </w:rPr>
        <w:t xml:space="preserve"> query based on the </w:t>
      </w:r>
      <w:proofErr w:type="spellStart"/>
      <w:r>
        <w:rPr>
          <w:rFonts w:ascii="Arial" w:hAnsi="Arial" w:cs="Arial"/>
          <w:sz w:val="20"/>
          <w:szCs w:val="24"/>
        </w:rPr>
        <w:t>Whois</w:t>
      </w:r>
      <w:proofErr w:type="spellEnd"/>
      <w:r>
        <w:rPr>
          <w:rFonts w:ascii="Arial" w:hAnsi="Arial" w:cs="Arial"/>
          <w:sz w:val="20"/>
          <w:szCs w:val="24"/>
        </w:rPr>
        <w:t xml:space="preserve"> email address in the record for </w:t>
      </w:r>
      <w:r w:rsidRPr="00240FDF">
        <w:rPr>
          <w:rFonts w:ascii="Arial" w:hAnsi="Arial" w:cs="Arial"/>
          <w:sz w:val="20"/>
          <w:szCs w:val="24"/>
          <w:u w:val="single"/>
        </w:rPr>
        <w:t>amishteacups.com</w:t>
      </w:r>
      <w:r>
        <w:rPr>
          <w:rFonts w:ascii="Arial" w:hAnsi="Arial" w:cs="Arial"/>
          <w:sz w:val="20"/>
          <w:szCs w:val="24"/>
        </w:rPr>
        <w:t xml:space="preserve">, </w:t>
      </w:r>
      <w:proofErr w:type="gramStart"/>
      <w:r>
        <w:rPr>
          <w:rFonts w:ascii="Arial" w:hAnsi="Arial" w:cs="Arial"/>
          <w:i/>
          <w:sz w:val="20"/>
          <w:szCs w:val="24"/>
        </w:rPr>
        <w:t>karl636donasen1967(</w:t>
      </w:r>
      <w:proofErr w:type="gramEnd"/>
      <w:r>
        <w:rPr>
          <w:rFonts w:ascii="Arial" w:hAnsi="Arial" w:cs="Arial"/>
          <w:i/>
          <w:sz w:val="20"/>
          <w:szCs w:val="24"/>
        </w:rPr>
        <w:t>at)</w:t>
      </w:r>
      <w:proofErr w:type="spellStart"/>
      <w:r>
        <w:rPr>
          <w:rFonts w:ascii="Arial" w:hAnsi="Arial" w:cs="Arial"/>
          <w:i/>
          <w:sz w:val="20"/>
          <w:szCs w:val="24"/>
        </w:rPr>
        <w:t>gmail</w:t>
      </w:r>
      <w:proofErr w:type="spellEnd"/>
      <w:r>
        <w:rPr>
          <w:rFonts w:ascii="Arial" w:hAnsi="Arial" w:cs="Arial"/>
          <w:i/>
          <w:sz w:val="20"/>
          <w:szCs w:val="24"/>
        </w:rPr>
        <w:t>.(dot)com</w:t>
      </w:r>
      <w:r>
        <w:rPr>
          <w:rFonts w:ascii="Arial" w:hAnsi="Arial" w:cs="Arial"/>
          <w:sz w:val="20"/>
          <w:szCs w:val="24"/>
        </w:rPr>
        <w:t xml:space="preserve">. Our reverse query of this email address established that the same email was used to register the following domain names:   </w:t>
      </w:r>
    </w:p>
    <w:p w14:paraId="7BF01DDF" w14:textId="77777777" w:rsidR="00E1083F" w:rsidRPr="00F5333A" w:rsidRDefault="00E1083F" w:rsidP="00E1083F">
      <w:pPr>
        <w:pStyle w:val="ListParagraph"/>
        <w:numPr>
          <w:ilvl w:val="0"/>
          <w:numId w:val="1"/>
        </w:numPr>
        <w:spacing w:line="240" w:lineRule="auto"/>
        <w:rPr>
          <w:rFonts w:ascii="Arial" w:hAnsi="Arial" w:cs="Arial"/>
          <w:sz w:val="20"/>
          <w:szCs w:val="24"/>
        </w:rPr>
      </w:pPr>
      <w:proofErr w:type="gramStart"/>
      <w:r w:rsidRPr="00F5333A">
        <w:rPr>
          <w:rFonts w:ascii="Arial" w:hAnsi="Arial" w:cs="Arial"/>
          <w:sz w:val="20"/>
          <w:szCs w:val="24"/>
        </w:rPr>
        <w:t>amishteacups.com</w:t>
      </w:r>
      <w:proofErr w:type="gramEnd"/>
    </w:p>
    <w:p w14:paraId="45B6EE85" w14:textId="77777777" w:rsidR="00E1083F" w:rsidRPr="00F5333A" w:rsidRDefault="00E1083F" w:rsidP="00E1083F">
      <w:pPr>
        <w:pStyle w:val="ListParagraph"/>
        <w:numPr>
          <w:ilvl w:val="0"/>
          <w:numId w:val="1"/>
        </w:numPr>
        <w:spacing w:line="240" w:lineRule="auto"/>
        <w:rPr>
          <w:rFonts w:ascii="Arial" w:hAnsi="Arial" w:cs="Arial"/>
          <w:sz w:val="20"/>
          <w:szCs w:val="24"/>
        </w:rPr>
      </w:pPr>
      <w:proofErr w:type="gramStart"/>
      <w:r w:rsidRPr="00F5333A">
        <w:rPr>
          <w:rFonts w:ascii="Arial" w:hAnsi="Arial" w:cs="Arial"/>
          <w:sz w:val="20"/>
          <w:szCs w:val="24"/>
        </w:rPr>
        <w:t>australiamedsonline.com</w:t>
      </w:r>
      <w:proofErr w:type="gramEnd"/>
    </w:p>
    <w:p w14:paraId="15E93D8F" w14:textId="77777777" w:rsidR="00E1083F" w:rsidRPr="00F5333A" w:rsidRDefault="00E1083F" w:rsidP="00E1083F">
      <w:pPr>
        <w:pStyle w:val="ListParagraph"/>
        <w:numPr>
          <w:ilvl w:val="0"/>
          <w:numId w:val="1"/>
        </w:numPr>
        <w:spacing w:line="240" w:lineRule="auto"/>
        <w:rPr>
          <w:rFonts w:ascii="Arial" w:hAnsi="Arial" w:cs="Arial"/>
          <w:sz w:val="20"/>
          <w:szCs w:val="24"/>
        </w:rPr>
      </w:pPr>
      <w:proofErr w:type="gramStart"/>
      <w:r w:rsidRPr="00F5333A">
        <w:rPr>
          <w:rFonts w:ascii="Arial" w:hAnsi="Arial" w:cs="Arial"/>
          <w:sz w:val="20"/>
          <w:szCs w:val="24"/>
        </w:rPr>
        <w:t>bestsirupshoponline.com</w:t>
      </w:r>
      <w:proofErr w:type="gramEnd"/>
    </w:p>
    <w:p w14:paraId="2FEB573D" w14:textId="77777777" w:rsidR="00E1083F" w:rsidRPr="00F5333A" w:rsidRDefault="00E1083F" w:rsidP="00E1083F">
      <w:pPr>
        <w:pStyle w:val="ListParagraph"/>
        <w:numPr>
          <w:ilvl w:val="0"/>
          <w:numId w:val="1"/>
        </w:numPr>
        <w:spacing w:line="240" w:lineRule="auto"/>
        <w:rPr>
          <w:rFonts w:ascii="Arial" w:hAnsi="Arial" w:cs="Arial"/>
          <w:sz w:val="20"/>
          <w:szCs w:val="24"/>
        </w:rPr>
      </w:pPr>
      <w:proofErr w:type="gramStart"/>
      <w:r w:rsidRPr="00F5333A">
        <w:rPr>
          <w:rFonts w:ascii="Arial" w:hAnsi="Arial" w:cs="Arial"/>
          <w:sz w:val="20"/>
          <w:szCs w:val="24"/>
        </w:rPr>
        <w:t>buylaboratorysupplies.com</w:t>
      </w:r>
      <w:proofErr w:type="gramEnd"/>
    </w:p>
    <w:p w14:paraId="727E9327" w14:textId="77777777" w:rsidR="00E1083F" w:rsidRPr="00F5333A" w:rsidRDefault="00E1083F" w:rsidP="00E1083F">
      <w:pPr>
        <w:pStyle w:val="ListParagraph"/>
        <w:numPr>
          <w:ilvl w:val="0"/>
          <w:numId w:val="1"/>
        </w:numPr>
        <w:spacing w:line="240" w:lineRule="auto"/>
        <w:rPr>
          <w:rFonts w:ascii="Arial" w:hAnsi="Arial" w:cs="Arial"/>
          <w:sz w:val="20"/>
          <w:szCs w:val="24"/>
        </w:rPr>
      </w:pPr>
      <w:proofErr w:type="gramStart"/>
      <w:r w:rsidRPr="00F5333A">
        <w:rPr>
          <w:rFonts w:ascii="Arial" w:hAnsi="Arial" w:cs="Arial"/>
          <w:sz w:val="20"/>
          <w:szCs w:val="24"/>
        </w:rPr>
        <w:t>delnaud</w:t>
      </w:r>
      <w:proofErr w:type="gramEnd"/>
      <w:r w:rsidRPr="00F5333A">
        <w:rPr>
          <w:rFonts w:ascii="Arial" w:hAnsi="Arial" w:cs="Arial"/>
          <w:sz w:val="20"/>
          <w:szCs w:val="24"/>
        </w:rPr>
        <w:t>-labs.com</w:t>
      </w:r>
    </w:p>
    <w:p w14:paraId="7CE030C2" w14:textId="77777777" w:rsidR="00E1083F" w:rsidRPr="00F5333A" w:rsidRDefault="00E1083F" w:rsidP="00E1083F">
      <w:pPr>
        <w:pStyle w:val="ListParagraph"/>
        <w:numPr>
          <w:ilvl w:val="0"/>
          <w:numId w:val="1"/>
        </w:numPr>
        <w:spacing w:line="240" w:lineRule="auto"/>
        <w:rPr>
          <w:rFonts w:ascii="Arial" w:hAnsi="Arial" w:cs="Arial"/>
          <w:sz w:val="20"/>
          <w:szCs w:val="24"/>
        </w:rPr>
      </w:pPr>
      <w:proofErr w:type="gramStart"/>
      <w:r w:rsidRPr="00F5333A">
        <w:rPr>
          <w:rFonts w:ascii="Arial" w:hAnsi="Arial" w:cs="Arial"/>
          <w:sz w:val="20"/>
          <w:szCs w:val="24"/>
        </w:rPr>
        <w:t>educationforchilden.com</w:t>
      </w:r>
      <w:proofErr w:type="gramEnd"/>
    </w:p>
    <w:p w14:paraId="3FBB6A67" w14:textId="77777777" w:rsidR="00E1083F" w:rsidRPr="00F5333A" w:rsidRDefault="00E1083F" w:rsidP="00E1083F">
      <w:pPr>
        <w:pStyle w:val="ListParagraph"/>
        <w:numPr>
          <w:ilvl w:val="0"/>
          <w:numId w:val="1"/>
        </w:numPr>
        <w:spacing w:line="240" w:lineRule="auto"/>
        <w:rPr>
          <w:rFonts w:ascii="Arial" w:hAnsi="Arial" w:cs="Arial"/>
          <w:sz w:val="20"/>
          <w:szCs w:val="24"/>
        </w:rPr>
      </w:pPr>
      <w:proofErr w:type="gramStart"/>
      <w:r w:rsidRPr="00F5333A">
        <w:rPr>
          <w:rFonts w:ascii="Arial" w:hAnsi="Arial" w:cs="Arial"/>
          <w:sz w:val="20"/>
          <w:szCs w:val="24"/>
        </w:rPr>
        <w:t>goldmedications.com</w:t>
      </w:r>
      <w:proofErr w:type="gramEnd"/>
    </w:p>
    <w:p w14:paraId="13EDC8DD" w14:textId="77777777" w:rsidR="00E1083F" w:rsidRPr="00F5333A" w:rsidRDefault="00E1083F" w:rsidP="00E1083F">
      <w:pPr>
        <w:pStyle w:val="ListParagraph"/>
        <w:numPr>
          <w:ilvl w:val="0"/>
          <w:numId w:val="1"/>
        </w:numPr>
        <w:spacing w:line="240" w:lineRule="auto"/>
        <w:rPr>
          <w:rFonts w:ascii="Arial" w:hAnsi="Arial" w:cs="Arial"/>
          <w:sz w:val="20"/>
          <w:szCs w:val="24"/>
        </w:rPr>
      </w:pPr>
      <w:proofErr w:type="gramStart"/>
      <w:r w:rsidRPr="00F5333A">
        <w:rPr>
          <w:rFonts w:ascii="Arial" w:hAnsi="Arial" w:cs="Arial"/>
          <w:sz w:val="20"/>
          <w:szCs w:val="24"/>
        </w:rPr>
        <w:t>k2bathsaltonline.com</w:t>
      </w:r>
      <w:proofErr w:type="gramEnd"/>
    </w:p>
    <w:p w14:paraId="243F78CA" w14:textId="77777777" w:rsidR="00E1083F" w:rsidRPr="00F5333A" w:rsidRDefault="00E1083F" w:rsidP="00E1083F">
      <w:pPr>
        <w:pStyle w:val="ListParagraph"/>
        <w:numPr>
          <w:ilvl w:val="0"/>
          <w:numId w:val="1"/>
        </w:numPr>
        <w:spacing w:line="240" w:lineRule="auto"/>
        <w:rPr>
          <w:rFonts w:ascii="Arial" w:hAnsi="Arial" w:cs="Arial"/>
          <w:sz w:val="20"/>
          <w:szCs w:val="24"/>
        </w:rPr>
      </w:pPr>
      <w:proofErr w:type="gramStart"/>
      <w:r w:rsidRPr="00F5333A">
        <w:rPr>
          <w:rFonts w:ascii="Arial" w:hAnsi="Arial" w:cs="Arial"/>
          <w:sz w:val="20"/>
          <w:szCs w:val="24"/>
        </w:rPr>
        <w:t>k2bathsaltsonline.com</w:t>
      </w:r>
      <w:proofErr w:type="gramEnd"/>
    </w:p>
    <w:p w14:paraId="3209A132" w14:textId="77777777" w:rsidR="00E1083F" w:rsidRPr="00F5333A" w:rsidRDefault="00E1083F" w:rsidP="00E1083F">
      <w:pPr>
        <w:pStyle w:val="ListParagraph"/>
        <w:numPr>
          <w:ilvl w:val="0"/>
          <w:numId w:val="1"/>
        </w:numPr>
        <w:spacing w:line="240" w:lineRule="auto"/>
        <w:rPr>
          <w:rFonts w:ascii="Arial" w:hAnsi="Arial" w:cs="Arial"/>
          <w:sz w:val="20"/>
          <w:szCs w:val="24"/>
        </w:rPr>
      </w:pPr>
      <w:proofErr w:type="gramStart"/>
      <w:r w:rsidRPr="00F5333A">
        <w:rPr>
          <w:rFonts w:ascii="Arial" w:hAnsi="Arial" w:cs="Arial"/>
          <w:sz w:val="20"/>
          <w:szCs w:val="24"/>
        </w:rPr>
        <w:t>newlandmedication.com</w:t>
      </w:r>
      <w:proofErr w:type="gramEnd"/>
    </w:p>
    <w:p w14:paraId="3679BD67" w14:textId="77777777" w:rsidR="00E1083F" w:rsidRDefault="00E1083F" w:rsidP="00E1083F">
      <w:pPr>
        <w:spacing w:line="240" w:lineRule="auto"/>
        <w:rPr>
          <w:rFonts w:ascii="Arial" w:hAnsi="Arial" w:cs="Arial"/>
          <w:sz w:val="20"/>
          <w:szCs w:val="24"/>
        </w:rPr>
      </w:pPr>
      <w:r>
        <w:rPr>
          <w:rFonts w:ascii="Arial" w:hAnsi="Arial" w:cs="Arial"/>
          <w:sz w:val="20"/>
          <w:szCs w:val="24"/>
        </w:rPr>
        <w:t xml:space="preserve">Subsequently, a test buy from </w:t>
      </w:r>
      <w:r w:rsidRPr="0012032F">
        <w:rPr>
          <w:rFonts w:ascii="Arial" w:hAnsi="Arial" w:cs="Arial"/>
          <w:sz w:val="20"/>
          <w:szCs w:val="24"/>
          <w:u w:val="single"/>
        </w:rPr>
        <w:t>goldmedications.com</w:t>
      </w:r>
      <w:r>
        <w:rPr>
          <w:rFonts w:ascii="Arial" w:hAnsi="Arial" w:cs="Arial"/>
          <w:sz w:val="20"/>
          <w:szCs w:val="24"/>
        </w:rPr>
        <w:t xml:space="preserve"> established that the merchant descriptor was indeed the Amish Tea Cups business. </w:t>
      </w:r>
    </w:p>
    <w:p w14:paraId="7763E1C5" w14:textId="77777777" w:rsidR="00E1083F" w:rsidRDefault="00E1083F" w:rsidP="00E1083F">
      <w:pPr>
        <w:spacing w:line="240" w:lineRule="auto"/>
        <w:rPr>
          <w:rFonts w:ascii="Arial" w:hAnsi="Arial" w:cs="Arial"/>
          <w:sz w:val="20"/>
          <w:szCs w:val="24"/>
        </w:rPr>
      </w:pPr>
      <w:r>
        <w:rPr>
          <w:rFonts w:ascii="Arial" w:hAnsi="Arial" w:cs="Arial"/>
          <w:sz w:val="20"/>
          <w:szCs w:val="24"/>
        </w:rPr>
        <w:t xml:space="preserve">Without the ability to perform reverse WHOIS queries, it would not have been known that the website </w:t>
      </w:r>
      <w:r>
        <w:rPr>
          <w:rFonts w:ascii="Arial" w:hAnsi="Arial" w:cs="Arial"/>
          <w:sz w:val="20"/>
          <w:szCs w:val="24"/>
          <w:u w:val="single"/>
        </w:rPr>
        <w:t>amishteacups.</w:t>
      </w:r>
      <w:r w:rsidRPr="00E82AC9">
        <w:rPr>
          <w:rFonts w:ascii="Arial" w:hAnsi="Arial" w:cs="Arial"/>
          <w:sz w:val="20"/>
          <w:szCs w:val="24"/>
          <w:u w:val="single"/>
        </w:rPr>
        <w:t>com</w:t>
      </w:r>
      <w:r>
        <w:rPr>
          <w:rFonts w:ascii="Arial" w:hAnsi="Arial" w:cs="Arial"/>
          <w:sz w:val="20"/>
          <w:szCs w:val="24"/>
        </w:rPr>
        <w:t xml:space="preserve"> is a transaction laundering website. Transaction laundering websites are specifically established to facilitate financial transactions for illicit products through a legitimate appearing website.</w:t>
      </w:r>
    </w:p>
    <w:p w14:paraId="4DD93C19" w14:textId="77777777" w:rsidR="00E1083F" w:rsidRDefault="00E1083F" w:rsidP="00E1083F">
      <w:pPr>
        <w:spacing w:line="240" w:lineRule="auto"/>
        <w:rPr>
          <w:rFonts w:ascii="Arial" w:hAnsi="Arial" w:cs="Arial"/>
          <w:sz w:val="20"/>
          <w:szCs w:val="24"/>
        </w:rPr>
      </w:pPr>
      <w:r>
        <w:rPr>
          <w:rFonts w:ascii="Arial" w:hAnsi="Arial" w:cs="Arial"/>
          <w:sz w:val="20"/>
          <w:szCs w:val="24"/>
        </w:rPr>
        <w:t xml:space="preserve">It should be noted that this is not an uncommon example: LegitScript and other compliance entities perform hundreds or even thousands of such evaluations each month. In this particular example, the </w:t>
      </w:r>
      <w:proofErr w:type="spellStart"/>
      <w:r>
        <w:rPr>
          <w:rFonts w:ascii="Arial" w:hAnsi="Arial" w:cs="Arial"/>
          <w:sz w:val="20"/>
          <w:szCs w:val="24"/>
        </w:rPr>
        <w:t>Whois</w:t>
      </w:r>
      <w:proofErr w:type="spellEnd"/>
      <w:r>
        <w:rPr>
          <w:rFonts w:ascii="Arial" w:hAnsi="Arial" w:cs="Arial"/>
          <w:sz w:val="20"/>
          <w:szCs w:val="24"/>
        </w:rPr>
        <w:t xml:space="preserve"> email was the factor that revealed transaction laundering, but any other field may be equally relevant depending on the merchant URL provided to the bank. </w:t>
      </w:r>
    </w:p>
    <w:p w14:paraId="21E37CE6" w14:textId="77777777" w:rsidR="00E1083F" w:rsidRDefault="00E1083F" w:rsidP="00E1083F">
      <w:pPr>
        <w:spacing w:line="240" w:lineRule="auto"/>
        <w:rPr>
          <w:rFonts w:ascii="Arial" w:hAnsi="Arial" w:cs="Arial"/>
          <w:sz w:val="20"/>
          <w:szCs w:val="24"/>
        </w:rPr>
      </w:pPr>
      <w:r>
        <w:rPr>
          <w:rFonts w:ascii="Arial" w:hAnsi="Arial" w:cs="Arial"/>
          <w:sz w:val="20"/>
          <w:szCs w:val="24"/>
        </w:rPr>
        <w:t xml:space="preserve">In this example, a few things are critical to note. First, this is a critical means of preventing fraud and illegal activity in the payments space. Second, </w:t>
      </w:r>
      <w:proofErr w:type="gramStart"/>
      <w:r>
        <w:rPr>
          <w:rFonts w:ascii="Arial" w:hAnsi="Arial" w:cs="Arial"/>
          <w:sz w:val="20"/>
          <w:szCs w:val="24"/>
        </w:rPr>
        <w:t>this role is performed by private entities, not law enforcement or regulators</w:t>
      </w:r>
      <w:proofErr w:type="gramEnd"/>
      <w:r>
        <w:rPr>
          <w:rFonts w:ascii="Arial" w:hAnsi="Arial" w:cs="Arial"/>
          <w:sz w:val="20"/>
          <w:szCs w:val="24"/>
        </w:rPr>
        <w:t xml:space="preserve">. Third, access to a single domain name’s </w:t>
      </w:r>
      <w:proofErr w:type="spellStart"/>
      <w:r>
        <w:rPr>
          <w:rFonts w:ascii="Arial" w:hAnsi="Arial" w:cs="Arial"/>
          <w:sz w:val="20"/>
          <w:szCs w:val="24"/>
        </w:rPr>
        <w:t>Whois</w:t>
      </w:r>
      <w:proofErr w:type="spellEnd"/>
      <w:r>
        <w:rPr>
          <w:rFonts w:ascii="Arial" w:hAnsi="Arial" w:cs="Arial"/>
          <w:sz w:val="20"/>
          <w:szCs w:val="24"/>
        </w:rPr>
        <w:t xml:space="preserve"> record is not effective: only identifying all domain names registered with the same common data point revealed the transaction laundering. </w:t>
      </w:r>
    </w:p>
    <w:p w14:paraId="0820DC41" w14:textId="12F96330" w:rsidR="00513E13" w:rsidRPr="00E1083F" w:rsidRDefault="00E1083F" w:rsidP="003E575E">
      <w:pPr>
        <w:rPr>
          <w:rFonts w:ascii="Arial" w:hAnsi="Arial" w:cs="Arial"/>
          <w:i/>
          <w:sz w:val="20"/>
          <w:szCs w:val="24"/>
        </w:rPr>
      </w:pPr>
      <w:r>
        <w:rPr>
          <w:rFonts w:ascii="Arial" w:hAnsi="Arial" w:cs="Arial"/>
          <w:sz w:val="20"/>
          <w:szCs w:val="24"/>
        </w:rPr>
        <w:t>This is one of numerous examples of how private industry has developed methodologies that allow successful prevention, disruption and dismantling of cybercrime, and the ability to freely access, collect, and perform reverse WHOIS queries is not only necessary, but is critical to protect unsuspecting consumers from performing financial transactions on websites engaged in transaction laundering, as well as prevent, identify, disrupt and dismantle cybercriminal networks.</w:t>
      </w:r>
    </w:p>
    <w:sectPr w:rsidR="00513E13" w:rsidRPr="00E1083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2749E9" w14:textId="77777777" w:rsidR="00CF3B99" w:rsidRDefault="00CF3B99" w:rsidP="003E575E">
      <w:pPr>
        <w:spacing w:after="0" w:line="240" w:lineRule="auto"/>
      </w:pPr>
      <w:r>
        <w:separator/>
      </w:r>
    </w:p>
  </w:endnote>
  <w:endnote w:type="continuationSeparator" w:id="0">
    <w:p w14:paraId="654BE056" w14:textId="77777777" w:rsidR="00CF3B99" w:rsidRDefault="00CF3B99" w:rsidP="003E5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5897E" w14:textId="77777777" w:rsidR="003603EC" w:rsidRPr="003603EC" w:rsidRDefault="003603EC" w:rsidP="003603EC">
    <w:pPr>
      <w:pStyle w:val="Footer"/>
      <w:jc w:val="center"/>
      <w:rPr>
        <w:sz w:val="20"/>
      </w:rPr>
    </w:pPr>
    <w:r w:rsidRPr="003603EC">
      <w:rPr>
        <w:sz w:val="20"/>
      </w:rPr>
      <w:t>Initial draft, prepared from EWG use case template, for WG discussion</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896CD0" w14:textId="77777777" w:rsidR="00CF3B99" w:rsidRDefault="00CF3B99" w:rsidP="003E575E">
      <w:pPr>
        <w:spacing w:after="0" w:line="240" w:lineRule="auto"/>
      </w:pPr>
      <w:r>
        <w:separator/>
      </w:r>
    </w:p>
  </w:footnote>
  <w:footnote w:type="continuationSeparator" w:id="0">
    <w:p w14:paraId="3A01D190" w14:textId="77777777" w:rsidR="00CF3B99" w:rsidRDefault="00CF3B99" w:rsidP="003E575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CB8F7" w14:textId="77777777" w:rsidR="003E575E" w:rsidRDefault="003603EC" w:rsidP="003E575E">
    <w:pPr>
      <w:pStyle w:val="Header"/>
      <w:jc w:val="center"/>
    </w:pPr>
    <w:r>
      <w:t xml:space="preserve">Draft RDS </w:t>
    </w:r>
    <w:r w:rsidR="003E575E">
      <w:t>Use Case Template and Proposed Additions – 19 July 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BE771E"/>
    <w:multiLevelType w:val="hybridMultilevel"/>
    <w:tmpl w:val="F6560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75E"/>
    <w:rsid w:val="000C748A"/>
    <w:rsid w:val="0023625C"/>
    <w:rsid w:val="003603EC"/>
    <w:rsid w:val="003E575E"/>
    <w:rsid w:val="004F1090"/>
    <w:rsid w:val="00513E13"/>
    <w:rsid w:val="00531E8F"/>
    <w:rsid w:val="00605B01"/>
    <w:rsid w:val="00760CF1"/>
    <w:rsid w:val="008F4E44"/>
    <w:rsid w:val="00AD1DC9"/>
    <w:rsid w:val="00C7250D"/>
    <w:rsid w:val="00CF3B99"/>
    <w:rsid w:val="00E1083F"/>
    <w:rsid w:val="00ED3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25E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75E"/>
    <w:pPr>
      <w:suppressAutoHyphens/>
      <w:spacing w:after="120"/>
    </w:pPr>
    <w:rPr>
      <w:rFonts w:ascii="Calibri" w:eastAsia="Times New Roman" w:hAnsi="Calibri" w:cs="Times New Roman"/>
      <w:sz w:val="24"/>
      <w:szCs w:val="20"/>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7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75E"/>
    <w:rPr>
      <w:rFonts w:ascii="Calibri" w:eastAsia="Times New Roman" w:hAnsi="Calibri" w:cs="Times New Roman"/>
      <w:sz w:val="24"/>
      <w:szCs w:val="20"/>
      <w:lang w:val="en-GB" w:eastAsia="ar-SA"/>
    </w:rPr>
  </w:style>
  <w:style w:type="paragraph" w:styleId="Footer">
    <w:name w:val="footer"/>
    <w:basedOn w:val="Normal"/>
    <w:link w:val="FooterChar"/>
    <w:uiPriority w:val="99"/>
    <w:unhideWhenUsed/>
    <w:rsid w:val="003E57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75E"/>
    <w:rPr>
      <w:rFonts w:ascii="Calibri" w:eastAsia="Times New Roman" w:hAnsi="Calibri" w:cs="Times New Roman"/>
      <w:sz w:val="24"/>
      <w:szCs w:val="20"/>
      <w:lang w:val="en-GB" w:eastAsia="ar-SA"/>
    </w:rPr>
  </w:style>
  <w:style w:type="paragraph" w:styleId="ListParagraph">
    <w:name w:val="List Paragraph"/>
    <w:basedOn w:val="Normal"/>
    <w:uiPriority w:val="34"/>
    <w:qFormat/>
    <w:rsid w:val="00E1083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75E"/>
    <w:pPr>
      <w:suppressAutoHyphens/>
      <w:spacing w:after="120"/>
    </w:pPr>
    <w:rPr>
      <w:rFonts w:ascii="Calibri" w:eastAsia="Times New Roman" w:hAnsi="Calibri" w:cs="Times New Roman"/>
      <w:sz w:val="24"/>
      <w:szCs w:val="20"/>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7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75E"/>
    <w:rPr>
      <w:rFonts w:ascii="Calibri" w:eastAsia="Times New Roman" w:hAnsi="Calibri" w:cs="Times New Roman"/>
      <w:sz w:val="24"/>
      <w:szCs w:val="20"/>
      <w:lang w:val="en-GB" w:eastAsia="ar-SA"/>
    </w:rPr>
  </w:style>
  <w:style w:type="paragraph" w:styleId="Footer">
    <w:name w:val="footer"/>
    <w:basedOn w:val="Normal"/>
    <w:link w:val="FooterChar"/>
    <w:uiPriority w:val="99"/>
    <w:unhideWhenUsed/>
    <w:rsid w:val="003E57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75E"/>
    <w:rPr>
      <w:rFonts w:ascii="Calibri" w:eastAsia="Times New Roman" w:hAnsi="Calibri" w:cs="Times New Roman"/>
      <w:sz w:val="24"/>
      <w:szCs w:val="20"/>
      <w:lang w:val="en-GB" w:eastAsia="ar-SA"/>
    </w:rPr>
  </w:style>
  <w:style w:type="paragraph" w:styleId="ListParagraph">
    <w:name w:val="List Paragraph"/>
    <w:basedOn w:val="Normal"/>
    <w:uiPriority w:val="34"/>
    <w:qFormat/>
    <w:rsid w:val="00E108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460149">
      <w:bodyDiv w:val="1"/>
      <w:marLeft w:val="0"/>
      <w:marRight w:val="0"/>
      <w:marTop w:val="0"/>
      <w:marBottom w:val="0"/>
      <w:divBdr>
        <w:top w:val="none" w:sz="0" w:space="0" w:color="auto"/>
        <w:left w:val="none" w:sz="0" w:space="0" w:color="auto"/>
        <w:bottom w:val="none" w:sz="0" w:space="0" w:color="auto"/>
        <w:right w:val="none" w:sz="0" w:space="0" w:color="auto"/>
      </w:divBdr>
      <w:divsChild>
        <w:div w:id="165363034">
          <w:marLeft w:val="0"/>
          <w:marRight w:val="0"/>
          <w:marTop w:val="0"/>
          <w:marBottom w:val="0"/>
          <w:divBdr>
            <w:top w:val="none" w:sz="0" w:space="0" w:color="auto"/>
            <w:left w:val="none" w:sz="0" w:space="0" w:color="auto"/>
            <w:bottom w:val="none" w:sz="0" w:space="0" w:color="auto"/>
            <w:right w:val="none" w:sz="0" w:space="0" w:color="auto"/>
          </w:divBdr>
          <w:divsChild>
            <w:div w:id="1513909444">
              <w:marLeft w:val="0"/>
              <w:marRight w:val="0"/>
              <w:marTop w:val="0"/>
              <w:marBottom w:val="0"/>
              <w:divBdr>
                <w:top w:val="none" w:sz="0" w:space="0" w:color="auto"/>
                <w:left w:val="none" w:sz="0" w:space="0" w:color="auto"/>
                <w:bottom w:val="none" w:sz="0" w:space="0" w:color="auto"/>
                <w:right w:val="none" w:sz="0" w:space="0" w:color="auto"/>
              </w:divBdr>
            </w:div>
            <w:div w:id="828788329">
              <w:marLeft w:val="0"/>
              <w:marRight w:val="0"/>
              <w:marTop w:val="0"/>
              <w:marBottom w:val="0"/>
              <w:divBdr>
                <w:top w:val="none" w:sz="0" w:space="0" w:color="auto"/>
                <w:left w:val="none" w:sz="0" w:space="0" w:color="auto"/>
                <w:bottom w:val="none" w:sz="0" w:space="0" w:color="auto"/>
                <w:right w:val="none" w:sz="0" w:space="0" w:color="auto"/>
              </w:divBdr>
            </w:div>
            <w:div w:id="810750081">
              <w:marLeft w:val="0"/>
              <w:marRight w:val="0"/>
              <w:marTop w:val="0"/>
              <w:marBottom w:val="0"/>
              <w:divBdr>
                <w:top w:val="none" w:sz="0" w:space="0" w:color="auto"/>
                <w:left w:val="none" w:sz="0" w:space="0" w:color="auto"/>
                <w:bottom w:val="none" w:sz="0" w:space="0" w:color="auto"/>
                <w:right w:val="none" w:sz="0" w:space="0" w:color="auto"/>
              </w:divBdr>
            </w:div>
            <w:div w:id="59435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944</Words>
  <Characters>5386</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Terri Stumme</cp:lastModifiedBy>
  <cp:revision>2</cp:revision>
  <dcterms:created xsi:type="dcterms:W3CDTF">2016-07-26T21:11:00Z</dcterms:created>
  <dcterms:modified xsi:type="dcterms:W3CDTF">2016-07-26T21:11:00Z</dcterms:modified>
</cp:coreProperties>
</file>