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75F0E599" w:rsidR="006D69B8" w:rsidRDefault="00A93A42" w:rsidP="004311B8">
            <w:pPr>
              <w:pStyle w:val="FormHeading1"/>
              <w:widowControl w:val="0"/>
              <w:ind w:left="90"/>
              <w:rPr>
                <w:noProof w:val="0"/>
                <w:color w:val="FFFFFF"/>
              </w:rPr>
            </w:pPr>
            <w:r>
              <w:rPr>
                <w:noProof w:val="0"/>
                <w:color w:val="FFFFFF"/>
              </w:rPr>
              <w:t xml:space="preserve">Recommendations </w:t>
            </w:r>
            <w:r w:rsidR="00444341">
              <w:rPr>
                <w:noProof w:val="0"/>
                <w:color w:val="FFFFFF"/>
              </w:rPr>
              <w:t>20 &amp; 21</w:t>
            </w:r>
            <w:r w:rsidR="006D69B8">
              <w:rPr>
                <w:noProof w:val="0"/>
                <w:color w:val="FFFFFF"/>
              </w:rPr>
              <w:t xml:space="preserve">: </w:t>
            </w:r>
            <w:r w:rsidR="001D6837">
              <w:rPr>
                <w:noProof w:val="0"/>
                <w:color w:val="FFFFFF"/>
              </w:rPr>
              <w:t>Strategic Objectives and Industry Trends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11C2F3B2" w:rsidR="00762354" w:rsidRPr="006F3997" w:rsidRDefault="005859FC" w:rsidP="00DA4198">
            <w:pPr>
              <w:widowControl w:val="0"/>
              <w:ind w:left="90"/>
              <w:rPr>
                <w:rFonts w:asciiTheme="majorHAnsi" w:hAnsiTheme="majorHAnsi" w:cstheme="majorHAnsi"/>
                <w:sz w:val="22"/>
                <w:szCs w:val="22"/>
              </w:rPr>
            </w:pPr>
            <w:r w:rsidRPr="006F3997">
              <w:rPr>
                <w:rFonts w:asciiTheme="majorHAnsi" w:hAnsiTheme="majorHAnsi" w:cstheme="majorHAnsi"/>
                <w:sz w:val="22"/>
                <w:szCs w:val="22"/>
              </w:rPr>
              <w:t xml:space="preserve">Promote role clarity and establish mechanisms to increase trust within the ecosystem rooted in the public interest.  Also, evolve policy development and governance processes, structures and meetings to be more accountable, inclusive, efficient, effective and responsive.  See Strategic Plan main web page at: </w:t>
            </w:r>
            <w:hyperlink r:id="rId8" w:history="1">
              <w:r w:rsidRPr="006F3997">
                <w:rPr>
                  <w:rStyle w:val="Hyperlink"/>
                  <w:rFonts w:asciiTheme="majorHAnsi" w:hAnsiTheme="majorHAnsi" w:cstheme="majorHAnsi"/>
                  <w:sz w:val="22"/>
                  <w:szCs w:val="22"/>
                </w:rPr>
                <w:t>https://www.icann.org/resources/pages/strategic-engagement-2013-10-10-en</w:t>
              </w:r>
            </w:hyperlink>
            <w:r w:rsidRPr="006F3997">
              <w:rPr>
                <w:rFonts w:asciiTheme="majorHAnsi" w:hAnsiTheme="majorHAnsi" w:cstheme="majorHAnsi"/>
                <w:sz w:val="22"/>
                <w:szCs w:val="22"/>
              </w:rPr>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173F5364" w14:textId="77777777" w:rsidR="00B473D4" w:rsidRPr="002E31E1" w:rsidRDefault="00B473D4" w:rsidP="00B473D4">
            <w:pPr>
              <w:pStyle w:val="FormText1"/>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736ED72D"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E41CDDC"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3D835C25"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7372CE95"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166C0D7D"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4A4E227E" w:rsidR="00762354" w:rsidRPr="0014732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B473D4">
        <w:trPr>
          <w:trHeight w:val="1677"/>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536E92E2" w14:textId="77777777" w:rsidR="00B215A7" w:rsidRPr="00B215A7" w:rsidRDefault="004311B8" w:rsidP="00B215A7">
            <w:pPr>
              <w:pStyle w:val="FormText1"/>
              <w:widowControl w:val="0"/>
              <w:ind w:left="90"/>
              <w:rPr>
                <w:rFonts w:asciiTheme="majorHAnsi" w:eastAsia="MS Gothic" w:hAnsiTheme="majorHAnsi" w:cstheme="majorHAnsi"/>
                <w:sz w:val="22"/>
                <w:szCs w:val="22"/>
              </w:rPr>
            </w:pPr>
            <w:r w:rsidRPr="00B215A7">
              <w:rPr>
                <w:rFonts w:asciiTheme="majorHAnsi" w:hAnsiTheme="majorHAnsi" w:cstheme="majorHAnsi"/>
                <w:sz w:val="22"/>
                <w:szCs w:val="22"/>
              </w:rPr>
              <w:t xml:space="preserve">Recommendation </w:t>
            </w:r>
            <w:r w:rsidR="00B215A7" w:rsidRPr="00B215A7">
              <w:rPr>
                <w:rFonts w:asciiTheme="majorHAnsi" w:hAnsiTheme="majorHAnsi" w:cstheme="majorHAnsi"/>
                <w:sz w:val="22"/>
                <w:szCs w:val="22"/>
              </w:rPr>
              <w:t>20</w:t>
            </w:r>
            <w:r w:rsidR="002343F3" w:rsidRPr="00B215A7">
              <w:rPr>
                <w:rFonts w:asciiTheme="majorHAnsi" w:hAnsiTheme="majorHAnsi" w:cstheme="majorHAnsi"/>
                <w:sz w:val="22"/>
                <w:szCs w:val="22"/>
              </w:rPr>
              <w:t xml:space="preserve">: </w:t>
            </w:r>
            <w:r w:rsidR="00B215A7" w:rsidRPr="00B215A7">
              <w:rPr>
                <w:rFonts w:asciiTheme="majorHAnsi" w:hAnsiTheme="majorHAnsi" w:cstheme="majorHAnsi"/>
                <w:sz w:val="22"/>
                <w:szCs w:val="22"/>
              </w:rPr>
              <w:t>That the GNSO Council should review annually ICANN’s Strategic Objectives with a view to planning future policy development that strikes a balance between ICANN’s Strategic Objectives and the GNSO resources available for policy development.</w:t>
            </w:r>
            <w:r w:rsidR="00B215A7" w:rsidRPr="00B215A7">
              <w:rPr>
                <w:rFonts w:ascii="MS Gothic" w:eastAsia="MS Gothic" w:hAnsi="MS Gothic" w:cs="MS Gothic" w:hint="eastAsia"/>
                <w:sz w:val="22"/>
                <w:szCs w:val="22"/>
              </w:rPr>
              <w:t> </w:t>
            </w:r>
          </w:p>
          <w:p w14:paraId="3FEA735D" w14:textId="1FE0B6EF" w:rsidR="00762354" w:rsidRPr="00B215A7" w:rsidRDefault="00B215A7" w:rsidP="00B215A7">
            <w:pPr>
              <w:pStyle w:val="FormText1"/>
              <w:widowControl w:val="0"/>
              <w:ind w:left="90"/>
              <w:rPr>
                <w:rFonts w:asciiTheme="majorHAnsi" w:hAnsiTheme="majorHAnsi" w:cstheme="majorHAnsi"/>
                <w:sz w:val="22"/>
                <w:szCs w:val="22"/>
              </w:rPr>
            </w:pPr>
            <w:r w:rsidRPr="00B215A7">
              <w:rPr>
                <w:rFonts w:asciiTheme="majorHAnsi" w:eastAsia="MS Gothic" w:hAnsiTheme="majorHAnsi" w:cstheme="majorHAnsi"/>
                <w:sz w:val="22"/>
                <w:szCs w:val="22"/>
              </w:rPr>
              <w:t xml:space="preserve">Recommendation </w:t>
            </w:r>
            <w:r w:rsidRPr="00B215A7">
              <w:rPr>
                <w:rFonts w:asciiTheme="majorHAnsi" w:hAnsiTheme="majorHAnsi" w:cstheme="majorHAnsi"/>
                <w:sz w:val="22"/>
                <w:szCs w:val="22"/>
              </w:rPr>
              <w:t xml:space="preserve">21: That the GNSO Council should regularly undertake or commission analysis of trends in gTLDs in order to forecast likely requirements for policy and to ensure those affected are well- represented in the policy-making process. </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34FEB34D" w14:textId="77777777" w:rsidR="00B215A7" w:rsidRPr="008B4130" w:rsidRDefault="00B215A7" w:rsidP="00B215A7">
            <w:pPr>
              <w:pStyle w:val="TableText"/>
              <w:widowControl w:val="0"/>
              <w:rPr>
                <w:rFonts w:asciiTheme="majorHAnsi" w:hAnsiTheme="majorHAnsi" w:cstheme="majorHAnsi"/>
                <w:sz w:val="22"/>
                <w:szCs w:val="22"/>
              </w:rPr>
            </w:pPr>
            <w:r w:rsidRPr="008B4130">
              <w:rPr>
                <w:rFonts w:asciiTheme="majorHAnsi" w:hAnsiTheme="majorHAnsi" w:cstheme="majorHAnsi"/>
                <w:sz w:val="22"/>
                <w:szCs w:val="22"/>
              </w:rPr>
              <w:t xml:space="preserve">Recommendation 20: </w:t>
            </w:r>
          </w:p>
          <w:p w14:paraId="21E5A444" w14:textId="77777777" w:rsidR="00B215A7" w:rsidRPr="008B4130" w:rsidRDefault="00B215A7" w:rsidP="00B215A7">
            <w:pPr>
              <w:pStyle w:val="TableText"/>
              <w:widowControl w:val="0"/>
              <w:numPr>
                <w:ilvl w:val="0"/>
                <w:numId w:val="21"/>
              </w:numPr>
              <w:rPr>
                <w:rFonts w:asciiTheme="majorHAnsi" w:hAnsiTheme="majorHAnsi" w:cstheme="majorHAnsi"/>
                <w:sz w:val="22"/>
                <w:szCs w:val="22"/>
              </w:rPr>
            </w:pPr>
            <w:r w:rsidRPr="008B4130">
              <w:rPr>
                <w:rFonts w:asciiTheme="majorHAnsi" w:hAnsiTheme="majorHAnsi" w:cstheme="majorHAnsi"/>
                <w:sz w:val="22"/>
                <w:szCs w:val="22"/>
              </w:rPr>
              <w:t>The GNSO Review Working Group to review if/how the GNSO Council has done this to date, if at all.</w:t>
            </w:r>
          </w:p>
          <w:p w14:paraId="353BF552" w14:textId="70F5D47D" w:rsidR="00B215A7" w:rsidRPr="008B4130" w:rsidRDefault="00B215A7" w:rsidP="00B215A7">
            <w:pPr>
              <w:pStyle w:val="TableText"/>
              <w:widowControl w:val="0"/>
              <w:numPr>
                <w:ilvl w:val="0"/>
                <w:numId w:val="21"/>
              </w:numPr>
              <w:rPr>
                <w:rFonts w:asciiTheme="majorHAnsi" w:hAnsiTheme="majorHAnsi" w:cstheme="majorHAnsi"/>
                <w:sz w:val="22"/>
                <w:szCs w:val="22"/>
              </w:rPr>
            </w:pPr>
            <w:r w:rsidRPr="008B4130">
              <w:rPr>
                <w:rFonts w:asciiTheme="majorHAnsi" w:hAnsiTheme="majorHAnsi" w:cstheme="majorHAnsi"/>
                <w:sz w:val="22"/>
                <w:szCs w:val="22"/>
              </w:rPr>
              <w:t>Based on the outcome of the review, the GNSO Review Working Group to work with staff to develop a light-weight process for the GNSO Council to participate in the development of ICANN’s Strategic Objectives and guidance for planning future policy development that aligns the Strategic Objectives with GNSO resources.</w:t>
            </w:r>
          </w:p>
          <w:p w14:paraId="5E72ADCB" w14:textId="77777777" w:rsidR="00B215A7" w:rsidRPr="008B4130" w:rsidRDefault="00B215A7" w:rsidP="00B215A7">
            <w:pPr>
              <w:widowControl w:val="0"/>
              <w:tabs>
                <w:tab w:val="left" w:pos="460"/>
              </w:tabs>
              <w:kinsoku w:val="0"/>
              <w:overflowPunct w:val="0"/>
              <w:autoSpaceDE w:val="0"/>
              <w:autoSpaceDN w:val="0"/>
              <w:adjustRightInd w:val="0"/>
              <w:spacing w:line="251" w:lineRule="auto"/>
              <w:ind w:right="274"/>
              <w:rPr>
                <w:rFonts w:asciiTheme="majorHAnsi" w:hAnsiTheme="majorHAnsi" w:cstheme="majorHAnsi"/>
                <w:sz w:val="22"/>
                <w:szCs w:val="22"/>
              </w:rPr>
            </w:pPr>
          </w:p>
          <w:p w14:paraId="3AF3F065" w14:textId="01DB8B11" w:rsidR="00B215A7" w:rsidRPr="008B4130" w:rsidRDefault="00B215A7" w:rsidP="00B215A7">
            <w:pPr>
              <w:widowControl w:val="0"/>
              <w:tabs>
                <w:tab w:val="left" w:pos="460"/>
              </w:tabs>
              <w:kinsoku w:val="0"/>
              <w:overflowPunct w:val="0"/>
              <w:autoSpaceDE w:val="0"/>
              <w:autoSpaceDN w:val="0"/>
              <w:adjustRightInd w:val="0"/>
              <w:spacing w:line="251" w:lineRule="auto"/>
              <w:ind w:right="274"/>
              <w:rPr>
                <w:rFonts w:asciiTheme="majorHAnsi" w:hAnsiTheme="majorHAnsi" w:cstheme="majorHAnsi"/>
                <w:sz w:val="22"/>
                <w:szCs w:val="22"/>
              </w:rPr>
            </w:pPr>
            <w:r w:rsidRPr="008B4130">
              <w:rPr>
                <w:rFonts w:asciiTheme="majorHAnsi" w:hAnsiTheme="majorHAnsi" w:cstheme="majorHAnsi"/>
                <w:sz w:val="22"/>
                <w:szCs w:val="22"/>
              </w:rPr>
              <w:t>Recommendation 21:</w:t>
            </w:r>
          </w:p>
          <w:p w14:paraId="1B707715" w14:textId="4F04E3CD" w:rsidR="00B215A7" w:rsidRPr="008B4130" w:rsidRDefault="00B215A7" w:rsidP="00B215A7">
            <w:pPr>
              <w:pStyle w:val="ListParagraph"/>
              <w:widowControl w:val="0"/>
              <w:numPr>
                <w:ilvl w:val="0"/>
                <w:numId w:val="23"/>
              </w:numPr>
              <w:tabs>
                <w:tab w:val="left" w:pos="460"/>
              </w:tabs>
              <w:kinsoku w:val="0"/>
              <w:overflowPunct w:val="0"/>
              <w:autoSpaceDE w:val="0"/>
              <w:autoSpaceDN w:val="0"/>
              <w:adjustRightInd w:val="0"/>
              <w:spacing w:line="251" w:lineRule="auto"/>
              <w:ind w:right="274"/>
              <w:rPr>
                <w:rFonts w:asciiTheme="majorHAnsi" w:hAnsiTheme="majorHAnsi" w:cstheme="majorHAnsi"/>
                <w:sz w:val="22"/>
                <w:szCs w:val="22"/>
              </w:rPr>
            </w:pPr>
            <w:r w:rsidRPr="008B4130">
              <w:rPr>
                <w:rFonts w:asciiTheme="majorHAnsi" w:hAnsiTheme="majorHAnsi" w:cstheme="majorHAnsi"/>
                <w:sz w:val="22"/>
                <w:szCs w:val="22"/>
              </w:rPr>
              <w:t>Staff to work with the GNSO to institute methods of information sharing of highly relevant research related to gTLDs to help the GNSO community members increase their knowledge base and ability to analyze potential impact. These could, for example, include regular staff briefings, implementing the recommendations of the DMPM Working Group, and CCT-RT data.</w:t>
            </w:r>
          </w:p>
          <w:p w14:paraId="126FBC10" w14:textId="752B720D" w:rsidR="00B215A7" w:rsidRPr="00B215A7" w:rsidRDefault="00B215A7" w:rsidP="00B215A7">
            <w:pPr>
              <w:pStyle w:val="ListParagraph"/>
              <w:widowControl w:val="0"/>
              <w:numPr>
                <w:ilvl w:val="0"/>
                <w:numId w:val="23"/>
              </w:numPr>
              <w:tabs>
                <w:tab w:val="left" w:pos="460"/>
              </w:tabs>
              <w:kinsoku w:val="0"/>
              <w:overflowPunct w:val="0"/>
              <w:autoSpaceDE w:val="0"/>
              <w:autoSpaceDN w:val="0"/>
              <w:adjustRightInd w:val="0"/>
              <w:spacing w:line="251" w:lineRule="auto"/>
              <w:ind w:right="274"/>
              <w:rPr>
                <w:rFonts w:asciiTheme="majorHAnsi" w:hAnsiTheme="majorHAnsi" w:cstheme="majorHAnsi"/>
                <w:sz w:val="22"/>
                <w:szCs w:val="22"/>
              </w:rPr>
            </w:pPr>
            <w:r w:rsidRPr="008B4130">
              <w:rPr>
                <w:rFonts w:asciiTheme="majorHAnsi" w:hAnsiTheme="majorHAnsi" w:cstheme="majorHAnsi"/>
                <w:sz w:val="22"/>
                <w:szCs w:val="22"/>
              </w:rPr>
              <w:t>The GNSO Review Working Group to develop a timeline for reporting on a recurring basis. This timeline could include regular reporting/updating to the GNSO Council at every ICANN meeting as a status report to the GNSO, and as an item on the GNSO Council meeting agenda.</w:t>
            </w:r>
            <w:r w:rsidRPr="00B215A7">
              <w:rPr>
                <w:rFonts w:asciiTheme="minorHAnsi" w:hAnsiTheme="minorHAnsi"/>
                <w:sz w:val="21"/>
                <w:szCs w:val="21"/>
              </w:rPr>
              <w:t> </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8B4130" w:rsidRDefault="006D69B8" w:rsidP="00DA4198">
            <w:pPr>
              <w:widowControl w:val="0"/>
              <w:rPr>
                <w:rFonts w:asciiTheme="majorHAnsi" w:hAnsiTheme="majorHAnsi" w:cstheme="majorHAnsi"/>
                <w:sz w:val="22"/>
                <w:szCs w:val="22"/>
              </w:rPr>
            </w:pPr>
            <w:r w:rsidRPr="008B4130">
              <w:rPr>
                <w:rFonts w:asciiTheme="majorHAnsi" w:hAnsiTheme="majorHAnsi" w:cstheme="majorHAnsi"/>
                <w:sz w:val="22"/>
                <w:szCs w:val="22"/>
              </w:rPr>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lastRenderedPageBreak/>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6F2D8DA1" w:rsidR="00762354" w:rsidRPr="00BF3546" w:rsidRDefault="00B215A7" w:rsidP="00DA4198">
            <w:pPr>
              <w:widowControl w:val="0"/>
            </w:pPr>
            <w:r w:rsidRPr="00B11BD3">
              <w:rPr>
                <w:rFonts w:asciiTheme="majorHAnsi" w:hAnsiTheme="majorHAnsi"/>
                <w:sz w:val="22"/>
                <w:szCs w:val="22"/>
              </w:rPr>
              <w:t>None.</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t>Deliverables</w:t>
            </w:r>
          </w:p>
        </w:tc>
      </w:tr>
      <w:tr w:rsidR="00762354" w14:paraId="7093E384" w14:textId="77777777" w:rsidTr="008B4130">
        <w:trPr>
          <w:trHeight w:val="265"/>
        </w:trPr>
        <w:tc>
          <w:tcPr>
            <w:tcW w:w="10260" w:type="dxa"/>
            <w:tcBorders>
              <w:left w:val="single" w:sz="6" w:space="0" w:color="auto"/>
              <w:bottom w:val="single" w:sz="4" w:space="0" w:color="auto"/>
              <w:right w:val="single" w:sz="6" w:space="0" w:color="auto"/>
            </w:tcBorders>
          </w:tcPr>
          <w:p w14:paraId="56896927" w14:textId="185217B6" w:rsidR="00762354" w:rsidRPr="008B4130" w:rsidRDefault="00B215A7" w:rsidP="00DA4198">
            <w:pPr>
              <w:widowControl w:val="0"/>
              <w:rPr>
                <w:sz w:val="22"/>
                <w:szCs w:val="22"/>
              </w:rPr>
            </w:pPr>
            <w:r w:rsidRPr="008B4130">
              <w:rPr>
                <w:rFonts w:asciiTheme="majorHAnsi" w:hAnsiTheme="majorHAnsi"/>
                <w:sz w:val="22"/>
                <w:szCs w:val="22"/>
              </w:rPr>
              <w:t>None.</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9165D8" w:rsidRDefault="00BF3546" w:rsidP="00DA4198">
            <w:pPr>
              <w:widowControl w:val="0"/>
              <w:rPr>
                <w:rFonts w:asciiTheme="majorHAnsi" w:hAnsiTheme="majorHAnsi" w:cstheme="majorHAnsi"/>
                <w:sz w:val="22"/>
                <w:szCs w:val="22"/>
              </w:rPr>
            </w:pPr>
            <w:r w:rsidRPr="009165D8">
              <w:rPr>
                <w:rFonts w:asciiTheme="majorHAnsi" w:hAnsiTheme="majorHAnsi" w:cstheme="majorHAnsi"/>
                <w:sz w:val="22"/>
                <w:szCs w:val="22"/>
              </w:rP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0ECBE890" w14:textId="003DCB1D" w:rsidR="006F3997" w:rsidRDefault="002C1450" w:rsidP="00622A2F">
            <w:pPr>
              <w:pStyle w:val="FormText1"/>
              <w:widowControl w:val="0"/>
              <w:ind w:hanging="3"/>
              <w:rPr>
                <w:rFonts w:asciiTheme="majorHAnsi" w:hAnsiTheme="majorHAnsi" w:cstheme="majorHAnsi"/>
                <w:sz w:val="22"/>
                <w:szCs w:val="22"/>
              </w:rPr>
            </w:pPr>
            <w:r w:rsidRPr="009165D8">
              <w:rPr>
                <w:rFonts w:asciiTheme="majorHAnsi" w:hAnsiTheme="majorHAnsi"/>
                <w:sz w:val="22"/>
                <w:szCs w:val="22"/>
              </w:rPr>
              <w:t>Recommendation 20:</w:t>
            </w:r>
            <w:r w:rsidR="006F3997">
              <w:rPr>
                <w:rFonts w:asciiTheme="majorHAnsi" w:hAnsiTheme="majorHAnsi"/>
                <w:sz w:val="22"/>
                <w:szCs w:val="22"/>
              </w:rPr>
              <w:t xml:space="preserve"> The GNSO Council does not currently have a formal mechanism to </w:t>
            </w:r>
            <w:r w:rsidR="006F3997" w:rsidRPr="00B215A7">
              <w:rPr>
                <w:rFonts w:asciiTheme="majorHAnsi" w:hAnsiTheme="majorHAnsi" w:cstheme="majorHAnsi"/>
                <w:sz w:val="22"/>
                <w:szCs w:val="22"/>
              </w:rPr>
              <w:t>review annually ICANN’s Strategic Objectives with a view to planning future policy development that strikes a balance between ICANN’s Strategic Objectives and the GNSO resources available for policy development</w:t>
            </w:r>
            <w:r w:rsidR="006F3997">
              <w:rPr>
                <w:rFonts w:asciiTheme="majorHAnsi" w:hAnsiTheme="majorHAnsi" w:cstheme="majorHAnsi"/>
                <w:sz w:val="22"/>
                <w:szCs w:val="22"/>
              </w:rPr>
              <w:t xml:space="preserve">. There is, however, a vehicle that could be adapted for this purpose. </w:t>
            </w:r>
          </w:p>
          <w:p w14:paraId="5DA5CD42" w14:textId="3CC03FE2" w:rsidR="00261C8A" w:rsidRDefault="00261C8A" w:rsidP="00622A2F">
            <w:pPr>
              <w:pStyle w:val="FormText1"/>
              <w:widowControl w:val="0"/>
              <w:ind w:hanging="3"/>
              <w:rPr>
                <w:rFonts w:asciiTheme="majorHAnsi" w:hAnsiTheme="majorHAnsi" w:cstheme="majorHAnsi"/>
                <w:sz w:val="22"/>
                <w:szCs w:val="22"/>
              </w:rPr>
            </w:pPr>
          </w:p>
          <w:p w14:paraId="47FEB215" w14:textId="1102B29D" w:rsidR="00622A2F" w:rsidRDefault="00261C8A" w:rsidP="00622A2F">
            <w:pPr>
              <w:shd w:val="clear" w:color="auto" w:fill="FFFFFF"/>
              <w:ind w:hanging="3"/>
              <w:rPr>
                <w:rFonts w:asciiTheme="majorHAnsi" w:eastAsia="MS Gothic" w:hAnsiTheme="majorHAnsi" w:cstheme="majorHAnsi"/>
                <w:sz w:val="22"/>
                <w:szCs w:val="22"/>
              </w:rPr>
            </w:pPr>
            <w:r w:rsidRPr="00261C8A">
              <w:rPr>
                <w:rFonts w:asciiTheme="majorHAnsi" w:eastAsia="MS Gothic" w:hAnsiTheme="majorHAnsi" w:cstheme="majorHAnsi"/>
                <w:sz w:val="22"/>
                <w:szCs w:val="22"/>
              </w:rPr>
              <w:t>GNSO Council Standing Committee on ICANN’s Budget</w:t>
            </w:r>
            <w:r w:rsidR="00E2414E">
              <w:rPr>
                <w:rFonts w:asciiTheme="majorHAnsi" w:eastAsia="MS Gothic" w:hAnsiTheme="majorHAnsi" w:cstheme="majorHAnsi"/>
                <w:sz w:val="22"/>
                <w:szCs w:val="22"/>
              </w:rPr>
              <w:t xml:space="preserve"> </w:t>
            </w:r>
            <w:r w:rsidRPr="00261C8A">
              <w:rPr>
                <w:rFonts w:asciiTheme="majorHAnsi" w:eastAsia="MS Gothic" w:hAnsiTheme="majorHAnsi" w:cstheme="majorHAnsi"/>
                <w:sz w:val="22"/>
                <w:szCs w:val="22"/>
              </w:rPr>
              <w:t>and Operations</w:t>
            </w:r>
            <w:r w:rsidR="00E2414E">
              <w:rPr>
                <w:rFonts w:asciiTheme="majorHAnsi" w:eastAsia="MS Gothic" w:hAnsiTheme="majorHAnsi" w:cstheme="majorHAnsi"/>
                <w:sz w:val="22"/>
                <w:szCs w:val="22"/>
              </w:rPr>
              <w:t xml:space="preserve"> was chartered in December 2017 to</w:t>
            </w:r>
            <w:r w:rsidR="00E2414E" w:rsidRPr="00E2414E">
              <w:rPr>
                <w:rFonts w:asciiTheme="majorHAnsi" w:eastAsia="MS Gothic" w:hAnsiTheme="majorHAnsi" w:cstheme="majorHAnsi"/>
                <w:sz w:val="22"/>
                <w:szCs w:val="22"/>
              </w:rPr>
              <w:t xml:space="preserve"> </w:t>
            </w:r>
            <w:r w:rsidR="00E2414E">
              <w:rPr>
                <w:rFonts w:asciiTheme="majorHAnsi" w:eastAsia="MS Gothic" w:hAnsiTheme="majorHAnsi" w:cstheme="majorHAnsi"/>
                <w:sz w:val="22"/>
                <w:szCs w:val="22"/>
              </w:rPr>
              <w:t>“</w:t>
            </w:r>
            <w:r w:rsidR="00E2414E" w:rsidRPr="00E2414E">
              <w:rPr>
                <w:rFonts w:asciiTheme="majorHAnsi" w:eastAsia="MS Gothic" w:hAnsiTheme="majorHAnsi" w:cstheme="majorHAnsi"/>
                <w:sz w:val="22"/>
                <w:szCs w:val="22"/>
              </w:rPr>
              <w:t>coordinate and</w:t>
            </w:r>
            <w:r w:rsidR="00E2414E">
              <w:rPr>
                <w:rFonts w:asciiTheme="majorHAnsi" w:eastAsia="MS Gothic" w:hAnsiTheme="majorHAnsi" w:cstheme="majorHAnsi"/>
                <w:sz w:val="22"/>
                <w:szCs w:val="22"/>
              </w:rPr>
              <w:t xml:space="preserve"> </w:t>
            </w:r>
            <w:r w:rsidR="00E2414E" w:rsidRPr="00E2414E">
              <w:rPr>
                <w:rFonts w:asciiTheme="majorHAnsi" w:eastAsia="MS Gothic" w:hAnsiTheme="majorHAnsi" w:cstheme="majorHAnsi"/>
                <w:sz w:val="22"/>
                <w:szCs w:val="22"/>
              </w:rPr>
              <w:t>facilitate dialogue to fully understand ICANN's strategic and operational planning and</w:t>
            </w:r>
            <w:r w:rsidR="00E2414E">
              <w:rPr>
                <w:rFonts w:asciiTheme="majorHAnsi" w:eastAsia="MS Gothic" w:hAnsiTheme="majorHAnsi" w:cstheme="majorHAnsi"/>
                <w:sz w:val="22"/>
                <w:szCs w:val="22"/>
              </w:rPr>
              <w:t xml:space="preserve"> </w:t>
            </w:r>
            <w:r w:rsidR="00E2414E" w:rsidRPr="00E2414E">
              <w:rPr>
                <w:rFonts w:asciiTheme="majorHAnsi" w:eastAsia="MS Gothic" w:hAnsiTheme="majorHAnsi" w:cstheme="majorHAnsi"/>
                <w:sz w:val="22"/>
                <w:szCs w:val="22"/>
              </w:rPr>
              <w:t>budgetary processes, in particular in preparation for the annual budgetary comments</w:t>
            </w:r>
            <w:r w:rsidR="00E2414E">
              <w:rPr>
                <w:rFonts w:asciiTheme="majorHAnsi" w:eastAsia="MS Gothic" w:hAnsiTheme="majorHAnsi" w:cstheme="majorHAnsi"/>
                <w:sz w:val="22"/>
                <w:szCs w:val="22"/>
              </w:rPr>
              <w:t xml:space="preserve"> </w:t>
            </w:r>
            <w:r w:rsidR="00E2414E" w:rsidRPr="00E2414E">
              <w:rPr>
                <w:rFonts w:asciiTheme="majorHAnsi" w:eastAsia="MS Gothic" w:hAnsiTheme="majorHAnsi" w:cstheme="majorHAnsi"/>
                <w:sz w:val="22"/>
                <w:szCs w:val="22"/>
              </w:rPr>
              <w:t>cycle as it relates</w:t>
            </w:r>
            <w:r w:rsidR="00E2414E">
              <w:rPr>
                <w:rFonts w:asciiTheme="majorHAnsi" w:eastAsia="MS Gothic" w:hAnsiTheme="majorHAnsi" w:cstheme="majorHAnsi"/>
                <w:sz w:val="22"/>
                <w:szCs w:val="22"/>
              </w:rPr>
              <w:t xml:space="preserve"> to the </w:t>
            </w:r>
            <w:r w:rsidR="00E2414E" w:rsidRPr="00E2414E">
              <w:rPr>
                <w:rFonts w:asciiTheme="majorHAnsi" w:eastAsia="MS Gothic" w:hAnsiTheme="majorHAnsi" w:cstheme="majorHAnsi"/>
                <w:sz w:val="22"/>
                <w:szCs w:val="22"/>
              </w:rPr>
              <w:t>GNSO</w:t>
            </w:r>
            <w:r w:rsidR="00E2414E">
              <w:rPr>
                <w:rFonts w:asciiTheme="majorHAnsi" w:eastAsia="MS Gothic" w:hAnsiTheme="majorHAnsi" w:cstheme="majorHAnsi"/>
                <w:sz w:val="22"/>
                <w:szCs w:val="22"/>
              </w:rPr>
              <w:t xml:space="preserve"> </w:t>
            </w:r>
            <w:r w:rsidR="00E2414E" w:rsidRPr="00E2414E">
              <w:rPr>
                <w:rFonts w:asciiTheme="majorHAnsi" w:eastAsia="MS Gothic" w:hAnsiTheme="majorHAnsi" w:cstheme="majorHAnsi"/>
                <w:sz w:val="22"/>
                <w:szCs w:val="22"/>
              </w:rPr>
              <w:t>Council’s remit.</w:t>
            </w:r>
            <w:r w:rsidR="00E2414E">
              <w:rPr>
                <w:rFonts w:asciiTheme="majorHAnsi" w:eastAsia="MS Gothic" w:hAnsiTheme="majorHAnsi" w:cstheme="majorHAnsi"/>
                <w:sz w:val="22"/>
                <w:szCs w:val="22"/>
              </w:rPr>
              <w:t xml:space="preserve">” </w:t>
            </w:r>
            <w:r w:rsidR="00622A2F">
              <w:rPr>
                <w:rFonts w:asciiTheme="majorHAnsi" w:eastAsia="MS Gothic" w:hAnsiTheme="majorHAnsi" w:cstheme="majorHAnsi"/>
                <w:sz w:val="22"/>
                <w:szCs w:val="22"/>
              </w:rPr>
              <w:t xml:space="preserve">The Standing Committee cannot initiate any action or decision on its own, unless specifically instructed by the GNSO Council – any and all recommendations are submitted to the GNSO Council for its consideration. </w:t>
            </w:r>
          </w:p>
          <w:p w14:paraId="2F8AE27D" w14:textId="77777777" w:rsidR="00622A2F" w:rsidRPr="00622A2F" w:rsidRDefault="00622A2F" w:rsidP="00622A2F">
            <w:pPr>
              <w:shd w:val="clear" w:color="auto" w:fill="FFFFFF"/>
              <w:ind w:hanging="3"/>
              <w:rPr>
                <w:rFonts w:asciiTheme="majorHAnsi" w:eastAsia="MS Gothic" w:hAnsiTheme="majorHAnsi" w:cstheme="majorHAnsi"/>
                <w:sz w:val="22"/>
                <w:szCs w:val="22"/>
              </w:rPr>
            </w:pPr>
          </w:p>
          <w:p w14:paraId="320AA3E8" w14:textId="15759C1C" w:rsidR="00E2414E" w:rsidRDefault="00E2414E" w:rsidP="00622A2F">
            <w:pPr>
              <w:shd w:val="clear" w:color="auto" w:fill="FFFFFF"/>
              <w:ind w:hanging="3"/>
              <w:rPr>
                <w:rFonts w:asciiTheme="majorHAnsi" w:eastAsia="MS Gothic" w:hAnsiTheme="majorHAnsi" w:cstheme="majorHAnsi"/>
                <w:sz w:val="22"/>
                <w:szCs w:val="22"/>
              </w:rPr>
            </w:pPr>
            <w:r>
              <w:rPr>
                <w:rFonts w:asciiTheme="majorHAnsi" w:eastAsia="MS Gothic" w:hAnsiTheme="majorHAnsi" w:cstheme="majorHAnsi"/>
                <w:sz w:val="22"/>
                <w:szCs w:val="22"/>
              </w:rPr>
              <w:t xml:space="preserve">As currently chartered, the Standing Committee provides a mechanism for the GNSO Council to provide input on ICANN’s annual budget </w:t>
            </w:r>
            <w:r w:rsidR="00622A2F">
              <w:rPr>
                <w:rFonts w:asciiTheme="majorHAnsi" w:eastAsia="MS Gothic" w:hAnsiTheme="majorHAnsi" w:cstheme="majorHAnsi"/>
                <w:sz w:val="22"/>
                <w:szCs w:val="22"/>
              </w:rPr>
              <w:t xml:space="preserve">from the Council’s perspective as manager of the GNSO’s policy development process and a Decisional Participant in the Empowered Community. </w:t>
            </w:r>
            <w:r w:rsidR="00D0737E">
              <w:rPr>
                <w:rFonts w:asciiTheme="majorHAnsi" w:eastAsia="MS Gothic" w:hAnsiTheme="majorHAnsi" w:cstheme="majorHAnsi"/>
                <w:sz w:val="22"/>
                <w:szCs w:val="22"/>
              </w:rPr>
              <w:t xml:space="preserve">While it is still in an early stage, the SCBO could potentially be the structure through which the GNSO Council develops input on ICANN’s Strategic Plan, once Strategic Planning for the next cycle begins. </w:t>
            </w:r>
          </w:p>
          <w:p w14:paraId="6204D51F" w14:textId="251C77B5" w:rsidR="00E2414E" w:rsidRDefault="00E2414E" w:rsidP="00622A2F">
            <w:pPr>
              <w:pStyle w:val="FormText1"/>
              <w:widowControl w:val="0"/>
              <w:rPr>
                <w:rFonts w:asciiTheme="majorHAnsi" w:eastAsia="MS Gothic" w:hAnsiTheme="majorHAnsi" w:cstheme="majorHAnsi"/>
                <w:sz w:val="22"/>
                <w:szCs w:val="22"/>
              </w:rPr>
            </w:pPr>
          </w:p>
          <w:p w14:paraId="78D5BFDB" w14:textId="79F54EE5" w:rsidR="004311B8" w:rsidRPr="00622A2F" w:rsidRDefault="00622A2F" w:rsidP="00622A2F">
            <w:pPr>
              <w:pStyle w:val="FormText1"/>
              <w:widowControl w:val="0"/>
              <w:ind w:hanging="3"/>
              <w:rPr>
                <w:rFonts w:asciiTheme="majorHAnsi" w:eastAsia="MS Gothic" w:hAnsiTheme="majorHAnsi" w:cstheme="majorHAnsi"/>
                <w:sz w:val="22"/>
                <w:szCs w:val="22"/>
              </w:rPr>
            </w:pPr>
            <w:r>
              <w:rPr>
                <w:rFonts w:asciiTheme="majorHAnsi" w:eastAsia="MS Gothic" w:hAnsiTheme="majorHAnsi" w:cstheme="majorHAnsi"/>
                <w:sz w:val="22"/>
                <w:szCs w:val="22"/>
              </w:rPr>
              <w:t>The scope</w:t>
            </w:r>
            <w:r w:rsidR="00E2414E">
              <w:rPr>
                <w:rFonts w:asciiTheme="majorHAnsi" w:eastAsia="MS Gothic" w:hAnsiTheme="majorHAnsi" w:cstheme="majorHAnsi"/>
                <w:sz w:val="22"/>
                <w:szCs w:val="22"/>
              </w:rPr>
              <w:t xml:space="preserve"> of the Standing Committee</w:t>
            </w:r>
            <w:r>
              <w:rPr>
                <w:rFonts w:asciiTheme="majorHAnsi" w:eastAsia="MS Gothic" w:hAnsiTheme="majorHAnsi" w:cstheme="majorHAnsi"/>
                <w:sz w:val="22"/>
                <w:szCs w:val="22"/>
              </w:rPr>
              <w:t xml:space="preserve"> could</w:t>
            </w:r>
            <w:r w:rsidR="00E2414E">
              <w:rPr>
                <w:rFonts w:asciiTheme="majorHAnsi" w:eastAsia="MS Gothic" w:hAnsiTheme="majorHAnsi" w:cstheme="majorHAnsi"/>
                <w:sz w:val="22"/>
                <w:szCs w:val="22"/>
              </w:rPr>
              <w:t xml:space="preserve"> be expanded, so that it is also responsible for annually reviewing ICANN’s Strategic Objectives and ensuring that the planning of future GNSO activities is in alignment with these Strategic Objectives. If this additional responsibility was to be added to the Standing Committee’s charter, the analysis of Strategic Objectives would complement existing responsibilities related to analyzing the annual budget.  </w:t>
            </w:r>
          </w:p>
          <w:p w14:paraId="55A8B5D9" w14:textId="7E1FAAC0" w:rsidR="00622A2F" w:rsidRPr="009165D8" w:rsidRDefault="00622A2F" w:rsidP="004311B8">
            <w:pPr>
              <w:widowControl w:val="0"/>
              <w:rPr>
                <w:rFonts w:asciiTheme="majorHAnsi" w:hAnsiTheme="majorHAnsi"/>
                <w:sz w:val="22"/>
                <w:szCs w:val="22"/>
              </w:rPr>
            </w:pPr>
          </w:p>
          <w:p w14:paraId="494AE723" w14:textId="023D8432" w:rsidR="002C1450" w:rsidRPr="009165D8" w:rsidRDefault="002C1450" w:rsidP="004311B8">
            <w:pPr>
              <w:widowControl w:val="0"/>
              <w:rPr>
                <w:rFonts w:asciiTheme="majorHAnsi" w:hAnsiTheme="majorHAnsi" w:cstheme="majorHAnsi"/>
                <w:sz w:val="22"/>
                <w:szCs w:val="22"/>
              </w:rPr>
            </w:pPr>
            <w:r w:rsidRPr="009165D8">
              <w:rPr>
                <w:rFonts w:asciiTheme="majorHAnsi" w:hAnsiTheme="majorHAnsi"/>
                <w:sz w:val="22"/>
                <w:szCs w:val="22"/>
              </w:rPr>
              <w:t xml:space="preserve">Recommendation 21: There are a number of initiatives underway within the ICANN organization to collect data and </w:t>
            </w:r>
            <w:r w:rsidRPr="009165D8">
              <w:rPr>
                <w:rFonts w:asciiTheme="majorHAnsi" w:hAnsiTheme="majorHAnsi" w:cstheme="majorHAnsi"/>
                <w:sz w:val="22"/>
                <w:szCs w:val="22"/>
              </w:rPr>
              <w:t xml:space="preserve">analyze trends in gTLDs to support decision-making by the ICANN organization and the ICANN community, including the GNSO. This data can be leveraged by Policy Development Process Working Groups and the GNSO Council to forecast likely requirements for policy and to </w:t>
            </w:r>
            <w:r w:rsidR="008B4130">
              <w:rPr>
                <w:rFonts w:asciiTheme="majorHAnsi" w:hAnsiTheme="majorHAnsi" w:cstheme="majorHAnsi"/>
                <w:sz w:val="22"/>
                <w:szCs w:val="22"/>
              </w:rPr>
              <w:t>ensure those affected are well-</w:t>
            </w:r>
            <w:r w:rsidRPr="009165D8">
              <w:rPr>
                <w:rFonts w:asciiTheme="majorHAnsi" w:hAnsiTheme="majorHAnsi" w:cstheme="majorHAnsi"/>
                <w:sz w:val="22"/>
                <w:szCs w:val="22"/>
              </w:rPr>
              <w:t>represented in the policy-making process.</w:t>
            </w:r>
          </w:p>
          <w:p w14:paraId="63E56DB0" w14:textId="73ADF7A3" w:rsidR="002C1450" w:rsidRPr="009165D8" w:rsidRDefault="002C1450" w:rsidP="004311B8">
            <w:pPr>
              <w:widowControl w:val="0"/>
              <w:rPr>
                <w:rFonts w:asciiTheme="majorHAnsi" w:hAnsiTheme="majorHAnsi" w:cstheme="majorHAnsi"/>
                <w:sz w:val="22"/>
                <w:szCs w:val="22"/>
              </w:rPr>
            </w:pPr>
          </w:p>
          <w:p w14:paraId="37C5ED16" w14:textId="04D22D40" w:rsidR="002C1450" w:rsidRDefault="002C1450" w:rsidP="001129C4">
            <w:pPr>
              <w:rPr>
                <w:rFonts w:asciiTheme="majorHAnsi" w:eastAsiaTheme="minorEastAsia" w:hAnsiTheme="majorHAnsi"/>
                <w:sz w:val="22"/>
                <w:szCs w:val="22"/>
              </w:rPr>
            </w:pPr>
            <w:r w:rsidRPr="009165D8">
              <w:rPr>
                <w:rFonts w:asciiTheme="majorHAnsi" w:eastAsiaTheme="minorEastAsia" w:hAnsiTheme="majorHAnsi"/>
                <w:sz w:val="22"/>
                <w:szCs w:val="22"/>
              </w:rPr>
              <w:t xml:space="preserve">The gTLD Marketplace Health Index </w:t>
            </w:r>
            <w:r w:rsidR="009165D8">
              <w:rPr>
                <w:rFonts w:asciiTheme="majorHAnsi" w:eastAsiaTheme="minorEastAsia" w:hAnsiTheme="majorHAnsi"/>
                <w:sz w:val="22"/>
                <w:szCs w:val="22"/>
              </w:rPr>
              <w:t>is an ongoing project producing</w:t>
            </w:r>
            <w:r w:rsidRPr="009165D8">
              <w:rPr>
                <w:rFonts w:asciiTheme="majorHAnsi" w:eastAsiaTheme="minorEastAsia" w:hAnsiTheme="majorHAnsi"/>
                <w:sz w:val="22"/>
                <w:szCs w:val="22"/>
              </w:rPr>
              <w:t xml:space="preserve"> statistics and </w:t>
            </w:r>
            <w:r w:rsidR="00BC541E">
              <w:rPr>
                <w:rFonts w:asciiTheme="majorHAnsi" w:eastAsiaTheme="minorEastAsia" w:hAnsiTheme="majorHAnsi"/>
                <w:sz w:val="22"/>
                <w:szCs w:val="22"/>
              </w:rPr>
              <w:t xml:space="preserve">examining </w:t>
            </w:r>
            <w:r w:rsidRPr="009165D8">
              <w:rPr>
                <w:rFonts w:asciiTheme="majorHAnsi" w:eastAsiaTheme="minorEastAsia" w:hAnsiTheme="majorHAnsi"/>
                <w:sz w:val="22"/>
                <w:szCs w:val="22"/>
              </w:rPr>
              <w:t xml:space="preserve">trends related to </w:t>
            </w:r>
            <w:r w:rsidR="001129C4">
              <w:rPr>
                <w:rFonts w:asciiTheme="majorHAnsi" w:eastAsiaTheme="minorEastAsia" w:hAnsiTheme="majorHAnsi"/>
                <w:sz w:val="22"/>
                <w:szCs w:val="22"/>
              </w:rPr>
              <w:t xml:space="preserve">the health and diversity </w:t>
            </w:r>
            <w:r w:rsidR="00BC541E">
              <w:rPr>
                <w:rFonts w:asciiTheme="majorHAnsi" w:eastAsiaTheme="minorEastAsia" w:hAnsiTheme="majorHAnsi"/>
                <w:sz w:val="22"/>
                <w:szCs w:val="22"/>
              </w:rPr>
              <w:t>of the generic top-level domain</w:t>
            </w:r>
            <w:r w:rsidR="001129C4">
              <w:rPr>
                <w:rFonts w:asciiTheme="majorHAnsi" w:eastAsiaTheme="minorEastAsia" w:hAnsiTheme="majorHAnsi"/>
                <w:sz w:val="22"/>
                <w:szCs w:val="22"/>
              </w:rPr>
              <w:t xml:space="preserve"> (gTLD</w:t>
            </w:r>
            <w:r w:rsidRPr="009165D8">
              <w:rPr>
                <w:rFonts w:asciiTheme="majorHAnsi" w:eastAsiaTheme="minorEastAsia" w:hAnsiTheme="majorHAnsi"/>
                <w:sz w:val="22"/>
                <w:szCs w:val="22"/>
              </w:rPr>
              <w:t>)</w:t>
            </w:r>
            <w:r w:rsidR="001129C4">
              <w:rPr>
                <w:rFonts w:asciiTheme="majorHAnsi" w:eastAsiaTheme="minorEastAsia" w:hAnsiTheme="majorHAnsi"/>
                <w:sz w:val="22"/>
                <w:szCs w:val="22"/>
              </w:rPr>
              <w:t xml:space="preserve"> marketplace. </w:t>
            </w:r>
            <w:r w:rsidRPr="009165D8">
              <w:rPr>
                <w:rFonts w:asciiTheme="majorHAnsi" w:eastAsiaTheme="minorEastAsia" w:hAnsiTheme="majorHAnsi"/>
                <w:sz w:val="22"/>
                <w:szCs w:val="22"/>
              </w:rPr>
              <w:t xml:space="preserve">ICANN </w:t>
            </w:r>
            <w:r w:rsidR="009165D8">
              <w:rPr>
                <w:rFonts w:asciiTheme="majorHAnsi" w:eastAsiaTheme="minorEastAsia" w:hAnsiTheme="majorHAnsi"/>
                <w:sz w:val="22"/>
                <w:szCs w:val="22"/>
              </w:rPr>
              <w:t>will</w:t>
            </w:r>
            <w:r w:rsidRPr="009165D8">
              <w:rPr>
                <w:rFonts w:asciiTheme="majorHAnsi" w:eastAsiaTheme="minorEastAsia" w:hAnsiTheme="majorHAnsi"/>
                <w:sz w:val="22"/>
                <w:szCs w:val="22"/>
              </w:rPr>
              <w:t xml:space="preserve"> continue to publish these statistics semi-annually to track progress against its goal for the domain name marketplace </w:t>
            </w:r>
            <w:r w:rsidR="004B2C1F">
              <w:rPr>
                <w:rFonts w:asciiTheme="majorHAnsi" w:eastAsiaTheme="minorEastAsia" w:hAnsiTheme="majorHAnsi"/>
                <w:sz w:val="22"/>
                <w:szCs w:val="22"/>
              </w:rPr>
              <w:t>to</w:t>
            </w:r>
            <w:r w:rsidRPr="009165D8">
              <w:rPr>
                <w:rFonts w:asciiTheme="majorHAnsi" w:eastAsiaTheme="minorEastAsia" w:hAnsiTheme="majorHAnsi"/>
                <w:sz w:val="22"/>
                <w:szCs w:val="22"/>
              </w:rPr>
              <w:t xml:space="preserve"> be robust, stable and trusted. </w:t>
            </w:r>
            <w:r w:rsidR="009165D8">
              <w:rPr>
                <w:rFonts w:asciiTheme="majorHAnsi" w:eastAsiaTheme="minorEastAsia" w:hAnsiTheme="majorHAnsi"/>
                <w:sz w:val="22"/>
                <w:szCs w:val="22"/>
              </w:rPr>
              <w:t>The project has created a set of beta metrics that will be used as a basis for further development of metrics in the future. The December 2017 Beta Report (</w:t>
            </w:r>
            <w:hyperlink r:id="rId9" w:history="1">
              <w:r w:rsidR="009165D8" w:rsidRPr="00A81475">
                <w:rPr>
                  <w:rStyle w:val="Hyperlink"/>
                  <w:rFonts w:asciiTheme="majorHAnsi" w:eastAsiaTheme="minorEastAsia" w:hAnsiTheme="majorHAnsi"/>
                  <w:sz w:val="22"/>
                  <w:szCs w:val="22"/>
                </w:rPr>
                <w:t>https://www.icann.org/en/system/files/files/gtld-marketplace-health-index-beta-14dec17-en.pdf</w:t>
              </w:r>
            </w:hyperlink>
            <w:r w:rsidR="009165D8">
              <w:rPr>
                <w:rFonts w:asciiTheme="majorHAnsi" w:eastAsiaTheme="minorEastAsia" w:hAnsiTheme="majorHAnsi"/>
                <w:sz w:val="22"/>
                <w:szCs w:val="22"/>
              </w:rPr>
              <w:t>) f</w:t>
            </w:r>
            <w:r w:rsidR="009165D8" w:rsidRPr="009165D8">
              <w:rPr>
                <w:rFonts w:asciiTheme="majorHAnsi" w:eastAsiaTheme="minorEastAsia" w:hAnsiTheme="majorHAnsi"/>
                <w:sz w:val="22"/>
                <w:szCs w:val="22"/>
              </w:rPr>
              <w:t>eatures 26 beta metrics and 267 individual data points</w:t>
            </w:r>
            <w:r w:rsidR="009165D8">
              <w:rPr>
                <w:rFonts w:asciiTheme="majorHAnsi" w:eastAsiaTheme="minorEastAsia" w:hAnsiTheme="majorHAnsi"/>
                <w:sz w:val="22"/>
                <w:szCs w:val="22"/>
              </w:rPr>
              <w:t xml:space="preserve"> under three goals: </w:t>
            </w:r>
            <w:r w:rsidRPr="009165D8">
              <w:rPr>
                <w:rFonts w:asciiTheme="majorHAnsi" w:eastAsiaTheme="minorEastAsia" w:hAnsiTheme="majorHAnsi"/>
                <w:sz w:val="22"/>
                <w:szCs w:val="22"/>
              </w:rPr>
              <w:t>Robust Competition</w:t>
            </w:r>
            <w:r w:rsidR="009165D8">
              <w:rPr>
                <w:rFonts w:asciiTheme="majorHAnsi" w:eastAsiaTheme="minorEastAsia" w:hAnsiTheme="majorHAnsi"/>
                <w:sz w:val="22"/>
                <w:szCs w:val="22"/>
              </w:rPr>
              <w:t xml:space="preserve">; </w:t>
            </w:r>
            <w:r w:rsidRPr="009165D8">
              <w:rPr>
                <w:rFonts w:asciiTheme="majorHAnsi" w:eastAsiaTheme="minorEastAsia" w:hAnsiTheme="majorHAnsi"/>
                <w:sz w:val="22"/>
                <w:szCs w:val="22"/>
              </w:rPr>
              <w:t>Marketplace Stability</w:t>
            </w:r>
            <w:r w:rsidR="009165D8">
              <w:rPr>
                <w:rFonts w:asciiTheme="majorHAnsi" w:eastAsiaTheme="minorEastAsia" w:hAnsiTheme="majorHAnsi"/>
                <w:sz w:val="22"/>
                <w:szCs w:val="22"/>
              </w:rPr>
              <w:t>; and</w:t>
            </w:r>
            <w:r w:rsidRPr="009165D8">
              <w:rPr>
                <w:rFonts w:asciiTheme="majorHAnsi" w:eastAsiaTheme="minorEastAsia" w:hAnsiTheme="majorHAnsi"/>
                <w:sz w:val="22"/>
                <w:szCs w:val="22"/>
              </w:rPr>
              <w:t xml:space="preserve"> Trust</w:t>
            </w:r>
            <w:r w:rsidR="009165D8">
              <w:rPr>
                <w:rFonts w:asciiTheme="majorHAnsi" w:eastAsiaTheme="minorEastAsia" w:hAnsiTheme="majorHAnsi"/>
                <w:sz w:val="22"/>
                <w:szCs w:val="22"/>
              </w:rPr>
              <w:t>.</w:t>
            </w:r>
            <w:r w:rsidR="001129C4">
              <w:rPr>
                <w:rFonts w:asciiTheme="majorHAnsi" w:eastAsiaTheme="minorEastAsia" w:hAnsiTheme="majorHAnsi"/>
                <w:sz w:val="22"/>
                <w:szCs w:val="22"/>
              </w:rPr>
              <w:t xml:space="preserve"> The current timeline for </w:t>
            </w:r>
            <w:r w:rsidR="00BC541E">
              <w:rPr>
                <w:rFonts w:asciiTheme="majorHAnsi" w:eastAsiaTheme="minorEastAsia" w:hAnsiTheme="majorHAnsi"/>
                <w:sz w:val="22"/>
                <w:szCs w:val="22"/>
              </w:rPr>
              <w:t>planned</w:t>
            </w:r>
            <w:r w:rsidR="001129C4">
              <w:rPr>
                <w:rFonts w:asciiTheme="majorHAnsi" w:eastAsiaTheme="minorEastAsia" w:hAnsiTheme="majorHAnsi"/>
                <w:sz w:val="22"/>
                <w:szCs w:val="22"/>
              </w:rPr>
              <w:t xml:space="preserve"> work on this project is available under section 2.3 of the Accountability Indicators webpage (</w:t>
            </w:r>
            <w:hyperlink r:id="rId10" w:history="1">
              <w:r w:rsidR="001129C4" w:rsidRPr="00A81475">
                <w:rPr>
                  <w:rStyle w:val="Hyperlink"/>
                  <w:rFonts w:asciiTheme="majorHAnsi" w:eastAsiaTheme="minorEastAsia" w:hAnsiTheme="majorHAnsi"/>
                  <w:sz w:val="22"/>
                  <w:szCs w:val="22"/>
                </w:rPr>
                <w:t>https://www.icann.org/accountability-indicators</w:t>
              </w:r>
            </w:hyperlink>
            <w:r w:rsidR="001129C4">
              <w:rPr>
                <w:rFonts w:asciiTheme="majorHAnsi" w:eastAsiaTheme="minorEastAsia" w:hAnsiTheme="majorHAnsi"/>
                <w:sz w:val="22"/>
                <w:szCs w:val="22"/>
              </w:rPr>
              <w:t xml:space="preserve">). </w:t>
            </w:r>
          </w:p>
          <w:p w14:paraId="7BF3D993" w14:textId="54EEDFE7" w:rsidR="00460B2C" w:rsidRDefault="00460B2C" w:rsidP="001129C4">
            <w:pPr>
              <w:rPr>
                <w:rFonts w:asciiTheme="majorHAnsi" w:eastAsiaTheme="minorEastAsia" w:hAnsiTheme="majorHAnsi"/>
                <w:sz w:val="22"/>
                <w:szCs w:val="22"/>
              </w:rPr>
            </w:pPr>
          </w:p>
          <w:p w14:paraId="76AC30D4" w14:textId="450A9CBD" w:rsidR="00460B2C" w:rsidRDefault="00460B2C" w:rsidP="00460B2C">
            <w:r w:rsidRPr="00460B2C">
              <w:rPr>
                <w:rFonts w:asciiTheme="majorHAnsi" w:eastAsiaTheme="minorEastAsia" w:hAnsiTheme="majorHAnsi"/>
                <w:sz w:val="22"/>
                <w:szCs w:val="22"/>
              </w:rPr>
              <w:t xml:space="preserve">ICANN's Domain Abuse Activity Reporting (DAAR) project </w:t>
            </w:r>
            <w:r>
              <w:rPr>
                <w:rFonts w:asciiTheme="majorHAnsi" w:eastAsiaTheme="minorEastAsia" w:hAnsiTheme="majorHAnsi"/>
                <w:sz w:val="22"/>
                <w:szCs w:val="22"/>
              </w:rPr>
              <w:t>(</w:t>
            </w:r>
            <w:hyperlink r:id="rId11" w:history="1">
              <w:r w:rsidRPr="00A81475">
                <w:rPr>
                  <w:rStyle w:val="Hyperlink"/>
                  <w:rFonts w:asciiTheme="majorHAnsi" w:eastAsiaTheme="minorEastAsia" w:hAnsiTheme="majorHAnsi"/>
                  <w:sz w:val="22"/>
                  <w:szCs w:val="22"/>
                </w:rPr>
                <w:t>https://www.icann.org/octo-ssr/daar</w:t>
              </w:r>
            </w:hyperlink>
            <w:r>
              <w:rPr>
                <w:rFonts w:asciiTheme="majorHAnsi" w:eastAsiaTheme="minorEastAsia" w:hAnsiTheme="majorHAnsi"/>
                <w:sz w:val="22"/>
                <w:szCs w:val="22"/>
              </w:rPr>
              <w:t xml:space="preserve">) </w:t>
            </w:r>
            <w:r w:rsidRPr="00460B2C">
              <w:rPr>
                <w:rFonts w:asciiTheme="majorHAnsi" w:eastAsiaTheme="minorEastAsia" w:hAnsiTheme="majorHAnsi"/>
                <w:sz w:val="22"/>
                <w:szCs w:val="22"/>
              </w:rPr>
              <w:t>is a system for studying and reporting on domain name registration and security threat (domain abuse) behavior across top-</w:t>
            </w:r>
            <w:r w:rsidRPr="00460B2C">
              <w:rPr>
                <w:rFonts w:asciiTheme="majorHAnsi" w:eastAsiaTheme="minorEastAsia" w:hAnsiTheme="majorHAnsi" w:cstheme="majorHAnsi"/>
                <w:sz w:val="22"/>
                <w:szCs w:val="22"/>
              </w:rPr>
              <w:t>level domain (TLD) registries and registrars. The overarching purpose of DAAR is to report security threat activity to the ICANN community, which can then use the data to facilitate informed policy decisions. The data collected by the DAAR system can serve as a platform for studying or reporting daily or historical registration or abuse activity</w:t>
            </w:r>
            <w:r w:rsidRPr="00BC541E">
              <w:rPr>
                <w:rFonts w:asciiTheme="majorHAnsi" w:eastAsiaTheme="minorEastAsia" w:hAnsiTheme="majorHAnsi" w:cstheme="majorHAnsi"/>
                <w:color w:val="000000" w:themeColor="text1"/>
                <w:sz w:val="22"/>
                <w:szCs w:val="22"/>
              </w:rPr>
              <w:t>. ICANN Office of the CTO (</w:t>
            </w:r>
            <w:r w:rsidRPr="00BC541E">
              <w:rPr>
                <w:rFonts w:asciiTheme="majorHAnsi" w:hAnsiTheme="majorHAnsi" w:cstheme="majorHAnsi"/>
                <w:color w:val="000000" w:themeColor="text1"/>
                <w:sz w:val="22"/>
                <w:szCs w:val="22"/>
                <w:shd w:val="clear" w:color="auto" w:fill="FFFFFF"/>
              </w:rPr>
              <w:t>OCTO) will be working with the </w:t>
            </w:r>
            <w:r w:rsidRPr="00BC541E">
              <w:rPr>
                <w:rFonts w:asciiTheme="majorHAnsi" w:hAnsiTheme="majorHAnsi" w:cstheme="majorHAnsi"/>
                <w:color w:val="000000" w:themeColor="text1"/>
                <w:sz w:val="22"/>
                <w:szCs w:val="22"/>
              </w:rPr>
              <w:t>ICANN</w:t>
            </w:r>
            <w:r w:rsidRPr="00BC541E">
              <w:rPr>
                <w:rFonts w:asciiTheme="majorHAnsi" w:hAnsiTheme="majorHAnsi" w:cstheme="majorHAnsi"/>
                <w:color w:val="000000" w:themeColor="text1"/>
                <w:sz w:val="22"/>
                <w:szCs w:val="22"/>
                <w:shd w:val="clear" w:color="auto" w:fill="FFFFFF"/>
              </w:rPr>
              <w:t> community to determine the best way to share the statistics and analyses derived from data that DAAR collects.</w:t>
            </w:r>
          </w:p>
          <w:p w14:paraId="76A072F0" w14:textId="432BD5E0" w:rsidR="004B2C1F" w:rsidRDefault="004B2C1F" w:rsidP="001129C4">
            <w:pPr>
              <w:rPr>
                <w:rFonts w:asciiTheme="majorHAnsi" w:eastAsiaTheme="minorEastAsia" w:hAnsiTheme="majorHAnsi"/>
                <w:sz w:val="22"/>
                <w:szCs w:val="22"/>
              </w:rPr>
            </w:pPr>
          </w:p>
          <w:p w14:paraId="1A365178" w14:textId="5827AFCB" w:rsidR="004B2C1F" w:rsidRPr="00BC541E" w:rsidRDefault="004B2C1F" w:rsidP="004B2C1F">
            <w:pPr>
              <w:rPr>
                <w:rFonts w:asciiTheme="majorHAnsi" w:eastAsiaTheme="minorEastAsia" w:hAnsiTheme="majorHAnsi"/>
                <w:color w:val="000000" w:themeColor="text1"/>
                <w:sz w:val="22"/>
                <w:szCs w:val="22"/>
              </w:rPr>
            </w:pPr>
            <w:r w:rsidRPr="00BC541E">
              <w:rPr>
                <w:rFonts w:asciiTheme="majorHAnsi" w:eastAsiaTheme="minorEastAsia" w:hAnsiTheme="majorHAnsi"/>
                <w:color w:val="000000" w:themeColor="text1"/>
                <w:sz w:val="22"/>
                <w:szCs w:val="22"/>
              </w:rPr>
              <w:t>The Identifier Technologies Health Indicators</w:t>
            </w:r>
            <w:r w:rsidR="00362514" w:rsidRPr="00BC541E">
              <w:rPr>
                <w:rFonts w:asciiTheme="majorHAnsi" w:eastAsiaTheme="minorEastAsia" w:hAnsiTheme="majorHAnsi"/>
                <w:color w:val="000000" w:themeColor="text1"/>
                <w:sz w:val="22"/>
                <w:szCs w:val="22"/>
              </w:rPr>
              <w:t xml:space="preserve"> </w:t>
            </w:r>
            <w:r w:rsidR="00362514">
              <w:rPr>
                <w:rFonts w:asciiTheme="majorHAnsi" w:eastAsiaTheme="minorEastAsia" w:hAnsiTheme="majorHAnsi"/>
                <w:sz w:val="22"/>
                <w:szCs w:val="22"/>
              </w:rPr>
              <w:t>(</w:t>
            </w:r>
            <w:hyperlink r:id="rId12" w:history="1">
              <w:r w:rsidR="00362514" w:rsidRPr="00A81475">
                <w:rPr>
                  <w:rStyle w:val="Hyperlink"/>
                  <w:rFonts w:asciiTheme="majorHAnsi" w:eastAsiaTheme="minorEastAsia" w:hAnsiTheme="majorHAnsi"/>
                  <w:sz w:val="22"/>
                  <w:szCs w:val="22"/>
                </w:rPr>
                <w:t>https://www.icann.org/ithi</w:t>
              </w:r>
            </w:hyperlink>
            <w:r w:rsidR="00362514">
              <w:rPr>
                <w:rFonts w:asciiTheme="majorHAnsi" w:eastAsiaTheme="minorEastAsia" w:hAnsiTheme="majorHAnsi"/>
                <w:sz w:val="22"/>
                <w:szCs w:val="22"/>
              </w:rPr>
              <w:t xml:space="preserve">) </w:t>
            </w:r>
            <w:r w:rsidRPr="00BC541E">
              <w:rPr>
                <w:rFonts w:asciiTheme="majorHAnsi" w:eastAsiaTheme="minorEastAsia" w:hAnsiTheme="majorHAnsi"/>
                <w:color w:val="000000" w:themeColor="text1"/>
                <w:sz w:val="22"/>
                <w:szCs w:val="22"/>
              </w:rPr>
              <w:t>is a project organized by the ICANN Office of the CTO (OCTO) to develop metrics to quantify and measure the state of the unique Internet identifiers that ICANN helps coordinate. The primary targets of this work are the operational communities – Domain Names, Numbering Resources, and Protocol Parameters</w:t>
            </w:r>
            <w:r w:rsidR="008B4130" w:rsidRPr="00BC541E">
              <w:rPr>
                <w:rFonts w:asciiTheme="majorHAnsi" w:eastAsiaTheme="minorEastAsia" w:hAnsiTheme="majorHAnsi"/>
                <w:color w:val="000000" w:themeColor="text1"/>
                <w:sz w:val="22"/>
                <w:szCs w:val="22"/>
              </w:rPr>
              <w:t>. S</w:t>
            </w:r>
            <w:r w:rsidRPr="00BC541E">
              <w:rPr>
                <w:rFonts w:asciiTheme="majorHAnsi" w:eastAsiaTheme="minorEastAsia" w:hAnsiTheme="majorHAnsi"/>
                <w:color w:val="000000" w:themeColor="text1"/>
                <w:sz w:val="22"/>
                <w:szCs w:val="22"/>
              </w:rPr>
              <w:t xml:space="preserve">pecific metrics </w:t>
            </w:r>
            <w:r w:rsidR="00362514" w:rsidRPr="00BC541E">
              <w:rPr>
                <w:rFonts w:asciiTheme="majorHAnsi" w:eastAsiaTheme="minorEastAsia" w:hAnsiTheme="majorHAnsi"/>
                <w:color w:val="000000" w:themeColor="text1"/>
                <w:sz w:val="22"/>
                <w:szCs w:val="22"/>
              </w:rPr>
              <w:t>are still being</w:t>
            </w:r>
            <w:r w:rsidR="008B4130" w:rsidRPr="00BC541E">
              <w:rPr>
                <w:rFonts w:asciiTheme="majorHAnsi" w:eastAsiaTheme="minorEastAsia" w:hAnsiTheme="majorHAnsi"/>
                <w:color w:val="000000" w:themeColor="text1"/>
                <w:sz w:val="22"/>
                <w:szCs w:val="22"/>
              </w:rPr>
              <w:t xml:space="preserve"> developed, but t</w:t>
            </w:r>
            <w:r w:rsidR="00362514" w:rsidRPr="00BC541E">
              <w:rPr>
                <w:rFonts w:asciiTheme="majorHAnsi" w:eastAsiaTheme="minorEastAsia" w:hAnsiTheme="majorHAnsi"/>
                <w:color w:val="000000" w:themeColor="text1"/>
                <w:sz w:val="22"/>
                <w:szCs w:val="22"/>
              </w:rPr>
              <w:t>his initiative</w:t>
            </w:r>
            <w:r w:rsidR="008B4130" w:rsidRPr="00BC541E">
              <w:rPr>
                <w:rFonts w:asciiTheme="majorHAnsi" w:eastAsiaTheme="minorEastAsia" w:hAnsiTheme="majorHAnsi"/>
                <w:color w:val="000000" w:themeColor="text1"/>
                <w:sz w:val="22"/>
                <w:szCs w:val="22"/>
              </w:rPr>
              <w:t xml:space="preserve"> </w:t>
            </w:r>
            <w:r w:rsidR="004C027F" w:rsidRPr="00BC541E">
              <w:rPr>
                <w:rFonts w:asciiTheme="majorHAnsi" w:eastAsiaTheme="minorEastAsia" w:hAnsiTheme="majorHAnsi"/>
                <w:color w:val="000000" w:themeColor="text1"/>
                <w:sz w:val="22"/>
                <w:szCs w:val="22"/>
              </w:rPr>
              <w:t>will likely</w:t>
            </w:r>
            <w:r w:rsidR="00362514" w:rsidRPr="00BC541E">
              <w:rPr>
                <w:rFonts w:asciiTheme="majorHAnsi" w:eastAsiaTheme="minorEastAsia" w:hAnsiTheme="majorHAnsi"/>
                <w:color w:val="000000" w:themeColor="text1"/>
                <w:sz w:val="22"/>
                <w:szCs w:val="22"/>
              </w:rPr>
              <w:t xml:space="preserve"> produce data that can inform GNSO activities. </w:t>
            </w:r>
          </w:p>
          <w:p w14:paraId="0721CE18" w14:textId="08868D00" w:rsidR="004B2C1F" w:rsidRPr="004B2C1F" w:rsidRDefault="004B2C1F" w:rsidP="004B2C1F">
            <w:pPr>
              <w:rPr>
                <w:rFonts w:asciiTheme="majorHAnsi" w:eastAsiaTheme="minorEastAsia" w:hAnsiTheme="majorHAnsi"/>
                <w:sz w:val="22"/>
                <w:szCs w:val="22"/>
              </w:rPr>
            </w:pPr>
          </w:p>
          <w:p w14:paraId="79802948" w14:textId="6E889FD1" w:rsidR="00BC541E" w:rsidRPr="008B4130" w:rsidRDefault="00B96E42" w:rsidP="008B4130">
            <w:pPr>
              <w:rPr>
                <w:rFonts w:asciiTheme="majorHAnsi" w:hAnsiTheme="majorHAnsi" w:cstheme="majorHAnsi"/>
                <w:sz w:val="22"/>
                <w:szCs w:val="22"/>
              </w:rPr>
            </w:pPr>
            <w:r w:rsidRPr="008B4130">
              <w:rPr>
                <w:rFonts w:asciiTheme="majorHAnsi" w:eastAsiaTheme="minorEastAsia" w:hAnsiTheme="majorHAnsi" w:cstheme="majorHAnsi"/>
                <w:sz w:val="22"/>
                <w:szCs w:val="22"/>
              </w:rPr>
              <w:t xml:space="preserve">ICANN has recently collected a significant amount of data </w:t>
            </w:r>
            <w:r w:rsidR="008B4130">
              <w:rPr>
                <w:rFonts w:asciiTheme="majorHAnsi" w:eastAsiaTheme="minorEastAsia" w:hAnsiTheme="majorHAnsi" w:cstheme="majorHAnsi"/>
                <w:sz w:val="22"/>
                <w:szCs w:val="22"/>
              </w:rPr>
              <w:t xml:space="preserve">and commissioned additional studies </w:t>
            </w:r>
            <w:r w:rsidRPr="008B4130">
              <w:rPr>
                <w:rFonts w:asciiTheme="majorHAnsi" w:eastAsiaTheme="minorEastAsia" w:hAnsiTheme="majorHAnsi" w:cstheme="majorHAnsi"/>
                <w:sz w:val="22"/>
                <w:szCs w:val="22"/>
              </w:rPr>
              <w:t xml:space="preserve">to support the </w:t>
            </w:r>
            <w:r w:rsidRPr="008B4130">
              <w:rPr>
                <w:rFonts w:asciiTheme="majorHAnsi" w:eastAsiaTheme="minorEastAsia" w:hAnsiTheme="majorHAnsi" w:cstheme="majorHAnsi"/>
                <w:bCs/>
                <w:sz w:val="22"/>
                <w:szCs w:val="22"/>
              </w:rPr>
              <w:t xml:space="preserve">Competition, Consumer Trust and Consumer Choice (CCT) Review. </w:t>
            </w:r>
            <w:r w:rsidRPr="008B4130">
              <w:rPr>
                <w:rFonts w:asciiTheme="majorHAnsi" w:eastAsiaTheme="minorEastAsia" w:hAnsiTheme="majorHAnsi" w:cstheme="majorHAnsi"/>
                <w:bCs/>
                <w:color w:val="000000" w:themeColor="text1"/>
                <w:sz w:val="22"/>
                <w:szCs w:val="22"/>
              </w:rPr>
              <w:t>Studies include Phase I and Phase II</w:t>
            </w:r>
            <w:r w:rsidRPr="008B4130">
              <w:rPr>
                <w:rFonts w:asciiTheme="majorHAnsi" w:eastAsiaTheme="minorEastAsia" w:hAnsiTheme="majorHAnsi" w:cstheme="majorHAnsi"/>
                <w:bCs/>
                <w:i/>
                <w:color w:val="000000" w:themeColor="text1"/>
                <w:sz w:val="22"/>
                <w:szCs w:val="22"/>
              </w:rPr>
              <w:t xml:space="preserve"> </w:t>
            </w:r>
            <w:r w:rsidRPr="008B4130">
              <w:rPr>
                <w:rStyle w:val="Emphasis"/>
                <w:rFonts w:asciiTheme="majorHAnsi" w:eastAsiaTheme="majorEastAsia" w:hAnsiTheme="majorHAnsi" w:cstheme="majorHAnsi"/>
                <w:i w:val="0"/>
                <w:color w:val="000000" w:themeColor="text1"/>
                <w:sz w:val="22"/>
                <w:szCs w:val="22"/>
                <w:shd w:val="clear" w:color="auto" w:fill="FFFFFF"/>
              </w:rPr>
              <w:t>Assessments of the Competitive Effects Associated with the New gTLD Program, Wave 1 and Wave 2 Global Consumer Research</w:t>
            </w:r>
            <w:r w:rsidRPr="008B4130">
              <w:rPr>
                <w:rFonts w:asciiTheme="majorHAnsi" w:hAnsiTheme="majorHAnsi" w:cstheme="majorHAnsi"/>
                <w:i/>
                <w:color w:val="000000" w:themeColor="text1"/>
                <w:sz w:val="22"/>
                <w:szCs w:val="22"/>
                <w:shd w:val="clear" w:color="auto" w:fill="FFFFFF"/>
              </w:rPr>
              <w:t> </w:t>
            </w:r>
            <w:r w:rsidR="00BC541E">
              <w:rPr>
                <w:rFonts w:asciiTheme="majorHAnsi" w:hAnsiTheme="majorHAnsi" w:cstheme="majorHAnsi"/>
                <w:color w:val="000000" w:themeColor="text1"/>
                <w:sz w:val="22"/>
                <w:szCs w:val="22"/>
                <w:shd w:val="clear" w:color="auto" w:fill="FFFFFF"/>
              </w:rPr>
              <w:t>S</w:t>
            </w:r>
            <w:r w:rsidRPr="008B4130">
              <w:rPr>
                <w:rFonts w:asciiTheme="majorHAnsi" w:hAnsiTheme="majorHAnsi" w:cstheme="majorHAnsi"/>
                <w:color w:val="000000" w:themeColor="text1"/>
                <w:sz w:val="22"/>
                <w:szCs w:val="22"/>
                <w:shd w:val="clear" w:color="auto" w:fill="FFFFFF"/>
              </w:rPr>
              <w:t>tudies, Wave 1 and Wave 2</w:t>
            </w:r>
            <w:r w:rsidRPr="008B4130">
              <w:rPr>
                <w:rFonts w:asciiTheme="majorHAnsi" w:hAnsiTheme="majorHAnsi" w:cstheme="majorHAnsi"/>
                <w:i/>
                <w:color w:val="000000" w:themeColor="text1"/>
                <w:sz w:val="22"/>
                <w:szCs w:val="22"/>
                <w:shd w:val="clear" w:color="auto" w:fill="FFFFFF"/>
              </w:rPr>
              <w:t xml:space="preserve"> </w:t>
            </w:r>
            <w:r w:rsidRPr="008B4130">
              <w:rPr>
                <w:rStyle w:val="Emphasis"/>
                <w:rFonts w:asciiTheme="majorHAnsi" w:eastAsiaTheme="majorEastAsia" w:hAnsiTheme="majorHAnsi" w:cstheme="majorHAnsi"/>
                <w:i w:val="0"/>
                <w:color w:val="000000" w:themeColor="text1"/>
                <w:sz w:val="22"/>
                <w:szCs w:val="22"/>
                <w:shd w:val="clear" w:color="auto" w:fill="FFFFFF"/>
              </w:rPr>
              <w:t>Global Registrant Surveys, an Application Process Survey, and the AMGlobal Report “New gTLDs and the Global South: Understanding Limited Global South Demand in the Most Recent New gTLD Round and Options Going Forward</w:t>
            </w:r>
            <w:r w:rsidRPr="008B4130">
              <w:rPr>
                <w:rFonts w:asciiTheme="majorHAnsi" w:hAnsiTheme="majorHAnsi" w:cstheme="majorHAnsi"/>
                <w:i/>
                <w:color w:val="000000" w:themeColor="text1"/>
                <w:sz w:val="22"/>
                <w:szCs w:val="22"/>
                <w:shd w:val="clear" w:color="auto" w:fill="FFFFFF"/>
              </w:rPr>
              <w:t xml:space="preserve">.” </w:t>
            </w:r>
            <w:r w:rsidRPr="008B4130">
              <w:rPr>
                <w:rFonts w:asciiTheme="majorHAnsi" w:hAnsiTheme="majorHAnsi" w:cstheme="majorHAnsi"/>
                <w:color w:val="000000" w:themeColor="text1"/>
                <w:sz w:val="22"/>
                <w:szCs w:val="22"/>
                <w:shd w:val="clear" w:color="auto" w:fill="FFFFFF"/>
              </w:rPr>
              <w:t>A full list of studies, research, and material supporting the CCT-RT’s work is available at</w:t>
            </w:r>
            <w:r w:rsidRPr="008B4130">
              <w:rPr>
                <w:rFonts w:asciiTheme="majorHAnsi" w:hAnsiTheme="majorHAnsi" w:cstheme="majorHAnsi"/>
                <w:color w:val="333333"/>
                <w:sz w:val="22"/>
                <w:szCs w:val="22"/>
                <w:shd w:val="clear" w:color="auto" w:fill="FFFFFF"/>
              </w:rPr>
              <w:t xml:space="preserve"> </w:t>
            </w:r>
            <w:hyperlink r:id="rId13" w:history="1">
              <w:r w:rsidRPr="008B4130">
                <w:rPr>
                  <w:rStyle w:val="Hyperlink"/>
                  <w:rFonts w:asciiTheme="majorHAnsi" w:hAnsiTheme="majorHAnsi" w:cstheme="majorHAnsi"/>
                  <w:sz w:val="22"/>
                  <w:szCs w:val="22"/>
                  <w:shd w:val="clear" w:color="auto" w:fill="FFFFFF"/>
                </w:rPr>
                <w:t>https://community.icann.org/x/0o5YAw</w:t>
              </w:r>
            </w:hyperlink>
            <w:r w:rsidRPr="008B4130">
              <w:rPr>
                <w:rFonts w:asciiTheme="majorHAnsi" w:hAnsiTheme="majorHAnsi" w:cstheme="majorHAnsi"/>
                <w:color w:val="333333"/>
                <w:sz w:val="22"/>
                <w:szCs w:val="22"/>
                <w:shd w:val="clear" w:color="auto" w:fill="FFFFFF"/>
              </w:rPr>
              <w:t xml:space="preserve">. </w:t>
            </w:r>
            <w:r w:rsidR="008B4130">
              <w:rPr>
                <w:rFonts w:asciiTheme="majorHAnsi" w:hAnsiTheme="majorHAnsi" w:cstheme="majorHAnsi"/>
                <w:color w:val="333333"/>
                <w:sz w:val="22"/>
                <w:szCs w:val="22"/>
                <w:shd w:val="clear" w:color="auto" w:fill="FFFFFF"/>
              </w:rPr>
              <w:t>In addition, t</w:t>
            </w:r>
            <w:r w:rsidR="008B4130" w:rsidRPr="008B4130">
              <w:rPr>
                <w:rFonts w:asciiTheme="majorHAnsi" w:hAnsiTheme="majorHAnsi" w:cstheme="majorHAnsi"/>
                <w:color w:val="333333"/>
                <w:sz w:val="22"/>
                <w:szCs w:val="22"/>
                <w:shd w:val="clear" w:color="auto" w:fill="FFFFFF"/>
              </w:rPr>
              <w:t>he </w:t>
            </w:r>
            <w:r w:rsidR="008B4130" w:rsidRPr="008B4130">
              <w:rPr>
                <w:rFonts w:asciiTheme="majorHAnsi" w:hAnsiTheme="majorHAnsi" w:cstheme="majorHAnsi"/>
                <w:sz w:val="22"/>
                <w:szCs w:val="22"/>
              </w:rPr>
              <w:t>ICANN</w:t>
            </w:r>
            <w:r w:rsidR="008B4130" w:rsidRPr="008B4130">
              <w:rPr>
                <w:rFonts w:asciiTheme="majorHAnsi" w:hAnsiTheme="majorHAnsi" w:cstheme="majorHAnsi"/>
                <w:color w:val="333333"/>
                <w:sz w:val="22"/>
                <w:szCs w:val="22"/>
                <w:shd w:val="clear" w:color="auto" w:fill="FFFFFF"/>
              </w:rPr>
              <w:t> community recommended a list of metrics and definitions that would inform this review and the </w:t>
            </w:r>
            <w:r w:rsidR="008B4130" w:rsidRPr="008B4130">
              <w:rPr>
                <w:rFonts w:asciiTheme="majorHAnsi" w:hAnsiTheme="majorHAnsi" w:cstheme="majorHAnsi"/>
                <w:sz w:val="22"/>
                <w:szCs w:val="22"/>
              </w:rPr>
              <w:t>ICANN</w:t>
            </w:r>
            <w:r w:rsidR="008B4130" w:rsidRPr="008B4130">
              <w:rPr>
                <w:rFonts w:asciiTheme="majorHAnsi" w:hAnsiTheme="majorHAnsi" w:cstheme="majorHAnsi"/>
                <w:color w:val="333333"/>
                <w:sz w:val="22"/>
                <w:szCs w:val="22"/>
                <w:shd w:val="clear" w:color="auto" w:fill="FFFFFF"/>
              </w:rPr>
              <w:t> board </w:t>
            </w:r>
            <w:r w:rsidR="008B4130" w:rsidRPr="008B4130">
              <w:rPr>
                <w:rFonts w:asciiTheme="majorHAnsi" w:hAnsiTheme="majorHAnsi" w:cstheme="majorHAnsi"/>
                <w:sz w:val="22"/>
                <w:szCs w:val="22"/>
              </w:rPr>
              <w:t>approved</w:t>
            </w:r>
            <w:r w:rsidR="008B4130" w:rsidRPr="008B4130">
              <w:rPr>
                <w:rFonts w:asciiTheme="majorHAnsi" w:hAnsiTheme="majorHAnsi" w:cstheme="majorHAnsi"/>
                <w:color w:val="333333"/>
                <w:sz w:val="22"/>
                <w:szCs w:val="22"/>
                <w:shd w:val="clear" w:color="auto" w:fill="FFFFFF"/>
              </w:rPr>
              <w:t xml:space="preserve"> these metrics. </w:t>
            </w:r>
            <w:r w:rsidR="008B4130" w:rsidRPr="008B4130">
              <w:rPr>
                <w:rFonts w:asciiTheme="majorHAnsi" w:hAnsiTheme="majorHAnsi" w:cstheme="majorHAnsi"/>
                <w:sz w:val="22"/>
                <w:szCs w:val="22"/>
              </w:rPr>
              <w:t>ICANN</w:t>
            </w:r>
            <w:r w:rsidR="008B4130" w:rsidRPr="008B4130">
              <w:rPr>
                <w:rFonts w:asciiTheme="majorHAnsi" w:hAnsiTheme="majorHAnsi" w:cstheme="majorHAnsi"/>
                <w:color w:val="333333"/>
                <w:sz w:val="22"/>
                <w:szCs w:val="22"/>
                <w:shd w:val="clear" w:color="auto" w:fill="FFFFFF"/>
              </w:rPr>
              <w:t> staff is responsible for collecting data necessary to produce these metrics, which will be part of the recurring</w:t>
            </w:r>
            <w:r w:rsidR="008B4130" w:rsidRPr="008B4130">
              <w:rPr>
                <w:rFonts w:asciiTheme="majorHAnsi" w:hAnsiTheme="majorHAnsi" w:cstheme="majorHAnsi"/>
                <w:sz w:val="22"/>
                <w:szCs w:val="22"/>
              </w:rPr>
              <w:t xml:space="preserve"> CCT Review. A full list of the metrics is available at </w:t>
            </w:r>
            <w:hyperlink r:id="rId14" w:history="1">
              <w:r w:rsidR="008B4130" w:rsidRPr="008B4130">
                <w:rPr>
                  <w:rStyle w:val="Hyperlink"/>
                  <w:rFonts w:asciiTheme="majorHAnsi" w:hAnsiTheme="majorHAnsi" w:cstheme="majorHAnsi"/>
                  <w:sz w:val="22"/>
                  <w:szCs w:val="22"/>
                </w:rPr>
                <w:t>https://www.icann.org/resources/reviews/cct/metrics</w:t>
              </w:r>
            </w:hyperlink>
            <w:r w:rsidR="008B4130" w:rsidRPr="008B4130">
              <w:rPr>
                <w:rFonts w:asciiTheme="majorHAnsi" w:hAnsiTheme="majorHAnsi" w:cstheme="majorHAnsi"/>
                <w:sz w:val="22"/>
                <w:szCs w:val="22"/>
              </w:rPr>
              <w:t xml:space="preserve">. </w:t>
            </w:r>
            <w:r w:rsidR="00BC541E">
              <w:rPr>
                <w:rFonts w:asciiTheme="majorHAnsi" w:hAnsiTheme="majorHAnsi" w:cstheme="majorHAnsi"/>
                <w:sz w:val="22"/>
                <w:szCs w:val="22"/>
              </w:rPr>
              <w:t xml:space="preserve">Many of these data sources and research efforts are relevant to the GNSO could inform policy work. </w:t>
            </w:r>
          </w:p>
          <w:p w14:paraId="55D2EFAA" w14:textId="12CC96B6" w:rsidR="00B96E42" w:rsidRDefault="00B96E42" w:rsidP="00B96E42"/>
          <w:p w14:paraId="0C406537" w14:textId="37B59E16" w:rsidR="00B96E42" w:rsidRDefault="008B4130" w:rsidP="00B96E42">
            <w:pPr>
              <w:rPr>
                <w:rFonts w:asciiTheme="majorHAnsi" w:hAnsiTheme="majorHAnsi" w:cstheme="majorHAnsi"/>
                <w:color w:val="000000" w:themeColor="text1"/>
                <w:sz w:val="22"/>
                <w:szCs w:val="22"/>
                <w:shd w:val="clear" w:color="auto" w:fill="FFFFFF"/>
              </w:rPr>
            </w:pPr>
            <w:r w:rsidRPr="008B4130">
              <w:rPr>
                <w:rFonts w:asciiTheme="majorHAnsi" w:hAnsiTheme="majorHAnsi" w:cstheme="majorHAnsi"/>
                <w:sz w:val="22"/>
                <w:szCs w:val="22"/>
              </w:rPr>
              <w:t xml:space="preserve">Currently the GNSO Council requests and receives updates on data collection initiatives on an as-needed basis. </w:t>
            </w:r>
            <w:r>
              <w:rPr>
                <w:rFonts w:asciiTheme="majorHAnsi" w:hAnsiTheme="majorHAnsi" w:cstheme="majorHAnsi"/>
                <w:sz w:val="22"/>
                <w:szCs w:val="22"/>
              </w:rPr>
              <w:t xml:space="preserve">GNSO Policy Development Process Working Groups take into account </w:t>
            </w:r>
            <w:r w:rsidR="001C3E5C">
              <w:rPr>
                <w:rFonts w:asciiTheme="majorHAnsi" w:hAnsiTheme="majorHAnsi" w:cstheme="majorHAnsi"/>
                <w:sz w:val="22"/>
                <w:szCs w:val="22"/>
              </w:rPr>
              <w:t>inputs from these data sources</w:t>
            </w:r>
            <w:r>
              <w:rPr>
                <w:rFonts w:asciiTheme="majorHAnsi" w:hAnsiTheme="majorHAnsi" w:cstheme="majorHAnsi"/>
                <w:sz w:val="22"/>
                <w:szCs w:val="22"/>
              </w:rPr>
              <w:t xml:space="preserve"> as they are relevant to each Working Group charter. </w:t>
            </w:r>
            <w:r w:rsidR="001C3E5C">
              <w:rPr>
                <w:rFonts w:asciiTheme="majorHAnsi" w:hAnsiTheme="majorHAnsi" w:cstheme="majorHAnsi"/>
                <w:sz w:val="22"/>
                <w:szCs w:val="22"/>
              </w:rPr>
              <w:t xml:space="preserve">For example, the New gTLD Subsequent Procedures Policy Development Process Working Group considered the </w:t>
            </w:r>
            <w:r w:rsidR="001C3E5C" w:rsidRPr="008B4130">
              <w:rPr>
                <w:rStyle w:val="Emphasis"/>
                <w:rFonts w:asciiTheme="majorHAnsi" w:eastAsiaTheme="majorEastAsia" w:hAnsiTheme="majorHAnsi" w:cstheme="majorHAnsi"/>
                <w:i w:val="0"/>
                <w:color w:val="000000" w:themeColor="text1"/>
                <w:sz w:val="22"/>
                <w:szCs w:val="22"/>
                <w:shd w:val="clear" w:color="auto" w:fill="FFFFFF"/>
              </w:rPr>
              <w:t>AMGlobal Report “New gTLDs and the Global South: Understanding Limited Global South Demand in the Most Recent New gTLD Round and Options Going Forward</w:t>
            </w:r>
            <w:r w:rsidR="001C3E5C" w:rsidRPr="001C3E5C">
              <w:rPr>
                <w:rFonts w:asciiTheme="majorHAnsi" w:hAnsiTheme="majorHAnsi" w:cstheme="majorHAnsi"/>
                <w:color w:val="000000" w:themeColor="text1"/>
                <w:sz w:val="22"/>
                <w:szCs w:val="22"/>
                <w:shd w:val="clear" w:color="auto" w:fill="FFFFFF"/>
              </w:rPr>
              <w:t>”</w:t>
            </w:r>
            <w:r w:rsidR="001C3E5C">
              <w:rPr>
                <w:rFonts w:asciiTheme="majorHAnsi" w:hAnsiTheme="majorHAnsi" w:cstheme="majorHAnsi"/>
                <w:color w:val="000000" w:themeColor="text1"/>
                <w:sz w:val="22"/>
                <w:szCs w:val="22"/>
                <w:shd w:val="clear" w:color="auto" w:fill="FFFFFF"/>
              </w:rPr>
              <w:t xml:space="preserve"> in its deliberations on providing support for applicants from developing countries in the New gTLD Program. </w:t>
            </w:r>
          </w:p>
          <w:p w14:paraId="4D7E8217" w14:textId="09518CDE" w:rsidR="001C3E5C" w:rsidRDefault="001C3E5C" w:rsidP="00B96E42">
            <w:pPr>
              <w:rPr>
                <w:rFonts w:asciiTheme="majorHAnsi" w:hAnsiTheme="majorHAnsi" w:cstheme="majorHAnsi"/>
                <w:color w:val="000000" w:themeColor="text1"/>
                <w:sz w:val="22"/>
                <w:szCs w:val="22"/>
                <w:shd w:val="clear" w:color="auto" w:fill="FFFFFF"/>
              </w:rPr>
            </w:pPr>
          </w:p>
          <w:p w14:paraId="668DACD4" w14:textId="6B0C764D" w:rsidR="004B2C1F" w:rsidRPr="006F3997" w:rsidRDefault="001C3E5C" w:rsidP="001129C4">
            <w:pPr>
              <w:rPr>
                <w:rFonts w:asciiTheme="majorHAnsi" w:hAnsiTheme="majorHAnsi" w:cstheme="majorHAnsi"/>
                <w:sz w:val="22"/>
                <w:szCs w:val="22"/>
              </w:rPr>
            </w:pPr>
            <w:r>
              <w:rPr>
                <w:rFonts w:asciiTheme="majorHAnsi" w:hAnsiTheme="majorHAnsi" w:cstheme="majorHAnsi"/>
                <w:color w:val="000000" w:themeColor="text1"/>
                <w:sz w:val="22"/>
                <w:szCs w:val="22"/>
                <w:shd w:val="clear" w:color="auto" w:fill="FFFFFF"/>
              </w:rPr>
              <w:t xml:space="preserve">As the GNSO maintains open channels of communication with relevant data collection projects, and has access to the outputs of these projects </w:t>
            </w:r>
            <w:r w:rsidR="006F3997">
              <w:rPr>
                <w:rFonts w:asciiTheme="majorHAnsi" w:hAnsiTheme="majorHAnsi" w:cstheme="majorHAnsi"/>
                <w:color w:val="000000" w:themeColor="text1"/>
                <w:sz w:val="22"/>
                <w:szCs w:val="22"/>
                <w:shd w:val="clear" w:color="auto" w:fill="FFFFFF"/>
              </w:rPr>
              <w:t>via reports and public websites,</w:t>
            </w:r>
            <w:r>
              <w:rPr>
                <w:rFonts w:asciiTheme="majorHAnsi" w:hAnsiTheme="majorHAnsi" w:cstheme="majorHAnsi"/>
                <w:color w:val="000000" w:themeColor="text1"/>
                <w:sz w:val="22"/>
                <w:szCs w:val="22"/>
                <w:shd w:val="clear" w:color="auto" w:fill="FFFFFF"/>
              </w:rPr>
              <w:t xml:space="preserve"> it is not anticipated that a formal mechanism for input is needed at this time. </w:t>
            </w:r>
            <w:r w:rsidR="006F3997">
              <w:rPr>
                <w:rFonts w:asciiTheme="majorHAnsi" w:hAnsiTheme="majorHAnsi" w:cstheme="majorHAnsi"/>
                <w:color w:val="000000" w:themeColor="text1"/>
                <w:sz w:val="22"/>
                <w:szCs w:val="22"/>
                <w:shd w:val="clear" w:color="auto" w:fill="FFFFFF"/>
              </w:rPr>
              <w:t xml:space="preserve">As each data collection project runs on a different timeline, it may be more beneficial for the GNSO to review these inputs and request updates, </w:t>
            </w:r>
            <w:r w:rsidR="00BC541E">
              <w:rPr>
                <w:rFonts w:asciiTheme="majorHAnsi" w:hAnsiTheme="majorHAnsi" w:cstheme="majorHAnsi"/>
                <w:color w:val="000000" w:themeColor="text1"/>
                <w:sz w:val="22"/>
                <w:szCs w:val="22"/>
                <w:shd w:val="clear" w:color="auto" w:fill="FFFFFF"/>
              </w:rPr>
              <w:t>as</w:t>
            </w:r>
            <w:r w:rsidR="006F3997">
              <w:rPr>
                <w:rFonts w:asciiTheme="majorHAnsi" w:hAnsiTheme="majorHAnsi" w:cstheme="majorHAnsi"/>
                <w:color w:val="000000" w:themeColor="text1"/>
                <w:sz w:val="22"/>
                <w:szCs w:val="22"/>
                <w:shd w:val="clear" w:color="auto" w:fill="FFFFFF"/>
              </w:rPr>
              <w:t xml:space="preserve"> needed, when the data is released, rather than setting rigid timelines for reporting from these groups. </w:t>
            </w:r>
          </w:p>
          <w:p w14:paraId="74022E55" w14:textId="77777777" w:rsidR="002C1450" w:rsidRPr="009165D8" w:rsidRDefault="002C1450" w:rsidP="004311B8">
            <w:pPr>
              <w:widowControl w:val="0"/>
              <w:rPr>
                <w:rFonts w:asciiTheme="majorHAnsi" w:hAnsiTheme="majorHAnsi"/>
                <w:sz w:val="22"/>
                <w:szCs w:val="22"/>
              </w:rPr>
            </w:pPr>
          </w:p>
          <w:p w14:paraId="5B36D9B7" w14:textId="77777777" w:rsidR="004311B8" w:rsidRDefault="004311B8" w:rsidP="00D84DA8">
            <w:pPr>
              <w:pStyle w:val="ListParagraph"/>
              <w:widowControl w:val="0"/>
              <w:contextualSpacing w:val="0"/>
              <w:rPr>
                <w:rFonts w:asciiTheme="majorHAnsi" w:hAnsiTheme="majorHAnsi"/>
                <w:szCs w:val="22"/>
              </w:rPr>
            </w:pPr>
          </w:p>
          <w:p w14:paraId="6B5A73B8" w14:textId="77777777" w:rsidR="00D84DA8" w:rsidRPr="00D84DA8" w:rsidRDefault="00D84DA8" w:rsidP="00D84DA8">
            <w:pPr>
              <w:widowControl w:val="0"/>
              <w:rPr>
                <w:rFonts w:asciiTheme="majorHAnsi" w:hAnsiTheme="majorHAnsi"/>
                <w:b/>
                <w:szCs w:val="22"/>
              </w:rPr>
            </w:pPr>
            <w:r w:rsidRPr="00D84DA8">
              <w:rPr>
                <w:rFonts w:asciiTheme="majorHAnsi" w:hAnsiTheme="majorHAnsi"/>
                <w:b/>
                <w:szCs w:val="22"/>
              </w:rPr>
              <w:t>Working Group Determination:</w:t>
            </w:r>
          </w:p>
          <w:p w14:paraId="5B361F5E" w14:textId="53B549C6" w:rsidR="00D84DA8" w:rsidRPr="00622A2F" w:rsidRDefault="00622A2F" w:rsidP="00622A2F">
            <w:pPr>
              <w:pStyle w:val="ListParagraph"/>
              <w:widowControl w:val="0"/>
              <w:numPr>
                <w:ilvl w:val="0"/>
                <w:numId w:val="24"/>
              </w:numPr>
              <w:rPr>
                <w:rFonts w:asciiTheme="majorHAnsi" w:hAnsiTheme="majorHAnsi"/>
                <w:sz w:val="22"/>
                <w:szCs w:val="22"/>
              </w:rPr>
            </w:pPr>
            <w:r w:rsidRPr="00622A2F">
              <w:rPr>
                <w:rFonts w:asciiTheme="majorHAnsi" w:hAnsiTheme="majorHAnsi"/>
                <w:sz w:val="22"/>
                <w:szCs w:val="22"/>
              </w:rPr>
              <w:t xml:space="preserve">The Working Group recommends that the charter of the </w:t>
            </w:r>
            <w:r w:rsidRPr="00261C8A">
              <w:rPr>
                <w:rFonts w:asciiTheme="majorHAnsi" w:eastAsia="MS Gothic" w:hAnsiTheme="majorHAnsi" w:cstheme="majorHAnsi"/>
                <w:sz w:val="22"/>
                <w:szCs w:val="22"/>
              </w:rPr>
              <w:t>GNSO Council Standing Committee on ICANN’s Budget</w:t>
            </w:r>
            <w:r>
              <w:rPr>
                <w:rFonts w:asciiTheme="majorHAnsi" w:eastAsia="MS Gothic" w:hAnsiTheme="majorHAnsi" w:cstheme="majorHAnsi"/>
                <w:sz w:val="22"/>
                <w:szCs w:val="22"/>
              </w:rPr>
              <w:t xml:space="preserve"> </w:t>
            </w:r>
            <w:r w:rsidRPr="00261C8A">
              <w:rPr>
                <w:rFonts w:asciiTheme="majorHAnsi" w:eastAsia="MS Gothic" w:hAnsiTheme="majorHAnsi" w:cstheme="majorHAnsi"/>
                <w:sz w:val="22"/>
                <w:szCs w:val="22"/>
              </w:rPr>
              <w:t>and Operations</w:t>
            </w:r>
            <w:r>
              <w:rPr>
                <w:rFonts w:asciiTheme="majorHAnsi" w:eastAsia="MS Gothic" w:hAnsiTheme="majorHAnsi" w:cstheme="majorHAnsi"/>
                <w:sz w:val="22"/>
                <w:szCs w:val="22"/>
              </w:rPr>
              <w:t xml:space="preserve"> be revised to include an annual</w:t>
            </w:r>
            <w:r w:rsidRPr="00622A2F">
              <w:rPr>
                <w:rFonts w:asciiTheme="majorHAnsi" w:hAnsiTheme="majorHAnsi"/>
                <w:sz w:val="22"/>
                <w:szCs w:val="22"/>
              </w:rPr>
              <w:t xml:space="preserve"> </w:t>
            </w:r>
            <w:r w:rsidRPr="00B215A7">
              <w:rPr>
                <w:rFonts w:asciiTheme="majorHAnsi" w:hAnsiTheme="majorHAnsi" w:cstheme="majorHAnsi"/>
                <w:sz w:val="22"/>
                <w:szCs w:val="22"/>
              </w:rPr>
              <w:t xml:space="preserve">review </w:t>
            </w:r>
            <w:r>
              <w:rPr>
                <w:rFonts w:asciiTheme="majorHAnsi" w:hAnsiTheme="majorHAnsi" w:cstheme="majorHAnsi"/>
                <w:sz w:val="22"/>
                <w:szCs w:val="22"/>
              </w:rPr>
              <w:t>of</w:t>
            </w:r>
            <w:r w:rsidRPr="00B215A7">
              <w:rPr>
                <w:rFonts w:asciiTheme="majorHAnsi" w:hAnsiTheme="majorHAnsi" w:cstheme="majorHAnsi"/>
                <w:sz w:val="22"/>
                <w:szCs w:val="22"/>
              </w:rPr>
              <w:t xml:space="preserve"> ICANN’s Strategic Objectives with a view to planning future policy development that strikes a balance between ICANN’s Strategic Objectives and the GNSO resources available for policy development</w:t>
            </w:r>
            <w:r>
              <w:rPr>
                <w:rFonts w:asciiTheme="majorHAnsi" w:hAnsiTheme="majorHAnsi" w:cstheme="majorHAnsi"/>
                <w:sz w:val="22"/>
                <w:szCs w:val="22"/>
              </w:rPr>
              <w:t>.</w:t>
            </w:r>
          </w:p>
          <w:p w14:paraId="29C619A3" w14:textId="7BA451CB" w:rsidR="00762354" w:rsidRPr="007A4A0D" w:rsidRDefault="00622A2F" w:rsidP="00BE7A12">
            <w:pPr>
              <w:pStyle w:val="ListParagraph"/>
              <w:widowControl w:val="0"/>
              <w:numPr>
                <w:ilvl w:val="0"/>
                <w:numId w:val="24"/>
              </w:numPr>
              <w:rPr>
                <w:rFonts w:asciiTheme="majorHAnsi" w:hAnsiTheme="majorHAnsi"/>
                <w:sz w:val="22"/>
                <w:szCs w:val="22"/>
              </w:rPr>
            </w:pPr>
            <w:r>
              <w:rPr>
                <w:rFonts w:asciiTheme="majorHAnsi" w:hAnsiTheme="majorHAnsi" w:cstheme="majorHAnsi"/>
                <w:sz w:val="22"/>
                <w:szCs w:val="22"/>
              </w:rPr>
              <w:t xml:space="preserve">Given that there are already a number of data sources available </w:t>
            </w:r>
            <w:r w:rsidR="007A4A0D">
              <w:rPr>
                <w:rFonts w:asciiTheme="majorHAnsi" w:hAnsiTheme="majorHAnsi" w:cstheme="majorHAnsi"/>
                <w:sz w:val="22"/>
                <w:szCs w:val="22"/>
              </w:rPr>
              <w:t xml:space="preserve">and research initiatives underway </w:t>
            </w:r>
            <w:r>
              <w:rPr>
                <w:rFonts w:asciiTheme="majorHAnsi" w:hAnsiTheme="majorHAnsi" w:cstheme="majorHAnsi"/>
                <w:sz w:val="22"/>
                <w:szCs w:val="22"/>
              </w:rPr>
              <w:t xml:space="preserve">that </w:t>
            </w:r>
            <w:r>
              <w:rPr>
                <w:rFonts w:asciiTheme="majorHAnsi" w:hAnsiTheme="majorHAnsi" w:cstheme="majorHAnsi"/>
                <w:sz w:val="22"/>
                <w:szCs w:val="22"/>
              </w:rPr>
              <w:lastRenderedPageBreak/>
              <w:t xml:space="preserve">provide information about </w:t>
            </w:r>
            <w:r w:rsidRPr="009165D8">
              <w:rPr>
                <w:rFonts w:asciiTheme="majorHAnsi" w:hAnsiTheme="majorHAnsi" w:cstheme="majorHAnsi"/>
                <w:sz w:val="22"/>
                <w:szCs w:val="22"/>
              </w:rPr>
              <w:t>trends in gTLDs</w:t>
            </w:r>
            <w:r w:rsidR="007A4A0D">
              <w:rPr>
                <w:rFonts w:asciiTheme="majorHAnsi" w:hAnsiTheme="majorHAnsi" w:cstheme="majorHAnsi"/>
                <w:sz w:val="22"/>
                <w:szCs w:val="22"/>
              </w:rPr>
              <w:t xml:space="preserve">, the Working Group does not anticipate a need for additional data collection and analysis efforts. The GNSO Council already maintains ties with the coordinators of these efforts and receives updates when they are timely. This approach allows the Council to receive information as it becomes available rather than setting rigid timeframes for updates. Should the Council decide that a different approach is needed, it may consider setting up a regular review of data and analysis at set intervals. </w:t>
            </w:r>
          </w:p>
        </w:tc>
      </w:tr>
    </w:tbl>
    <w:p w14:paraId="50EE2F2E" w14:textId="77777777"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39DAE541" w:rsidR="008942C9" w:rsidRPr="00702D7F" w:rsidRDefault="007A4A0D" w:rsidP="004311B8">
            <w:pPr>
              <w:pStyle w:val="FormText1"/>
              <w:widowControl w:val="0"/>
              <w:rPr>
                <w:rFonts w:asciiTheme="majorHAnsi" w:hAnsiTheme="majorHAnsi"/>
                <w:sz w:val="22"/>
                <w:szCs w:val="22"/>
              </w:rPr>
            </w:pPr>
            <w:r>
              <w:rPr>
                <w:rFonts w:asciiTheme="majorHAnsi" w:hAnsiTheme="majorHAnsi"/>
                <w:sz w:val="22"/>
                <w:szCs w:val="22"/>
              </w:rPr>
              <w:t xml:space="preserve">The GNSO receives data and updates as they become available from research efforts underway. If priorities in the Strategic Plan or budget resources change, research efforts described above may be impacted. </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7A4A0D">
        <w:trPr>
          <w:trHeight w:val="138"/>
        </w:trPr>
        <w:tc>
          <w:tcPr>
            <w:tcW w:w="10260" w:type="dxa"/>
            <w:tcBorders>
              <w:top w:val="nil"/>
              <w:bottom w:val="nil"/>
            </w:tcBorders>
          </w:tcPr>
          <w:p w14:paraId="2D80B99A" w14:textId="4B9A4F90" w:rsidR="00762354" w:rsidRPr="007A4A0D" w:rsidRDefault="007A4A0D" w:rsidP="00DA4198">
            <w:pPr>
              <w:widowControl w:val="0"/>
              <w:rPr>
                <w:rFonts w:asciiTheme="majorHAnsi" w:hAnsiTheme="majorHAnsi" w:cstheme="majorHAnsi"/>
                <w:sz w:val="22"/>
                <w:szCs w:val="22"/>
              </w:rPr>
            </w:pPr>
            <w:r w:rsidRPr="007A4A0D">
              <w:rPr>
                <w:rFonts w:asciiTheme="majorHAnsi" w:hAnsiTheme="majorHAnsi" w:cstheme="majorHAnsi"/>
                <w:sz w:val="22"/>
                <w:szCs w:val="22"/>
              </w:rPr>
              <w:t>N/A</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45DD4734" w:rsidR="00762354" w:rsidRPr="007A4A0D" w:rsidRDefault="000469DD" w:rsidP="00DA4198">
            <w:pPr>
              <w:widowControl w:val="0"/>
              <w:rPr>
                <w:rFonts w:asciiTheme="majorHAnsi" w:hAnsiTheme="majorHAnsi" w:cstheme="majorHAnsi"/>
                <w:sz w:val="22"/>
                <w:szCs w:val="22"/>
              </w:rPr>
            </w:pPr>
            <w:r w:rsidRPr="007A4A0D">
              <w:rPr>
                <w:rFonts w:asciiTheme="majorHAnsi" w:hAnsiTheme="majorHAnsi" w:cstheme="majorHAnsi"/>
                <w:sz w:val="22"/>
                <w:szCs w:val="22"/>
              </w:rPr>
              <w:t>It is not clear to staff whether a KPI applies in the implementation of these recommendations.</w:t>
            </w:r>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DA4198">
            <w:pPr>
              <w:widowControl w:val="0"/>
              <w:rPr>
                <w:b/>
              </w:rPr>
            </w:pPr>
            <w:r>
              <w:t>None.</w:t>
            </w:r>
          </w:p>
        </w:tc>
      </w:tr>
    </w:tbl>
    <w:p w14:paraId="7B4A5DA7" w14:textId="77777777" w:rsidR="005C5345" w:rsidRDefault="005C5345" w:rsidP="00D84DA8">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7A4A0D" w:rsidRDefault="00147321" w:rsidP="00DA4198">
            <w:pPr>
              <w:widowControl w:val="0"/>
              <w:rPr>
                <w:rFonts w:asciiTheme="majorHAnsi" w:hAnsiTheme="majorHAnsi"/>
                <w:sz w:val="22"/>
                <w:szCs w:val="22"/>
              </w:rPr>
            </w:pPr>
            <w:r w:rsidRPr="007A4A0D">
              <w:rPr>
                <w:rFonts w:asciiTheme="majorHAnsi" w:hAnsiTheme="majorHAnsi"/>
                <w:sz w:val="22"/>
                <w:szCs w:val="22"/>
              </w:rPr>
              <w:t xml:space="preserve">GNSO </w:t>
            </w:r>
            <w:r w:rsidR="005C5345" w:rsidRPr="007A4A0D">
              <w:rPr>
                <w:rFonts w:asciiTheme="majorHAnsi" w:hAnsiTheme="majorHAnsi"/>
                <w:sz w:val="22"/>
                <w:szCs w:val="22"/>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bl>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283"/>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rPr>
              <w:t>Revision History</w:t>
            </w:r>
          </w:p>
        </w:tc>
      </w:tr>
      <w:tr w:rsidR="00762354" w14:paraId="0A14AFFB" w14:textId="77777777" w:rsidTr="00E84B3D">
        <w:trPr>
          <w:cantSplit/>
        </w:trPr>
        <w:tc>
          <w:tcPr>
            <w:tcW w:w="1597"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283"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E84B3D">
        <w:trPr>
          <w:cantSplit/>
        </w:trPr>
        <w:tc>
          <w:tcPr>
            <w:tcW w:w="1597" w:type="dxa"/>
          </w:tcPr>
          <w:p w14:paraId="56AFF57E" w14:textId="764004C5" w:rsidR="00762354" w:rsidRPr="00207A4D" w:rsidRDefault="00B215A7" w:rsidP="00DA4198">
            <w:pPr>
              <w:widowControl w:val="0"/>
              <w:jc w:val="center"/>
              <w:rPr>
                <w:rFonts w:asciiTheme="majorHAnsi" w:hAnsiTheme="majorHAnsi"/>
              </w:rPr>
            </w:pPr>
            <w:r>
              <w:rPr>
                <w:rFonts w:asciiTheme="majorHAnsi" w:hAnsiTheme="majorHAnsi"/>
              </w:rPr>
              <w:t>27 Feb 2018</w:t>
            </w:r>
          </w:p>
        </w:tc>
        <w:tc>
          <w:tcPr>
            <w:tcW w:w="1283" w:type="dxa"/>
          </w:tcPr>
          <w:p w14:paraId="3769BD4A" w14:textId="04798689" w:rsidR="00762354" w:rsidRPr="00207A4D" w:rsidRDefault="00207A4D" w:rsidP="00DA4198">
            <w:pPr>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45BDED7E" w:rsidR="00762354" w:rsidRPr="00207A4D" w:rsidRDefault="00207A4D" w:rsidP="00F84029">
            <w:pPr>
              <w:widowControl w:val="0"/>
              <w:rPr>
                <w:rFonts w:asciiTheme="majorHAnsi" w:hAnsiTheme="majorHAnsi"/>
              </w:rPr>
            </w:pPr>
            <w:r w:rsidRPr="00207A4D">
              <w:rPr>
                <w:rFonts w:asciiTheme="majorHAnsi" w:hAnsiTheme="majorHAnsi"/>
              </w:rPr>
              <w:t>Original Draft</w:t>
            </w:r>
          </w:p>
        </w:tc>
        <w:tc>
          <w:tcPr>
            <w:tcW w:w="2250" w:type="dxa"/>
          </w:tcPr>
          <w:p w14:paraId="12B6462A" w14:textId="4D2F5CE1" w:rsidR="00762354" w:rsidRPr="00207A4D" w:rsidRDefault="00B215A7" w:rsidP="00F84029">
            <w:pPr>
              <w:widowControl w:val="0"/>
              <w:rPr>
                <w:rFonts w:asciiTheme="majorHAnsi" w:hAnsiTheme="majorHAnsi"/>
              </w:rPr>
            </w:pPr>
            <w:r>
              <w:rPr>
                <w:rFonts w:asciiTheme="majorHAnsi" w:hAnsiTheme="majorHAnsi"/>
              </w:rPr>
              <w:t>Emily Barabas</w:t>
            </w:r>
          </w:p>
        </w:tc>
      </w:tr>
      <w:tr w:rsidR="00762354" w14:paraId="157AD9CA" w14:textId="77777777" w:rsidTr="00E84B3D">
        <w:trPr>
          <w:cantSplit/>
        </w:trPr>
        <w:tc>
          <w:tcPr>
            <w:tcW w:w="1597" w:type="dxa"/>
          </w:tcPr>
          <w:p w14:paraId="5063E488" w14:textId="38DC6AF1" w:rsidR="00762354" w:rsidRPr="00F35C2E" w:rsidRDefault="00E84B3D" w:rsidP="00DA4198">
            <w:pPr>
              <w:widowControl w:val="0"/>
              <w:jc w:val="center"/>
              <w:rPr>
                <w:rFonts w:asciiTheme="majorHAnsi" w:hAnsiTheme="majorHAnsi"/>
                <w:szCs w:val="22"/>
              </w:rPr>
            </w:pPr>
            <w:r>
              <w:rPr>
                <w:rFonts w:asciiTheme="majorHAnsi" w:hAnsiTheme="majorHAnsi"/>
                <w:szCs w:val="22"/>
              </w:rPr>
              <w:t>26 April 2018</w:t>
            </w:r>
          </w:p>
        </w:tc>
        <w:tc>
          <w:tcPr>
            <w:tcW w:w="1283" w:type="dxa"/>
          </w:tcPr>
          <w:p w14:paraId="234318D7" w14:textId="593208DA" w:rsidR="00762354" w:rsidRPr="00F35C2E" w:rsidRDefault="00E84B3D" w:rsidP="00F84029">
            <w:pPr>
              <w:widowControl w:val="0"/>
              <w:jc w:val="center"/>
              <w:rPr>
                <w:rFonts w:asciiTheme="majorHAnsi" w:hAnsiTheme="majorHAnsi"/>
                <w:szCs w:val="22"/>
              </w:rPr>
            </w:pPr>
            <w:r>
              <w:rPr>
                <w:rFonts w:asciiTheme="majorHAnsi" w:hAnsiTheme="majorHAnsi"/>
                <w:szCs w:val="22"/>
              </w:rPr>
              <w:t>V2</w:t>
            </w:r>
          </w:p>
        </w:tc>
        <w:tc>
          <w:tcPr>
            <w:tcW w:w="5130" w:type="dxa"/>
          </w:tcPr>
          <w:p w14:paraId="601CA501" w14:textId="056D6837" w:rsidR="00762354" w:rsidRPr="00F35C2E" w:rsidRDefault="00E84B3D" w:rsidP="00F84029">
            <w:pPr>
              <w:widowControl w:val="0"/>
              <w:rPr>
                <w:rFonts w:asciiTheme="majorHAnsi" w:hAnsiTheme="majorHAnsi"/>
                <w:szCs w:val="22"/>
              </w:rPr>
            </w:pPr>
            <w:r>
              <w:rPr>
                <w:rFonts w:asciiTheme="majorHAnsi" w:hAnsiTheme="majorHAnsi"/>
                <w:szCs w:val="22"/>
              </w:rPr>
              <w:t>Draft for Review – no change from original</w:t>
            </w:r>
            <w:bookmarkStart w:id="0" w:name="_GoBack"/>
            <w:bookmarkEnd w:id="0"/>
          </w:p>
        </w:tc>
        <w:tc>
          <w:tcPr>
            <w:tcW w:w="2250" w:type="dxa"/>
          </w:tcPr>
          <w:p w14:paraId="45F2FA58" w14:textId="0146BB46" w:rsidR="00762354" w:rsidRPr="00F35C2E" w:rsidRDefault="00E84B3D">
            <w:pPr>
              <w:widowControl w:val="0"/>
              <w:rPr>
                <w:rFonts w:asciiTheme="majorHAnsi" w:hAnsiTheme="majorHAnsi"/>
                <w:szCs w:val="22"/>
              </w:rPr>
            </w:pPr>
            <w:r>
              <w:rPr>
                <w:rFonts w:asciiTheme="majorHAnsi" w:hAnsiTheme="majorHAnsi"/>
                <w:szCs w:val="22"/>
              </w:rPr>
              <w:t>Emily Barabas</w:t>
            </w:r>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43DDC92B" w14:textId="77777777" w:rsidR="00762354" w:rsidRDefault="00762354" w:rsidP="00F84029">
      <w:pPr>
        <w:widowControl w:val="0"/>
        <w:ind w:left="-810"/>
        <w:rPr>
          <w:rFonts w:ascii="Arial" w:hAnsi="Arial"/>
          <w:b/>
        </w:rPr>
      </w:pPr>
      <w:r>
        <w:rPr>
          <w:rFonts w:ascii="Arial" w:hAnsi="Arial"/>
          <w:b/>
        </w:rPr>
        <w:t>Attachments, as applicable:</w:t>
      </w:r>
    </w:p>
    <w:p w14:paraId="2E7B54BC" w14:textId="77777777" w:rsidR="00762354" w:rsidRDefault="00762354">
      <w:pPr>
        <w:widowControl w:val="0"/>
        <w:jc w:val="center"/>
        <w:rPr>
          <w:rFonts w:ascii="Arial" w:hAnsi="Arial"/>
          <w:b/>
        </w:rPr>
      </w:pPr>
    </w:p>
    <w:p w14:paraId="2115DBA1" w14:textId="7990B797" w:rsidR="00950433" w:rsidRPr="00AF471A" w:rsidRDefault="00762354">
      <w:pPr>
        <w:widowControl w:val="0"/>
        <w:numPr>
          <w:ilvl w:val="0"/>
          <w:numId w:val="6"/>
        </w:numPr>
        <w:rPr>
          <w:rFonts w:cs="Calibri"/>
          <w:bCs/>
          <w:color w:val="000000"/>
          <w:kern w:val="36"/>
        </w:rPr>
      </w:pPr>
      <w:r>
        <w:rPr>
          <w:rFonts w:ascii="Arial" w:hAnsi="Arial"/>
        </w:rPr>
        <w:t>None</w:t>
      </w:r>
    </w:p>
    <w:sectPr w:rsidR="00950433" w:rsidRPr="00AF471A" w:rsidSect="00212D02">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530E6" w14:textId="77777777" w:rsidR="00192B15" w:rsidRDefault="00192B15" w:rsidP="00124409">
      <w:r>
        <w:separator/>
      </w:r>
    </w:p>
    <w:p w14:paraId="3911ACCA" w14:textId="77777777" w:rsidR="00192B15" w:rsidRDefault="00192B15"/>
  </w:endnote>
  <w:endnote w:type="continuationSeparator" w:id="0">
    <w:p w14:paraId="0E44363F" w14:textId="77777777" w:rsidR="00192B15" w:rsidRDefault="00192B15" w:rsidP="00124409">
      <w:r>
        <w:continuationSeparator/>
      </w:r>
    </w:p>
    <w:p w14:paraId="69E1C2F6" w14:textId="77777777" w:rsidR="00192B15" w:rsidRDefault="00192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Theme Body)">
    <w:panose1 w:val="020B060402020202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Didot"/>
    <w:panose1 w:val="020B0503030403020204"/>
    <w:charset w:val="4D"/>
    <w:family w:val="swiss"/>
    <w:notTrueType/>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Courier">
    <w:panose1 w:val="020005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BAED" w14:textId="169310C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0A12D03"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3A2811"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77d7g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192B15">
      <w:fldChar w:fldCharType="begin"/>
    </w:r>
    <w:r w:rsidR="00192B15">
      <w:instrText xml:space="preserve"> NUMPAGES </w:instrText>
    </w:r>
    <w:r w:rsidR="00192B15">
      <w:fldChar w:fldCharType="separate"/>
    </w:r>
    <w:r w:rsidR="00DB0AC9">
      <w:rPr>
        <w:noProof/>
      </w:rPr>
      <w:t>3</w:t>
    </w:r>
    <w:r w:rsidR="00192B1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03C05" w14:textId="77777777" w:rsidR="00192B15" w:rsidRPr="001907AB" w:rsidRDefault="00192B15" w:rsidP="00124409">
      <w:pPr>
        <w:rPr>
          <w:color w:val="0A3251"/>
        </w:rPr>
      </w:pPr>
      <w:r w:rsidRPr="001907AB">
        <w:rPr>
          <w:color w:val="0A3251"/>
        </w:rPr>
        <w:separator/>
      </w:r>
    </w:p>
    <w:p w14:paraId="63EB49D1" w14:textId="77777777" w:rsidR="00192B15" w:rsidRDefault="00192B15"/>
  </w:footnote>
  <w:footnote w:type="continuationSeparator" w:id="0">
    <w:p w14:paraId="2CDDC6E7" w14:textId="77777777" w:rsidR="00192B15" w:rsidRPr="001907AB" w:rsidRDefault="00192B15" w:rsidP="00124409">
      <w:pPr>
        <w:rPr>
          <w:color w:val="0A3251"/>
        </w:rPr>
      </w:pPr>
      <w:r w:rsidRPr="001907AB">
        <w:rPr>
          <w:color w:val="0A3251"/>
        </w:rPr>
        <w:continuationSeparator/>
      </w:r>
    </w:p>
    <w:p w14:paraId="532450B4" w14:textId="77777777" w:rsidR="00192B15" w:rsidRDefault="00192B15"/>
  </w:footnote>
  <w:footnote w:type="continuationNotice" w:id="1">
    <w:p w14:paraId="26FC70EB" w14:textId="77777777" w:rsidR="00192B15" w:rsidRDefault="00192B15"/>
    <w:p w14:paraId="3D84BF6A" w14:textId="77777777" w:rsidR="00192B15" w:rsidRDefault="00192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93CD" w14:textId="0905687C"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E57AD8">
      <w:rPr>
        <w:noProof/>
      </w:rPr>
      <w:t>26 April 2018</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03EF52"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2FE14B"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492"/>
    <w:multiLevelType w:val="hybridMultilevel"/>
    <w:tmpl w:val="54608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1D739A"/>
    <w:multiLevelType w:val="hybridMultilevel"/>
    <w:tmpl w:val="4F6A0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8CB660F"/>
    <w:multiLevelType w:val="hybridMultilevel"/>
    <w:tmpl w:val="F580EB72"/>
    <w:lvl w:ilvl="0" w:tplc="CA38426E">
      <w:start w:val="2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33C7F8A"/>
    <w:multiLevelType w:val="multilevel"/>
    <w:tmpl w:val="EAB49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4" w15:restartNumberingAfterBreak="0">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9"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2B296C"/>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22" w15:restartNumberingAfterBreak="0">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17"/>
  </w:num>
  <w:num w:numId="5">
    <w:abstractNumId w:val="15"/>
  </w:num>
  <w:num w:numId="6">
    <w:abstractNumId w:val="9"/>
  </w:num>
  <w:num w:numId="7">
    <w:abstractNumId w:val="3"/>
  </w:num>
  <w:num w:numId="8">
    <w:abstractNumId w:val="10"/>
  </w:num>
  <w:num w:numId="9">
    <w:abstractNumId w:val="7"/>
  </w:num>
  <w:num w:numId="10">
    <w:abstractNumId w:val="14"/>
  </w:num>
  <w:num w:numId="11">
    <w:abstractNumId w:val="6"/>
  </w:num>
  <w:num w:numId="12">
    <w:abstractNumId w:val="16"/>
  </w:num>
  <w:num w:numId="13">
    <w:abstractNumId w:val="20"/>
  </w:num>
  <w:num w:numId="14">
    <w:abstractNumId w:val="21"/>
  </w:num>
  <w:num w:numId="15">
    <w:abstractNumId w:val="12"/>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2"/>
  </w:num>
  <w:num w:numId="19">
    <w:abstractNumId w:val="8"/>
  </w:num>
  <w:num w:numId="20">
    <w:abstractNumId w:val="2"/>
  </w:num>
  <w:num w:numId="21">
    <w:abstractNumId w:val="0"/>
  </w:num>
  <w:num w:numId="22">
    <w:abstractNumId w:val="11"/>
  </w:num>
  <w:num w:numId="23">
    <w:abstractNumId w:val="1"/>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27D96"/>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5293"/>
    <w:rsid w:val="00106BFC"/>
    <w:rsid w:val="00110B14"/>
    <w:rsid w:val="001123C4"/>
    <w:rsid w:val="001129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65B28"/>
    <w:rsid w:val="001701D2"/>
    <w:rsid w:val="0017277E"/>
    <w:rsid w:val="00176E96"/>
    <w:rsid w:val="00177B0E"/>
    <w:rsid w:val="001805BD"/>
    <w:rsid w:val="0018125C"/>
    <w:rsid w:val="00185287"/>
    <w:rsid w:val="00185CA5"/>
    <w:rsid w:val="0018681F"/>
    <w:rsid w:val="001873EC"/>
    <w:rsid w:val="001907AB"/>
    <w:rsid w:val="00191650"/>
    <w:rsid w:val="0019180E"/>
    <w:rsid w:val="00192B15"/>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3E5C"/>
    <w:rsid w:val="001C6378"/>
    <w:rsid w:val="001C724D"/>
    <w:rsid w:val="001D6837"/>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097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6E2D"/>
    <w:rsid w:val="00261C8A"/>
    <w:rsid w:val="00261F20"/>
    <w:rsid w:val="00264429"/>
    <w:rsid w:val="002705F2"/>
    <w:rsid w:val="00271048"/>
    <w:rsid w:val="00275D43"/>
    <w:rsid w:val="00276410"/>
    <w:rsid w:val="00281081"/>
    <w:rsid w:val="002819D5"/>
    <w:rsid w:val="002819E3"/>
    <w:rsid w:val="0028316A"/>
    <w:rsid w:val="002848EE"/>
    <w:rsid w:val="002855A0"/>
    <w:rsid w:val="00286420"/>
    <w:rsid w:val="00286FAC"/>
    <w:rsid w:val="00286FCA"/>
    <w:rsid w:val="00290174"/>
    <w:rsid w:val="00291E9C"/>
    <w:rsid w:val="0029430A"/>
    <w:rsid w:val="00294E78"/>
    <w:rsid w:val="002A1A7D"/>
    <w:rsid w:val="002A3508"/>
    <w:rsid w:val="002B14B7"/>
    <w:rsid w:val="002B161E"/>
    <w:rsid w:val="002B26C7"/>
    <w:rsid w:val="002B3B4E"/>
    <w:rsid w:val="002B7B98"/>
    <w:rsid w:val="002C1450"/>
    <w:rsid w:val="002C1955"/>
    <w:rsid w:val="002C4A83"/>
    <w:rsid w:val="002C76EC"/>
    <w:rsid w:val="002D098F"/>
    <w:rsid w:val="002D1491"/>
    <w:rsid w:val="002D149A"/>
    <w:rsid w:val="002D1D64"/>
    <w:rsid w:val="002D2DE6"/>
    <w:rsid w:val="002D3010"/>
    <w:rsid w:val="002D41A8"/>
    <w:rsid w:val="002E1A20"/>
    <w:rsid w:val="002E23C0"/>
    <w:rsid w:val="002E2759"/>
    <w:rsid w:val="002E3040"/>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26B61"/>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2514"/>
    <w:rsid w:val="0036487E"/>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C05"/>
    <w:rsid w:val="003D3238"/>
    <w:rsid w:val="003D37CB"/>
    <w:rsid w:val="003D56B2"/>
    <w:rsid w:val="003E3D96"/>
    <w:rsid w:val="003F086B"/>
    <w:rsid w:val="003F0B56"/>
    <w:rsid w:val="003F338A"/>
    <w:rsid w:val="0040034A"/>
    <w:rsid w:val="0040054B"/>
    <w:rsid w:val="00402610"/>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1B8"/>
    <w:rsid w:val="004318A8"/>
    <w:rsid w:val="004319A9"/>
    <w:rsid w:val="00433F04"/>
    <w:rsid w:val="00435DDE"/>
    <w:rsid w:val="004364FA"/>
    <w:rsid w:val="0043753F"/>
    <w:rsid w:val="0044005E"/>
    <w:rsid w:val="00441557"/>
    <w:rsid w:val="004442F1"/>
    <w:rsid w:val="00444341"/>
    <w:rsid w:val="00444BE1"/>
    <w:rsid w:val="00447BA7"/>
    <w:rsid w:val="00453090"/>
    <w:rsid w:val="004533CB"/>
    <w:rsid w:val="004555D4"/>
    <w:rsid w:val="00455731"/>
    <w:rsid w:val="00460B2C"/>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4C2"/>
    <w:rsid w:val="004971D3"/>
    <w:rsid w:val="00497682"/>
    <w:rsid w:val="004A05F8"/>
    <w:rsid w:val="004A144B"/>
    <w:rsid w:val="004A19B0"/>
    <w:rsid w:val="004A2920"/>
    <w:rsid w:val="004A2B63"/>
    <w:rsid w:val="004A398E"/>
    <w:rsid w:val="004A4292"/>
    <w:rsid w:val="004A5974"/>
    <w:rsid w:val="004A6774"/>
    <w:rsid w:val="004A694E"/>
    <w:rsid w:val="004A794D"/>
    <w:rsid w:val="004A7CEA"/>
    <w:rsid w:val="004B0BD7"/>
    <w:rsid w:val="004B2C1F"/>
    <w:rsid w:val="004B390B"/>
    <w:rsid w:val="004B406C"/>
    <w:rsid w:val="004B6FF9"/>
    <w:rsid w:val="004C027F"/>
    <w:rsid w:val="004C060B"/>
    <w:rsid w:val="004C0B81"/>
    <w:rsid w:val="004C4CD4"/>
    <w:rsid w:val="004C58AD"/>
    <w:rsid w:val="004D104E"/>
    <w:rsid w:val="004D12D5"/>
    <w:rsid w:val="004D19F1"/>
    <w:rsid w:val="004D4850"/>
    <w:rsid w:val="004D5CFC"/>
    <w:rsid w:val="004D704E"/>
    <w:rsid w:val="004E05F5"/>
    <w:rsid w:val="004E1DBF"/>
    <w:rsid w:val="004E45EA"/>
    <w:rsid w:val="004E5FD1"/>
    <w:rsid w:val="004F1BFE"/>
    <w:rsid w:val="004F26A4"/>
    <w:rsid w:val="004F2E5B"/>
    <w:rsid w:val="004F2ECB"/>
    <w:rsid w:val="00504C87"/>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59FC"/>
    <w:rsid w:val="00586147"/>
    <w:rsid w:val="005869B3"/>
    <w:rsid w:val="00586E1B"/>
    <w:rsid w:val="00590BBD"/>
    <w:rsid w:val="005914AC"/>
    <w:rsid w:val="0059509A"/>
    <w:rsid w:val="005A0808"/>
    <w:rsid w:val="005A2652"/>
    <w:rsid w:val="005A487C"/>
    <w:rsid w:val="005A5BDC"/>
    <w:rsid w:val="005A5DD1"/>
    <w:rsid w:val="005A6334"/>
    <w:rsid w:val="005A69E8"/>
    <w:rsid w:val="005A7A8A"/>
    <w:rsid w:val="005A7F77"/>
    <w:rsid w:val="005B0B22"/>
    <w:rsid w:val="005B0C35"/>
    <w:rsid w:val="005B398B"/>
    <w:rsid w:val="005B56E3"/>
    <w:rsid w:val="005C065F"/>
    <w:rsid w:val="005C0680"/>
    <w:rsid w:val="005C0802"/>
    <w:rsid w:val="005C0D3C"/>
    <w:rsid w:val="005C40E0"/>
    <w:rsid w:val="005C508C"/>
    <w:rsid w:val="005C5345"/>
    <w:rsid w:val="005C6458"/>
    <w:rsid w:val="005D0DF1"/>
    <w:rsid w:val="005D1B03"/>
    <w:rsid w:val="005D2790"/>
    <w:rsid w:val="005D64E3"/>
    <w:rsid w:val="005D6DF7"/>
    <w:rsid w:val="005D7E90"/>
    <w:rsid w:val="005E2A8E"/>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2A2F"/>
    <w:rsid w:val="00625409"/>
    <w:rsid w:val="006302E4"/>
    <w:rsid w:val="00630E58"/>
    <w:rsid w:val="00631D6A"/>
    <w:rsid w:val="0063357B"/>
    <w:rsid w:val="006345B2"/>
    <w:rsid w:val="00634677"/>
    <w:rsid w:val="006348F9"/>
    <w:rsid w:val="00635EB2"/>
    <w:rsid w:val="00636479"/>
    <w:rsid w:val="00636B12"/>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0EE2"/>
    <w:rsid w:val="006F2D3D"/>
    <w:rsid w:val="006F3997"/>
    <w:rsid w:val="006F5BD2"/>
    <w:rsid w:val="006F602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1AF7"/>
    <w:rsid w:val="007A249A"/>
    <w:rsid w:val="007A39C4"/>
    <w:rsid w:val="007A4328"/>
    <w:rsid w:val="007A4A0D"/>
    <w:rsid w:val="007A4FE2"/>
    <w:rsid w:val="007A5779"/>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093A"/>
    <w:rsid w:val="00803BC9"/>
    <w:rsid w:val="0080425D"/>
    <w:rsid w:val="008070AD"/>
    <w:rsid w:val="00807370"/>
    <w:rsid w:val="00810295"/>
    <w:rsid w:val="00810E57"/>
    <w:rsid w:val="0081148A"/>
    <w:rsid w:val="00813FD9"/>
    <w:rsid w:val="008214BE"/>
    <w:rsid w:val="00821938"/>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6CF8"/>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153E"/>
    <w:rsid w:val="008A2805"/>
    <w:rsid w:val="008A3AA1"/>
    <w:rsid w:val="008A3EC7"/>
    <w:rsid w:val="008A65BD"/>
    <w:rsid w:val="008B147B"/>
    <w:rsid w:val="008B1D73"/>
    <w:rsid w:val="008B21DB"/>
    <w:rsid w:val="008B23FF"/>
    <w:rsid w:val="008B325C"/>
    <w:rsid w:val="008B4130"/>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65D8"/>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0721"/>
    <w:rsid w:val="00971253"/>
    <w:rsid w:val="00972288"/>
    <w:rsid w:val="00973500"/>
    <w:rsid w:val="00974948"/>
    <w:rsid w:val="0097601C"/>
    <w:rsid w:val="00980F1F"/>
    <w:rsid w:val="00981112"/>
    <w:rsid w:val="00983195"/>
    <w:rsid w:val="0099160F"/>
    <w:rsid w:val="00991EE6"/>
    <w:rsid w:val="00992C06"/>
    <w:rsid w:val="0099544A"/>
    <w:rsid w:val="00995A11"/>
    <w:rsid w:val="00995CFB"/>
    <w:rsid w:val="00995E9F"/>
    <w:rsid w:val="009971E3"/>
    <w:rsid w:val="00997310"/>
    <w:rsid w:val="009975C3"/>
    <w:rsid w:val="009A0041"/>
    <w:rsid w:val="009A0F5B"/>
    <w:rsid w:val="009A2C14"/>
    <w:rsid w:val="009A4D95"/>
    <w:rsid w:val="009A61EF"/>
    <w:rsid w:val="009B11F1"/>
    <w:rsid w:val="009B5961"/>
    <w:rsid w:val="009B6E12"/>
    <w:rsid w:val="009B78AB"/>
    <w:rsid w:val="009C3078"/>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AD9"/>
    <w:rsid w:val="00A91BDC"/>
    <w:rsid w:val="00A920C3"/>
    <w:rsid w:val="00A92ADE"/>
    <w:rsid w:val="00A92B60"/>
    <w:rsid w:val="00A92BC0"/>
    <w:rsid w:val="00A93A42"/>
    <w:rsid w:val="00A94FDC"/>
    <w:rsid w:val="00A95513"/>
    <w:rsid w:val="00A960AC"/>
    <w:rsid w:val="00A9672E"/>
    <w:rsid w:val="00A96CF1"/>
    <w:rsid w:val="00AA5012"/>
    <w:rsid w:val="00AA552B"/>
    <w:rsid w:val="00AA7DC3"/>
    <w:rsid w:val="00AB2C3E"/>
    <w:rsid w:val="00AB433A"/>
    <w:rsid w:val="00AB4E2D"/>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E5D5C"/>
    <w:rsid w:val="00AE6AD7"/>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15A7"/>
    <w:rsid w:val="00B22306"/>
    <w:rsid w:val="00B22482"/>
    <w:rsid w:val="00B22E44"/>
    <w:rsid w:val="00B23AD4"/>
    <w:rsid w:val="00B23F3B"/>
    <w:rsid w:val="00B245F8"/>
    <w:rsid w:val="00B26BCC"/>
    <w:rsid w:val="00B304B5"/>
    <w:rsid w:val="00B30884"/>
    <w:rsid w:val="00B347A4"/>
    <w:rsid w:val="00B34D5A"/>
    <w:rsid w:val="00B35237"/>
    <w:rsid w:val="00B36120"/>
    <w:rsid w:val="00B363C5"/>
    <w:rsid w:val="00B37412"/>
    <w:rsid w:val="00B41BCA"/>
    <w:rsid w:val="00B43DDA"/>
    <w:rsid w:val="00B473D4"/>
    <w:rsid w:val="00B5030D"/>
    <w:rsid w:val="00B50D3D"/>
    <w:rsid w:val="00B51D21"/>
    <w:rsid w:val="00B51D63"/>
    <w:rsid w:val="00B52653"/>
    <w:rsid w:val="00B53FAE"/>
    <w:rsid w:val="00B55074"/>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6E42"/>
    <w:rsid w:val="00B973B1"/>
    <w:rsid w:val="00BA1E59"/>
    <w:rsid w:val="00BA3EBC"/>
    <w:rsid w:val="00BA4D78"/>
    <w:rsid w:val="00BA4DFE"/>
    <w:rsid w:val="00BA5990"/>
    <w:rsid w:val="00BA6D16"/>
    <w:rsid w:val="00BB0885"/>
    <w:rsid w:val="00BB3635"/>
    <w:rsid w:val="00BB3736"/>
    <w:rsid w:val="00BB3EE3"/>
    <w:rsid w:val="00BC06CD"/>
    <w:rsid w:val="00BC236D"/>
    <w:rsid w:val="00BC329B"/>
    <w:rsid w:val="00BC541E"/>
    <w:rsid w:val="00BC57FC"/>
    <w:rsid w:val="00BC6128"/>
    <w:rsid w:val="00BC7FD9"/>
    <w:rsid w:val="00BD05FD"/>
    <w:rsid w:val="00BD0F53"/>
    <w:rsid w:val="00BD3292"/>
    <w:rsid w:val="00BD4D3C"/>
    <w:rsid w:val="00BD552A"/>
    <w:rsid w:val="00BE1732"/>
    <w:rsid w:val="00BE28E3"/>
    <w:rsid w:val="00BE41D3"/>
    <w:rsid w:val="00BE77EE"/>
    <w:rsid w:val="00BE7A12"/>
    <w:rsid w:val="00BF0C63"/>
    <w:rsid w:val="00BF23F7"/>
    <w:rsid w:val="00BF2D2A"/>
    <w:rsid w:val="00BF3546"/>
    <w:rsid w:val="00C00322"/>
    <w:rsid w:val="00C014B2"/>
    <w:rsid w:val="00C014CC"/>
    <w:rsid w:val="00C03A59"/>
    <w:rsid w:val="00C0624F"/>
    <w:rsid w:val="00C0675C"/>
    <w:rsid w:val="00C06B28"/>
    <w:rsid w:val="00C11EA9"/>
    <w:rsid w:val="00C13D22"/>
    <w:rsid w:val="00C1519F"/>
    <w:rsid w:val="00C1560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3A70"/>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48A3"/>
    <w:rsid w:val="00CD597E"/>
    <w:rsid w:val="00CD5D74"/>
    <w:rsid w:val="00CD6A76"/>
    <w:rsid w:val="00CD6C63"/>
    <w:rsid w:val="00CD7880"/>
    <w:rsid w:val="00CE2704"/>
    <w:rsid w:val="00CE3775"/>
    <w:rsid w:val="00CF163D"/>
    <w:rsid w:val="00CF366E"/>
    <w:rsid w:val="00CF55D1"/>
    <w:rsid w:val="00CF604F"/>
    <w:rsid w:val="00CF6FCA"/>
    <w:rsid w:val="00CF7469"/>
    <w:rsid w:val="00D000C8"/>
    <w:rsid w:val="00D0026B"/>
    <w:rsid w:val="00D01AE9"/>
    <w:rsid w:val="00D07259"/>
    <w:rsid w:val="00D0737E"/>
    <w:rsid w:val="00D07F91"/>
    <w:rsid w:val="00D10352"/>
    <w:rsid w:val="00D11D8A"/>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4DA8"/>
    <w:rsid w:val="00D8725D"/>
    <w:rsid w:val="00D87C2C"/>
    <w:rsid w:val="00D91AF3"/>
    <w:rsid w:val="00D930B0"/>
    <w:rsid w:val="00D9728B"/>
    <w:rsid w:val="00D9754A"/>
    <w:rsid w:val="00D976CB"/>
    <w:rsid w:val="00DA4198"/>
    <w:rsid w:val="00DA4C5D"/>
    <w:rsid w:val="00DA504B"/>
    <w:rsid w:val="00DA5075"/>
    <w:rsid w:val="00DB0AC9"/>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DF5B7D"/>
    <w:rsid w:val="00E0059F"/>
    <w:rsid w:val="00E03FEE"/>
    <w:rsid w:val="00E10F08"/>
    <w:rsid w:val="00E16159"/>
    <w:rsid w:val="00E16476"/>
    <w:rsid w:val="00E2079D"/>
    <w:rsid w:val="00E20FB9"/>
    <w:rsid w:val="00E2181D"/>
    <w:rsid w:val="00E21F12"/>
    <w:rsid w:val="00E22022"/>
    <w:rsid w:val="00E2250A"/>
    <w:rsid w:val="00E22729"/>
    <w:rsid w:val="00E23B15"/>
    <w:rsid w:val="00E2414E"/>
    <w:rsid w:val="00E25C43"/>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57AD8"/>
    <w:rsid w:val="00E622F3"/>
    <w:rsid w:val="00E63E32"/>
    <w:rsid w:val="00E640C0"/>
    <w:rsid w:val="00E64768"/>
    <w:rsid w:val="00E67F24"/>
    <w:rsid w:val="00E741B4"/>
    <w:rsid w:val="00E74251"/>
    <w:rsid w:val="00E765C1"/>
    <w:rsid w:val="00E76D8B"/>
    <w:rsid w:val="00E773A3"/>
    <w:rsid w:val="00E81FFB"/>
    <w:rsid w:val="00E8325E"/>
    <w:rsid w:val="00E84B3D"/>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3A7E"/>
    <w:rsid w:val="00F257B3"/>
    <w:rsid w:val="00F30CA6"/>
    <w:rsid w:val="00F32105"/>
    <w:rsid w:val="00F35C2E"/>
    <w:rsid w:val="00F370CE"/>
    <w:rsid w:val="00F41C44"/>
    <w:rsid w:val="00F42913"/>
    <w:rsid w:val="00F46707"/>
    <w:rsid w:val="00F46A73"/>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4029"/>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3911"/>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2A2F"/>
    <w:rPr>
      <w:rFonts w:ascii="Times New Roman" w:eastAsia="Times New Roman" w:hAnsi="Times New Roman" w:cs="Times New Roman"/>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sz w:val="20"/>
      <w:szCs w:val="20"/>
    </w:rPr>
  </w:style>
  <w:style w:type="paragraph" w:customStyle="1" w:styleId="FormText1">
    <w:name w:val="Form Text 1"/>
    <w:rsid w:val="00762354"/>
    <w:rPr>
      <w:rFonts w:ascii="Arial" w:eastAsia="Times New Roman" w:hAnsi="Arial" w:cs="Times New Roman"/>
      <w:sz w:val="20"/>
      <w:szCs w:val="20"/>
    </w:rPr>
  </w:style>
  <w:style w:type="character" w:styleId="UnresolvedMention">
    <w:name w:val="Unresolved Mention"/>
    <w:basedOn w:val="DefaultParagraphFont"/>
    <w:uiPriority w:val="99"/>
    <w:rsid w:val="009165D8"/>
    <w:rPr>
      <w:color w:val="808080"/>
      <w:shd w:val="clear" w:color="auto" w:fill="E6E6E6"/>
    </w:rPr>
  </w:style>
  <w:style w:type="character" w:styleId="Emphasis">
    <w:name w:val="Emphasis"/>
    <w:basedOn w:val="DefaultParagraphFont"/>
    <w:uiPriority w:val="20"/>
    <w:qFormat/>
    <w:rsid w:val="00B96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5669">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3692037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67129234">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35374064">
      <w:bodyDiv w:val="1"/>
      <w:marLeft w:val="0"/>
      <w:marRight w:val="0"/>
      <w:marTop w:val="0"/>
      <w:marBottom w:val="0"/>
      <w:divBdr>
        <w:top w:val="none" w:sz="0" w:space="0" w:color="auto"/>
        <w:left w:val="none" w:sz="0" w:space="0" w:color="auto"/>
        <w:bottom w:val="none" w:sz="0" w:space="0" w:color="auto"/>
        <w:right w:val="none" w:sz="0" w:space="0" w:color="auto"/>
      </w:divBdr>
    </w:div>
    <w:div w:id="445739078">
      <w:bodyDiv w:val="1"/>
      <w:marLeft w:val="0"/>
      <w:marRight w:val="0"/>
      <w:marTop w:val="0"/>
      <w:marBottom w:val="0"/>
      <w:divBdr>
        <w:top w:val="none" w:sz="0" w:space="0" w:color="auto"/>
        <w:left w:val="none" w:sz="0" w:space="0" w:color="auto"/>
        <w:bottom w:val="none" w:sz="0" w:space="0" w:color="auto"/>
        <w:right w:val="none" w:sz="0" w:space="0" w:color="auto"/>
      </w:divBdr>
    </w:div>
    <w:div w:id="488398599">
      <w:bodyDiv w:val="1"/>
      <w:marLeft w:val="0"/>
      <w:marRight w:val="0"/>
      <w:marTop w:val="0"/>
      <w:marBottom w:val="0"/>
      <w:divBdr>
        <w:top w:val="none" w:sz="0" w:space="0" w:color="auto"/>
        <w:left w:val="none" w:sz="0" w:space="0" w:color="auto"/>
        <w:bottom w:val="none" w:sz="0" w:space="0" w:color="auto"/>
        <w:right w:val="none" w:sz="0" w:space="0" w:color="auto"/>
      </w:divBdr>
    </w:div>
    <w:div w:id="503009084">
      <w:bodyDiv w:val="1"/>
      <w:marLeft w:val="0"/>
      <w:marRight w:val="0"/>
      <w:marTop w:val="0"/>
      <w:marBottom w:val="0"/>
      <w:divBdr>
        <w:top w:val="none" w:sz="0" w:space="0" w:color="auto"/>
        <w:left w:val="none" w:sz="0" w:space="0" w:color="auto"/>
        <w:bottom w:val="none" w:sz="0" w:space="0" w:color="auto"/>
        <w:right w:val="none" w:sz="0" w:space="0" w:color="auto"/>
      </w:divBdr>
    </w:div>
    <w:div w:id="558127510">
      <w:bodyDiv w:val="1"/>
      <w:marLeft w:val="0"/>
      <w:marRight w:val="0"/>
      <w:marTop w:val="0"/>
      <w:marBottom w:val="0"/>
      <w:divBdr>
        <w:top w:val="none" w:sz="0" w:space="0" w:color="auto"/>
        <w:left w:val="none" w:sz="0" w:space="0" w:color="auto"/>
        <w:bottom w:val="none" w:sz="0" w:space="0" w:color="auto"/>
        <w:right w:val="none" w:sz="0" w:space="0" w:color="auto"/>
      </w:divBdr>
    </w:div>
    <w:div w:id="569313694">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642732533">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20483288">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078090563">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361274958">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143584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05440964">
      <w:bodyDiv w:val="1"/>
      <w:marLeft w:val="0"/>
      <w:marRight w:val="0"/>
      <w:marTop w:val="0"/>
      <w:marBottom w:val="0"/>
      <w:divBdr>
        <w:top w:val="none" w:sz="0" w:space="0" w:color="auto"/>
        <w:left w:val="none" w:sz="0" w:space="0" w:color="auto"/>
        <w:bottom w:val="none" w:sz="0" w:space="0" w:color="auto"/>
        <w:right w:val="none" w:sz="0" w:space="0" w:color="auto"/>
      </w:divBdr>
    </w:div>
    <w:div w:id="1513762541">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28524970">
      <w:bodyDiv w:val="1"/>
      <w:marLeft w:val="0"/>
      <w:marRight w:val="0"/>
      <w:marTop w:val="0"/>
      <w:marBottom w:val="0"/>
      <w:divBdr>
        <w:top w:val="none" w:sz="0" w:space="0" w:color="auto"/>
        <w:left w:val="none" w:sz="0" w:space="0" w:color="auto"/>
        <w:bottom w:val="none" w:sz="0" w:space="0" w:color="auto"/>
        <w:right w:val="none" w:sz="0" w:space="0" w:color="auto"/>
      </w:divBdr>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6077695">
      <w:bodyDiv w:val="1"/>
      <w:marLeft w:val="0"/>
      <w:marRight w:val="0"/>
      <w:marTop w:val="0"/>
      <w:marBottom w:val="0"/>
      <w:divBdr>
        <w:top w:val="none" w:sz="0" w:space="0" w:color="auto"/>
        <w:left w:val="none" w:sz="0" w:space="0" w:color="auto"/>
        <w:bottom w:val="none" w:sz="0" w:space="0" w:color="auto"/>
        <w:right w:val="none" w:sz="0" w:space="0" w:color="auto"/>
      </w:divBdr>
    </w:div>
    <w:div w:id="1707440843">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00231002">
      <w:bodyDiv w:val="1"/>
      <w:marLeft w:val="0"/>
      <w:marRight w:val="0"/>
      <w:marTop w:val="0"/>
      <w:marBottom w:val="0"/>
      <w:divBdr>
        <w:top w:val="none" w:sz="0" w:space="0" w:color="auto"/>
        <w:left w:val="none" w:sz="0" w:space="0" w:color="auto"/>
        <w:bottom w:val="none" w:sz="0" w:space="0" w:color="auto"/>
        <w:right w:val="none" w:sz="0" w:space="0" w:color="auto"/>
      </w:divBdr>
    </w:div>
    <w:div w:id="2002194681">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3231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strategic-engagement-2013-10-10-en" TargetMode="External"/><Relationship Id="rId13" Type="http://schemas.openxmlformats.org/officeDocument/2006/relationships/hyperlink" Target="https://community.icann.org/x/0o5YA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ith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octo-ssr/daa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cann.org/accountability-indicators" TargetMode="External"/><Relationship Id="rId4" Type="http://schemas.openxmlformats.org/officeDocument/2006/relationships/settings" Target="settings.xml"/><Relationship Id="rId9" Type="http://schemas.openxmlformats.org/officeDocument/2006/relationships/hyperlink" Target="https://www.icann.org/en/system/files/files/gtld-marketplace-health-index-beta-14dec17-en.pdf" TargetMode="External"/><Relationship Id="rId14" Type="http://schemas.openxmlformats.org/officeDocument/2006/relationships/hyperlink" Target="https://www.icann.org/resources/reviews/cct/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42AEF-E92B-0A42-ABF5-FF403630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2018-04-26T17:36:00Z</dcterms:created>
  <dcterms:modified xsi:type="dcterms:W3CDTF">2018-04-26T17:37:00Z</dcterms:modified>
</cp:coreProperties>
</file>