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F411" w14:textId="7C9AF75F" w:rsidR="00BE1C68" w:rsidRPr="0068316F" w:rsidRDefault="004B24CC" w:rsidP="0068316F">
      <w:pPr>
        <w:shd w:val="clear" w:color="auto" w:fill="244061" w:themeFill="accent1" w:themeFillShade="80"/>
        <w:rPr>
          <w:b/>
          <w:sz w:val="32"/>
          <w:szCs w:val="32"/>
        </w:rPr>
      </w:pPr>
      <w:r w:rsidRPr="0068316F">
        <w:rPr>
          <w:b/>
          <w:sz w:val="32"/>
          <w:szCs w:val="32"/>
        </w:rPr>
        <w:t xml:space="preserve">2012 </w:t>
      </w:r>
      <w:r w:rsidR="00D27730">
        <w:rPr>
          <w:b/>
          <w:sz w:val="32"/>
          <w:szCs w:val="32"/>
        </w:rPr>
        <w:t xml:space="preserve">New </w:t>
      </w:r>
      <w:proofErr w:type="spellStart"/>
      <w:r w:rsidR="00D27730">
        <w:rPr>
          <w:b/>
          <w:sz w:val="32"/>
          <w:szCs w:val="32"/>
        </w:rPr>
        <w:t>gTLD</w:t>
      </w:r>
      <w:proofErr w:type="spellEnd"/>
      <w:r w:rsidR="00D27730">
        <w:rPr>
          <w:b/>
          <w:sz w:val="32"/>
          <w:szCs w:val="32"/>
        </w:rPr>
        <w:t xml:space="preserve"> Program </w:t>
      </w:r>
      <w:r w:rsidRPr="0068316F">
        <w:rPr>
          <w:b/>
          <w:sz w:val="32"/>
          <w:szCs w:val="32"/>
        </w:rPr>
        <w:t xml:space="preserve">Round – </w:t>
      </w:r>
      <w:r w:rsidR="00875DA3">
        <w:rPr>
          <w:b/>
          <w:sz w:val="32"/>
          <w:szCs w:val="32"/>
        </w:rPr>
        <w:t>Uniform Rapid Suspension (URS) Cases &amp;</w:t>
      </w:r>
      <w:r w:rsidRPr="0068316F">
        <w:rPr>
          <w:b/>
          <w:sz w:val="32"/>
          <w:szCs w:val="32"/>
        </w:rPr>
        <w:t xml:space="preserve"> </w:t>
      </w:r>
      <w:r w:rsidR="00867488">
        <w:rPr>
          <w:b/>
          <w:sz w:val="32"/>
          <w:szCs w:val="32"/>
        </w:rPr>
        <w:t xml:space="preserve">Initial </w:t>
      </w:r>
      <w:r w:rsidRPr="0068316F">
        <w:rPr>
          <w:b/>
          <w:sz w:val="32"/>
          <w:szCs w:val="32"/>
        </w:rPr>
        <w:t>Metrics</w:t>
      </w:r>
    </w:p>
    <w:p w14:paraId="5403EE35" w14:textId="1FEFDEBC" w:rsidR="004974AD" w:rsidRPr="004974AD" w:rsidRDefault="004974AD" w:rsidP="00802E32">
      <w:pPr>
        <w:rPr>
          <w:b/>
          <w:sz w:val="28"/>
          <w:szCs w:val="28"/>
        </w:rPr>
      </w:pPr>
      <w:r>
        <w:rPr>
          <w:b/>
          <w:sz w:val="28"/>
          <w:szCs w:val="28"/>
        </w:rPr>
        <w:t xml:space="preserve">I. </w:t>
      </w:r>
      <w:r w:rsidRPr="004974AD">
        <w:rPr>
          <w:b/>
          <w:sz w:val="28"/>
          <w:szCs w:val="28"/>
        </w:rPr>
        <w:t>GTLD DELEGATION NUMBERS</w:t>
      </w:r>
    </w:p>
    <w:p w14:paraId="7948372C" w14:textId="4757576E" w:rsidR="00802E32" w:rsidRPr="00802E32" w:rsidRDefault="00802E32" w:rsidP="00802E32">
      <w:r>
        <w:t>The f</w:t>
      </w:r>
      <w:r w:rsidR="00562092">
        <w:t>ollowing</w:t>
      </w:r>
      <w:r>
        <w:t xml:space="preserve"> show</w:t>
      </w:r>
      <w:r w:rsidR="00562092">
        <w:t>s</w:t>
      </w:r>
      <w:r>
        <w:t xml:space="preserve"> the </w:t>
      </w:r>
      <w:r w:rsidR="00B82245">
        <w:t>number</w:t>
      </w:r>
      <w:r>
        <w:t xml:space="preserve"> of </w:t>
      </w:r>
      <w:proofErr w:type="spellStart"/>
      <w:r>
        <w:t>gTLDs</w:t>
      </w:r>
      <w:proofErr w:type="spellEnd"/>
      <w:r>
        <w:t xml:space="preserve"> delegated by year </w:t>
      </w:r>
      <w:r w:rsidR="00562092">
        <w:t>from</w:t>
      </w:r>
      <w:r>
        <w:t xml:space="preserve"> the 2012 New </w:t>
      </w:r>
      <w:proofErr w:type="spellStart"/>
      <w:r>
        <w:t>gTLD</w:t>
      </w:r>
      <w:proofErr w:type="spellEnd"/>
      <w:r>
        <w:t xml:space="preserve"> Program round; </w:t>
      </w:r>
      <w:r w:rsidR="00562092">
        <w:t>it</w:t>
      </w:r>
      <w:r>
        <w:t xml:space="preserve"> </w:t>
      </w:r>
      <w:r w:rsidR="00562092">
        <w:t xml:space="preserve">helps to </w:t>
      </w:r>
      <w:r>
        <w:t xml:space="preserve">provide context for the </w:t>
      </w:r>
      <w:r w:rsidR="00562092">
        <w:t>URS</w:t>
      </w:r>
      <w:r>
        <w:t xml:space="preserve"> data contained elsewhere in this draft report.</w:t>
      </w:r>
      <w:r w:rsidR="00875DA3">
        <w:t xml:space="preserve"> </w:t>
      </w:r>
      <w:r w:rsidR="00901AA0" w:rsidRPr="00901AA0">
        <w:t>This introductory information was also presented to the Working Group for Sunrise Registration metrics for the same purpose of context</w:t>
      </w:r>
      <w:proofErr w:type="gramStart"/>
      <w:r w:rsidR="00901AA0" w:rsidRPr="00901AA0">
        <w:t>.</w:t>
      </w:r>
      <w:r w:rsidR="00901AA0" w:rsidRPr="00901AA0" w:rsidDel="00901AA0">
        <w:t xml:space="preserve"> </w:t>
      </w:r>
      <w:r w:rsidR="00875DA3">
        <w:t>.</w:t>
      </w:r>
      <w:proofErr w:type="gramEnd"/>
    </w:p>
    <w:p w14:paraId="407BF962" w14:textId="7CC1E2B6" w:rsidR="004B24CC" w:rsidRPr="0068316F" w:rsidRDefault="00783302" w:rsidP="00BD791C">
      <w:pPr>
        <w:spacing w:after="0" w:line="240" w:lineRule="auto"/>
        <w:rPr>
          <w:b/>
          <w:sz w:val="28"/>
          <w:szCs w:val="28"/>
        </w:rPr>
      </w:pPr>
      <w:r>
        <w:rPr>
          <w:b/>
          <w:sz w:val="28"/>
          <w:szCs w:val="28"/>
        </w:rPr>
        <w:t xml:space="preserve">CHART 1: </w:t>
      </w:r>
      <w:proofErr w:type="spellStart"/>
      <w:r w:rsidR="004B24CC" w:rsidRPr="0068316F">
        <w:rPr>
          <w:b/>
          <w:sz w:val="28"/>
          <w:szCs w:val="28"/>
        </w:rPr>
        <w:t>gTLDs</w:t>
      </w:r>
      <w:proofErr w:type="spellEnd"/>
      <w:r w:rsidR="004B24CC" w:rsidRPr="0068316F">
        <w:rPr>
          <w:b/>
          <w:sz w:val="28"/>
          <w:szCs w:val="28"/>
        </w:rPr>
        <w:t xml:space="preserve"> Delegated by Year</w:t>
      </w:r>
      <w:r w:rsidR="0068316F" w:rsidRPr="0068316F">
        <w:rPr>
          <w:b/>
          <w:sz w:val="28"/>
          <w:szCs w:val="28"/>
        </w:rPr>
        <w:t xml:space="preserve"> by Type</w:t>
      </w:r>
      <w:r w:rsidR="00BD791C" w:rsidRPr="0068316F">
        <w:rPr>
          <w:b/>
          <w:sz w:val="28"/>
          <w:szCs w:val="28"/>
        </w:rPr>
        <w:t xml:space="preserve"> (as of </w:t>
      </w:r>
      <w:r w:rsidR="00657C35">
        <w:rPr>
          <w:b/>
          <w:sz w:val="28"/>
          <w:szCs w:val="28"/>
        </w:rPr>
        <w:t>Dec</w:t>
      </w:r>
      <w:r w:rsidR="00657C35" w:rsidRPr="0068316F">
        <w:rPr>
          <w:b/>
          <w:sz w:val="28"/>
          <w:szCs w:val="28"/>
        </w:rPr>
        <w:t xml:space="preserve"> </w:t>
      </w:r>
      <w:r w:rsidR="00BD791C" w:rsidRPr="0068316F">
        <w:rPr>
          <w:b/>
          <w:sz w:val="28"/>
          <w:szCs w:val="28"/>
        </w:rPr>
        <w:t>2017)</w:t>
      </w:r>
      <w:r w:rsidR="004B24CC" w:rsidRPr="0068316F">
        <w:rPr>
          <w:b/>
          <w:sz w:val="28"/>
          <w:szCs w:val="28"/>
        </w:rPr>
        <w:t>:</w:t>
      </w:r>
    </w:p>
    <w:p w14:paraId="4440EB0A" w14:textId="0985B58E" w:rsidR="00D27730" w:rsidRPr="00D27730" w:rsidRDefault="00BD791C" w:rsidP="00D27730">
      <w:pPr>
        <w:spacing w:after="0" w:line="240" w:lineRule="auto"/>
        <w:rPr>
          <w:sz w:val="18"/>
          <w:szCs w:val="18"/>
        </w:rPr>
      </w:pPr>
      <w:r w:rsidRPr="00BD791C">
        <w:rPr>
          <w:sz w:val="18"/>
          <w:szCs w:val="18"/>
        </w:rPr>
        <w:t>** Based on delegation date</w:t>
      </w:r>
      <w:r w:rsidR="00D27730">
        <w:rPr>
          <w:sz w:val="18"/>
          <w:szCs w:val="18"/>
        </w:rPr>
        <w:t xml:space="preserve"> as noted on the ICANN 2012 New </w:t>
      </w:r>
      <w:proofErr w:type="spellStart"/>
      <w:r w:rsidR="00D27730">
        <w:rPr>
          <w:sz w:val="18"/>
          <w:szCs w:val="18"/>
        </w:rPr>
        <w:t>gTLD</w:t>
      </w:r>
      <w:proofErr w:type="spellEnd"/>
      <w:r w:rsidR="00D27730">
        <w:rPr>
          <w:sz w:val="18"/>
          <w:szCs w:val="18"/>
        </w:rPr>
        <w:t xml:space="preserve"> Program microsite: </w:t>
      </w:r>
      <w:hyperlink r:id="rId8" w:history="1">
        <w:r w:rsidR="00D27730" w:rsidRPr="003A65D6">
          <w:rPr>
            <w:rStyle w:val="Hyperlink"/>
            <w:sz w:val="18"/>
            <w:szCs w:val="18"/>
          </w:rPr>
          <w:t>https://newgtlds.icann.org/en/program-status/delegated-strings</w:t>
        </w:r>
      </w:hyperlink>
      <w:r w:rsidR="00D27730">
        <w:rPr>
          <w:sz w:val="18"/>
          <w:szCs w:val="18"/>
        </w:rPr>
        <w:t xml:space="preserve"> </w:t>
      </w:r>
    </w:p>
    <w:p w14:paraId="2D706BDD" w14:textId="77777777" w:rsidR="004974AD" w:rsidRDefault="004974AD" w:rsidP="004974AD">
      <w:pPr>
        <w:spacing w:after="0"/>
      </w:pPr>
    </w:p>
    <w:p w14:paraId="158B00BE" w14:textId="559E444A" w:rsidR="000E3B2A" w:rsidRDefault="000E3B2A">
      <w:r>
        <w:t xml:space="preserve">2012 </w:t>
      </w:r>
      <w:r w:rsidR="00783302">
        <w:t xml:space="preserve">New </w:t>
      </w:r>
      <w:proofErr w:type="spellStart"/>
      <w:r w:rsidR="00783302">
        <w:t>gTLD</w:t>
      </w:r>
      <w:proofErr w:type="spellEnd"/>
      <w:r w:rsidR="00783302">
        <w:t xml:space="preserve"> Program </w:t>
      </w:r>
      <w:proofErr w:type="spellStart"/>
      <w:r>
        <w:t>gTLDs</w:t>
      </w:r>
      <w:proofErr w:type="spellEnd"/>
      <w:r>
        <w:t xml:space="preserve"> are all considered </w:t>
      </w:r>
      <w:r w:rsidR="00783302">
        <w:t>“g</w:t>
      </w:r>
      <w:r>
        <w:t>eneric</w:t>
      </w:r>
      <w:r w:rsidR="00783302">
        <w:t>”</w:t>
      </w:r>
      <w:r>
        <w:t xml:space="preserve"> from the perspective of IANA</w:t>
      </w:r>
      <w:r w:rsidR="00783302">
        <w:t xml:space="preserve"> (see: </w:t>
      </w:r>
      <w:hyperlink r:id="rId9" w:history="1">
        <w:r w:rsidR="00783302" w:rsidRPr="003A65D6">
          <w:rPr>
            <w:rStyle w:val="Hyperlink"/>
          </w:rPr>
          <w:t>https://www.iana.org/domains/root/db</w:t>
        </w:r>
      </w:hyperlink>
      <w:r w:rsidR="00783302">
        <w:t xml:space="preserve">). </w:t>
      </w:r>
      <w:r>
        <w:t xml:space="preserve">However, the Applicant Guidebook and subsequent implementation of the round </w:t>
      </w:r>
      <w:r w:rsidR="00783302">
        <w:t>further</w:t>
      </w:r>
      <w:r>
        <w:t xml:space="preserve"> distinguished generic TLDs </w:t>
      </w:r>
      <w:r w:rsidR="00783302">
        <w:t>from</w:t>
      </w:r>
      <w:r>
        <w:t xml:space="preserve"> Geographic TLDs that required approval from the respective authority </w:t>
      </w:r>
      <w:r w:rsidR="00783302">
        <w:t>and</w:t>
      </w:r>
      <w:r>
        <w:t xml:space="preserve"> Brands that qualified for Specification 13.  Thus, of the 1227 </w:t>
      </w:r>
      <w:proofErr w:type="spellStart"/>
      <w:r>
        <w:t>gTLDs</w:t>
      </w:r>
      <w:proofErr w:type="spellEnd"/>
      <w:r>
        <w:t xml:space="preserve"> from the 2012 round delegated to date, 694 are considered generic </w:t>
      </w:r>
      <w:r w:rsidR="00783302">
        <w:t xml:space="preserve">for the purposes of this </w:t>
      </w:r>
      <w:proofErr w:type="gramStart"/>
      <w:r w:rsidR="00783302">
        <w:t xml:space="preserve">report, </w:t>
      </w:r>
      <w:r>
        <w:t>and</w:t>
      </w:r>
      <w:proofErr w:type="gramEnd"/>
      <w:r>
        <w:t xml:space="preserve"> </w:t>
      </w:r>
      <w:r w:rsidR="00783302">
        <w:t xml:space="preserve">are </w:t>
      </w:r>
      <w:r>
        <w:t xml:space="preserve">not assigned a designation of </w:t>
      </w:r>
      <w:r w:rsidR="00783302">
        <w:t xml:space="preserve">either </w:t>
      </w:r>
      <w:r>
        <w:t>a geographic or Specification 13</w:t>
      </w:r>
      <w:r w:rsidR="00783302">
        <w:t xml:space="preserve"> </w:t>
      </w:r>
      <w:proofErr w:type="spellStart"/>
      <w:r w:rsidR="00783302">
        <w:t>gTLD</w:t>
      </w:r>
      <w:proofErr w:type="spellEnd"/>
      <w:r>
        <w:t>.</w:t>
      </w:r>
    </w:p>
    <w:p w14:paraId="10A833FF" w14:textId="77777777" w:rsidR="004B24CC" w:rsidRDefault="0068316F">
      <w:r>
        <w:rPr>
          <w:noProof/>
        </w:rPr>
        <w:drawing>
          <wp:inline distT="0" distB="0" distL="0" distR="0" wp14:anchorId="376B5DDE" wp14:editId="2CFCD49B">
            <wp:extent cx="6762750" cy="2133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0868C0" w14:textId="293FFDA8" w:rsidR="00783302" w:rsidRPr="00802E32" w:rsidRDefault="0032589A" w:rsidP="00802E32">
      <w:pPr>
        <w:jc w:val="center"/>
      </w:pPr>
      <w:r>
        <w:rPr>
          <w:noProof/>
        </w:rPr>
        <w:drawing>
          <wp:inline distT="0" distB="0" distL="0" distR="0" wp14:anchorId="7A7518AB" wp14:editId="79405A91">
            <wp:extent cx="3381375" cy="1133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133475"/>
                    </a:xfrm>
                    <a:prstGeom prst="rect">
                      <a:avLst/>
                    </a:prstGeom>
                    <a:noFill/>
                    <a:ln>
                      <a:noFill/>
                    </a:ln>
                  </pic:spPr>
                </pic:pic>
              </a:graphicData>
            </a:graphic>
          </wp:inline>
        </w:drawing>
      </w:r>
    </w:p>
    <w:p w14:paraId="797FD307" w14:textId="6FEEA14F" w:rsidR="00A25DD5" w:rsidRPr="004974AD" w:rsidRDefault="00A25DD5" w:rsidP="00A25DD5">
      <w:pPr>
        <w:rPr>
          <w:b/>
          <w:sz w:val="28"/>
          <w:szCs w:val="28"/>
        </w:rPr>
      </w:pPr>
      <w:r>
        <w:rPr>
          <w:b/>
          <w:sz w:val="28"/>
          <w:szCs w:val="28"/>
        </w:rPr>
        <w:lastRenderedPageBreak/>
        <w:t xml:space="preserve">II. URS </w:t>
      </w:r>
      <w:r w:rsidR="00361766">
        <w:rPr>
          <w:b/>
          <w:sz w:val="28"/>
          <w:szCs w:val="28"/>
        </w:rPr>
        <w:t xml:space="preserve">Definition and </w:t>
      </w:r>
      <w:r>
        <w:rPr>
          <w:b/>
          <w:sz w:val="28"/>
          <w:szCs w:val="28"/>
        </w:rPr>
        <w:t>Data</w:t>
      </w:r>
    </w:p>
    <w:p w14:paraId="3575CB87" w14:textId="22F26E60" w:rsidR="00C4663E" w:rsidRDefault="00361766" w:rsidP="00A25DD5">
      <w:pPr>
        <w:spacing w:after="0"/>
      </w:pPr>
      <w:r w:rsidRPr="00361766">
        <w:t xml:space="preserve">The Uniform Rapid Suspension System </w:t>
      </w:r>
      <w:r>
        <w:t xml:space="preserve">(URS) </w:t>
      </w:r>
      <w:r w:rsidRPr="00361766">
        <w:t xml:space="preserve">is a rights protection mechanism </w:t>
      </w:r>
      <w:r w:rsidR="00654099">
        <w:t xml:space="preserve">developed for the 2012 New </w:t>
      </w:r>
      <w:proofErr w:type="spellStart"/>
      <w:r w:rsidR="00654099">
        <w:t>gTLD</w:t>
      </w:r>
      <w:proofErr w:type="spellEnd"/>
      <w:r w:rsidR="00654099">
        <w:t xml:space="preserve"> Program round. Its substantive requirements are based on those in </w:t>
      </w:r>
      <w:r w:rsidRPr="00361766">
        <w:t xml:space="preserve">the existing </w:t>
      </w:r>
      <w:hyperlink r:id="rId12" w:history="1">
        <w:r w:rsidRPr="00361766">
          <w:rPr>
            <w:rStyle w:val="Hyperlink"/>
          </w:rPr>
          <w:t>Uniform Domain-Name Dispute Resolution Policy (UDRP)</w:t>
        </w:r>
      </w:hyperlink>
      <w:r w:rsidR="00654099" w:rsidRPr="00AF34C7">
        <w:rPr>
          <w:rStyle w:val="Hyperlink"/>
          <w:color w:val="000000" w:themeColor="text1"/>
          <w:u w:val="none"/>
        </w:rPr>
        <w:t>, with the most significant differences being the standard of proof required and the remedies permitted. It complements (but does not replace) the UDRP</w:t>
      </w:r>
      <w:r w:rsidRPr="00AF34C7">
        <w:rPr>
          <w:color w:val="000000" w:themeColor="text1"/>
        </w:rPr>
        <w:t xml:space="preserve"> </w:t>
      </w:r>
      <w:r w:rsidRPr="00361766">
        <w:t>by offering a lower-cost, faster path to relief for rights holders experiencing the most clear-cut cases of infringement</w:t>
      </w:r>
      <w:r w:rsidR="001725B5">
        <w:rPr>
          <w:rStyle w:val="FootnoteReference"/>
        </w:rPr>
        <w:footnoteReference w:id="1"/>
      </w:r>
      <w:r w:rsidRPr="00361766">
        <w:t>.</w:t>
      </w:r>
    </w:p>
    <w:p w14:paraId="0EDB1D75" w14:textId="77777777" w:rsidR="00361766" w:rsidRDefault="00361766" w:rsidP="00A25DD5">
      <w:pPr>
        <w:spacing w:after="0"/>
      </w:pPr>
    </w:p>
    <w:p w14:paraId="07284A96" w14:textId="29839199" w:rsidR="00361766" w:rsidRPr="00361766" w:rsidRDefault="00361766" w:rsidP="00361766">
      <w:pPr>
        <w:spacing w:after="0"/>
        <w:rPr>
          <w:b/>
        </w:rPr>
      </w:pPr>
      <w:r w:rsidRPr="00361766">
        <w:rPr>
          <w:b/>
        </w:rPr>
        <w:t>Resource Documents:</w:t>
      </w:r>
    </w:p>
    <w:p w14:paraId="427E33AE" w14:textId="1C2439E5" w:rsidR="00361766" w:rsidRDefault="00F846F8" w:rsidP="001725B5">
      <w:pPr>
        <w:pStyle w:val="ListParagraph"/>
        <w:numPr>
          <w:ilvl w:val="0"/>
          <w:numId w:val="6"/>
        </w:numPr>
        <w:spacing w:after="0"/>
      </w:pPr>
      <w:hyperlink r:id="rId13" w:history="1">
        <w:r w:rsidR="00361766" w:rsidRPr="001725B5">
          <w:rPr>
            <w:rStyle w:val="Hyperlink"/>
          </w:rPr>
          <w:t>URS Procedure</w:t>
        </w:r>
      </w:hyperlink>
      <w:r w:rsidR="00361766">
        <w:t xml:space="preserve"> (Published 01 March 2013) - Explains how to file a claim, what fees will be incurred and other information.</w:t>
      </w:r>
    </w:p>
    <w:p w14:paraId="2D8563BD" w14:textId="61D14898" w:rsidR="00361766" w:rsidRDefault="00F846F8" w:rsidP="001725B5">
      <w:pPr>
        <w:pStyle w:val="ListParagraph"/>
        <w:numPr>
          <w:ilvl w:val="0"/>
          <w:numId w:val="6"/>
        </w:numPr>
        <w:spacing w:after="0"/>
      </w:pPr>
      <w:hyperlink r:id="rId14" w:history="1">
        <w:r w:rsidR="00361766" w:rsidRPr="001725B5">
          <w:rPr>
            <w:rStyle w:val="Hyperlink"/>
          </w:rPr>
          <w:t>URS Rules</w:t>
        </w:r>
      </w:hyperlink>
      <w:r w:rsidR="00361766">
        <w:t xml:space="preserve"> (Published 28 June 2013)</w:t>
      </w:r>
      <w:r w:rsidR="001725B5">
        <w:t xml:space="preserve"> - </w:t>
      </w:r>
      <w:r w:rsidR="00361766">
        <w:t>Describes how service providers will implement the Uniform Rapid Suspension System in a consistent manner.</w:t>
      </w:r>
    </w:p>
    <w:p w14:paraId="0705C462" w14:textId="3D209CA5" w:rsidR="00361766" w:rsidRDefault="00F846F8" w:rsidP="001725B5">
      <w:pPr>
        <w:pStyle w:val="ListParagraph"/>
        <w:numPr>
          <w:ilvl w:val="0"/>
          <w:numId w:val="6"/>
        </w:numPr>
        <w:spacing w:after="0"/>
      </w:pPr>
      <w:hyperlink r:id="rId15" w:history="1">
        <w:r w:rsidR="00361766" w:rsidRPr="001725B5">
          <w:rPr>
            <w:rStyle w:val="Hyperlink"/>
          </w:rPr>
          <w:t>URS Technical Requirements 1.0</w:t>
        </w:r>
      </w:hyperlink>
      <w:r w:rsidR="00361766">
        <w:t xml:space="preserve"> (Published 17 October 2013)</w:t>
      </w:r>
      <w:r w:rsidR="001725B5">
        <w:t xml:space="preserve"> - </w:t>
      </w:r>
      <w:r w:rsidR="00361766">
        <w:t xml:space="preserve">Describes </w:t>
      </w:r>
      <w:proofErr w:type="gramStart"/>
      <w:r w:rsidR="00361766">
        <w:t>how</w:t>
      </w:r>
      <w:proofErr w:type="gramEnd"/>
      <w:r w:rsidR="00361766">
        <w:t xml:space="preserve"> Registries and Registrars will implement the Uniform Rapid Suspension System technical requirements in a consistent manner.</w:t>
      </w:r>
    </w:p>
    <w:p w14:paraId="6B351EE1" w14:textId="77777777" w:rsidR="00361766" w:rsidRDefault="00361766" w:rsidP="00A25DD5">
      <w:pPr>
        <w:spacing w:after="0"/>
      </w:pPr>
    </w:p>
    <w:p w14:paraId="030DBA8F" w14:textId="26851B20" w:rsidR="00C4663E" w:rsidRPr="00361766" w:rsidRDefault="00C4663E" w:rsidP="00A25DD5">
      <w:pPr>
        <w:spacing w:after="0"/>
        <w:rPr>
          <w:b/>
        </w:rPr>
      </w:pPr>
      <w:r w:rsidRPr="00361766">
        <w:rPr>
          <w:b/>
          <w:u w:val="single"/>
        </w:rPr>
        <w:t xml:space="preserve">Data set </w:t>
      </w:r>
      <w:r w:rsidR="00361766" w:rsidRPr="00361766">
        <w:rPr>
          <w:b/>
          <w:u w:val="single"/>
        </w:rPr>
        <w:t>characteristics</w:t>
      </w:r>
      <w:r w:rsidRPr="00361766">
        <w:rPr>
          <w:b/>
        </w:rPr>
        <w:t>:</w:t>
      </w:r>
    </w:p>
    <w:p w14:paraId="13099BF8" w14:textId="2A4DFCE9" w:rsidR="001725B5" w:rsidRDefault="001725B5" w:rsidP="001725B5">
      <w:pPr>
        <w:pStyle w:val="ListParagraph"/>
        <w:numPr>
          <w:ilvl w:val="0"/>
          <w:numId w:val="5"/>
        </w:numPr>
        <w:spacing w:after="0"/>
      </w:pPr>
      <w:r>
        <w:t>Three URS providers</w:t>
      </w:r>
      <w:r w:rsidR="00766D19">
        <w:t xml:space="preserve"> (note: data for this exercise is provided </w:t>
      </w:r>
      <w:r w:rsidR="004252EB">
        <w:t xml:space="preserve">by </w:t>
      </w:r>
      <w:r w:rsidR="00766D19">
        <w:t>GDD staff</w:t>
      </w:r>
      <w:r w:rsidR="004252EB">
        <w:t xml:space="preserve">, who </w:t>
      </w:r>
      <w:r w:rsidR="001D4B17">
        <w:t>as</w:t>
      </w:r>
      <w:r w:rsidR="00766D19">
        <w:t xml:space="preserve"> part of the CCT-RT </w:t>
      </w:r>
      <w:r w:rsidR="004252EB">
        <w:t>work</w:t>
      </w:r>
      <w:r w:rsidR="00766D19">
        <w:t xml:space="preserve"> </w:t>
      </w:r>
      <w:r w:rsidR="004252EB">
        <w:t xml:space="preserve">scrape the data </w:t>
      </w:r>
      <w:r w:rsidR="00766D19">
        <w:t>from URS provider websites on a quarterly basis)</w:t>
      </w:r>
      <w:r>
        <w:t>:</w:t>
      </w:r>
    </w:p>
    <w:p w14:paraId="15D622DF" w14:textId="633DB77A" w:rsidR="001725B5" w:rsidRDefault="00F846F8" w:rsidP="001725B5">
      <w:pPr>
        <w:pStyle w:val="ListParagraph"/>
        <w:numPr>
          <w:ilvl w:val="1"/>
          <w:numId w:val="5"/>
        </w:numPr>
        <w:spacing w:after="0"/>
      </w:pPr>
      <w:hyperlink r:id="rId16" w:history="1">
        <w:r w:rsidR="001725B5" w:rsidRPr="001725B5">
          <w:rPr>
            <w:rStyle w:val="Hyperlink"/>
          </w:rPr>
          <w:t>The National Arbitration Forum</w:t>
        </w:r>
      </w:hyperlink>
      <w:r w:rsidR="001725B5">
        <w:t xml:space="preserve">  (FORUM)</w:t>
      </w:r>
      <w:r w:rsidR="00CC1187">
        <w:t xml:space="preserve"> – Announced 20 Feb 2013</w:t>
      </w:r>
    </w:p>
    <w:p w14:paraId="53048E84" w14:textId="7C3466E1" w:rsidR="001725B5" w:rsidRDefault="00F846F8" w:rsidP="001725B5">
      <w:pPr>
        <w:pStyle w:val="ListParagraph"/>
        <w:numPr>
          <w:ilvl w:val="1"/>
          <w:numId w:val="5"/>
        </w:numPr>
        <w:spacing w:after="0"/>
      </w:pPr>
      <w:hyperlink r:id="rId17" w:history="1">
        <w:r w:rsidR="001725B5" w:rsidRPr="001725B5">
          <w:rPr>
            <w:rStyle w:val="Hyperlink"/>
          </w:rPr>
          <w:t>Asian Domain Name Dispute Resolution Centre</w:t>
        </w:r>
      </w:hyperlink>
      <w:r w:rsidR="001725B5">
        <w:t xml:space="preserve"> (ADNDRC)</w:t>
      </w:r>
      <w:r w:rsidR="00CC1187">
        <w:t xml:space="preserve"> – Announced 19 Apr 2013</w:t>
      </w:r>
    </w:p>
    <w:p w14:paraId="70DC3F0F" w14:textId="14C94809" w:rsidR="001725B5" w:rsidRDefault="00F846F8" w:rsidP="001725B5">
      <w:pPr>
        <w:pStyle w:val="ListParagraph"/>
        <w:numPr>
          <w:ilvl w:val="1"/>
          <w:numId w:val="5"/>
        </w:numPr>
        <w:spacing w:after="0"/>
      </w:pPr>
      <w:hyperlink r:id="rId18" w:history="1">
        <w:r w:rsidR="001725B5" w:rsidRPr="001725B5">
          <w:rPr>
            <w:rStyle w:val="Hyperlink"/>
          </w:rPr>
          <w:t xml:space="preserve">MFSD </w:t>
        </w:r>
        <w:proofErr w:type="spellStart"/>
        <w:r w:rsidR="001725B5" w:rsidRPr="001725B5">
          <w:rPr>
            <w:rStyle w:val="Hyperlink"/>
          </w:rPr>
          <w:t>Srl</w:t>
        </w:r>
        <w:proofErr w:type="spellEnd"/>
      </w:hyperlink>
      <w:r w:rsidR="001725B5">
        <w:t xml:space="preserve"> (MFSD)</w:t>
      </w:r>
      <w:r w:rsidR="00CC1187">
        <w:t xml:space="preserve"> – Announced 15 Dec 2015</w:t>
      </w:r>
    </w:p>
    <w:p w14:paraId="09FD9CC2" w14:textId="56FB4C74" w:rsidR="00361766" w:rsidRDefault="00361766" w:rsidP="00361766">
      <w:pPr>
        <w:pStyle w:val="ListParagraph"/>
        <w:numPr>
          <w:ilvl w:val="0"/>
          <w:numId w:val="5"/>
        </w:numPr>
        <w:spacing w:after="0"/>
      </w:pPr>
      <w:r>
        <w:t>Scope</w:t>
      </w:r>
      <w:r w:rsidR="00654099">
        <w:t>:</w:t>
      </w:r>
      <w:r>
        <w:t xml:space="preserve"> Feb 2014 - </w:t>
      </w:r>
      <w:r w:rsidR="00657C35">
        <w:t xml:space="preserve">Dec </w:t>
      </w:r>
      <w:r>
        <w:t>2017</w:t>
      </w:r>
    </w:p>
    <w:p w14:paraId="7F8E1140" w14:textId="3088BB91" w:rsidR="00657C35" w:rsidRDefault="00657C35" w:rsidP="00657C35">
      <w:pPr>
        <w:pStyle w:val="ListParagraph"/>
        <w:numPr>
          <w:ilvl w:val="1"/>
          <w:numId w:val="5"/>
        </w:numPr>
        <w:spacing w:after="0"/>
      </w:pPr>
      <w:r>
        <w:t xml:space="preserve">12 cases </w:t>
      </w:r>
      <w:r w:rsidR="004252EB">
        <w:t xml:space="preserve">are </w:t>
      </w:r>
      <w:r>
        <w:t xml:space="preserve">not included in </w:t>
      </w:r>
      <w:r w:rsidR="004252EB">
        <w:t xml:space="preserve">this </w:t>
      </w:r>
      <w:r>
        <w:t xml:space="preserve">dataset </w:t>
      </w:r>
      <w:r w:rsidR="004252EB">
        <w:t xml:space="preserve">due to being </w:t>
      </w:r>
      <w:r>
        <w:t xml:space="preserve">in </w:t>
      </w:r>
      <w:r w:rsidR="00585884">
        <w:t>“</w:t>
      </w:r>
      <w:r w:rsidRPr="004F6CC7">
        <w:t>Pending</w:t>
      </w:r>
      <w:r w:rsidR="00585884">
        <w:t>”</w:t>
      </w:r>
      <w:r>
        <w:t xml:space="preserve"> status as of 29 Dec</w:t>
      </w:r>
      <w:r w:rsidR="00585884">
        <w:t xml:space="preserve"> 2017</w:t>
      </w:r>
    </w:p>
    <w:p w14:paraId="12FC9402" w14:textId="089065B2" w:rsidR="00657C35" w:rsidRPr="00657C35" w:rsidRDefault="00657C35" w:rsidP="00657C35">
      <w:pPr>
        <w:pStyle w:val="ListParagraph"/>
        <w:numPr>
          <w:ilvl w:val="2"/>
          <w:numId w:val="5"/>
        </w:numPr>
        <w:spacing w:after="0"/>
      </w:pPr>
      <w:r w:rsidRPr="00657C35">
        <w:t xml:space="preserve">9 Pending at </w:t>
      </w:r>
      <w:r w:rsidR="004252EB">
        <w:t>FORUM</w:t>
      </w:r>
    </w:p>
    <w:p w14:paraId="7EC6D26F" w14:textId="77777777" w:rsidR="00657C35" w:rsidRPr="00657C35" w:rsidRDefault="00657C35" w:rsidP="00657C35">
      <w:pPr>
        <w:pStyle w:val="ListParagraph"/>
        <w:numPr>
          <w:ilvl w:val="2"/>
          <w:numId w:val="5"/>
        </w:numPr>
        <w:spacing w:after="0"/>
      </w:pPr>
      <w:r w:rsidRPr="00657C35">
        <w:t>1 Pending at MFSD</w:t>
      </w:r>
    </w:p>
    <w:p w14:paraId="0838C7C1" w14:textId="3E615CFE" w:rsidR="00657C35" w:rsidRDefault="00657C35" w:rsidP="00657C35">
      <w:pPr>
        <w:pStyle w:val="ListParagraph"/>
        <w:numPr>
          <w:ilvl w:val="2"/>
          <w:numId w:val="5"/>
        </w:numPr>
        <w:spacing w:after="0"/>
      </w:pPr>
      <w:r w:rsidRPr="00657C35">
        <w:t>2 Pending at ADNDRC</w:t>
      </w:r>
    </w:p>
    <w:p w14:paraId="61738522" w14:textId="269A2419" w:rsidR="00361766" w:rsidRDefault="00657C35" w:rsidP="00361766">
      <w:pPr>
        <w:pStyle w:val="ListParagraph"/>
        <w:numPr>
          <w:ilvl w:val="0"/>
          <w:numId w:val="5"/>
        </w:numPr>
        <w:spacing w:after="0"/>
      </w:pPr>
      <w:r>
        <w:t>Included in dataset but filtered</w:t>
      </w:r>
      <w:r w:rsidR="004252EB">
        <w:t xml:space="preserve"> out</w:t>
      </w:r>
      <w:r>
        <w:t xml:space="preserve"> from charts and results</w:t>
      </w:r>
      <w:r w:rsidR="004252EB">
        <w:t xml:space="preserve"> in this report</w:t>
      </w:r>
      <w:r w:rsidR="00361766">
        <w:t>:</w:t>
      </w:r>
    </w:p>
    <w:p w14:paraId="24100D77" w14:textId="04B36F04" w:rsidR="00361766" w:rsidRDefault="00361766" w:rsidP="00361766">
      <w:pPr>
        <w:pStyle w:val="ListParagraph"/>
        <w:numPr>
          <w:ilvl w:val="1"/>
          <w:numId w:val="5"/>
        </w:numPr>
        <w:spacing w:after="0"/>
      </w:pPr>
      <w:r>
        <w:t>.CN - one case; withdrawn</w:t>
      </w:r>
      <w:r w:rsidR="00867488">
        <w:t xml:space="preserve"> (this is a country-code TLD)</w:t>
      </w:r>
    </w:p>
    <w:p w14:paraId="16E14947" w14:textId="33AFB08C" w:rsidR="00361766" w:rsidRDefault="00361766" w:rsidP="00361766">
      <w:pPr>
        <w:pStyle w:val="ListParagraph"/>
        <w:numPr>
          <w:ilvl w:val="1"/>
          <w:numId w:val="5"/>
        </w:numPr>
        <w:spacing w:after="0"/>
      </w:pPr>
      <w:r>
        <w:t>.COM - one case; withdrawn</w:t>
      </w:r>
      <w:r w:rsidR="00867488">
        <w:t xml:space="preserve"> (this is a legacy TLD)</w:t>
      </w:r>
    </w:p>
    <w:p w14:paraId="5BC4E15D" w14:textId="7A4EA4DD" w:rsidR="00361766" w:rsidRDefault="00361766" w:rsidP="00361766">
      <w:pPr>
        <w:pStyle w:val="ListParagraph"/>
        <w:numPr>
          <w:ilvl w:val="1"/>
          <w:numId w:val="5"/>
        </w:numPr>
        <w:spacing w:after="0"/>
      </w:pPr>
      <w:r>
        <w:t>.PRO - two cases; one suspended, one denied</w:t>
      </w:r>
      <w:r w:rsidR="00867488">
        <w:t xml:space="preserve"> (this is a legacy TLD)</w:t>
      </w:r>
    </w:p>
    <w:p w14:paraId="4EEA49BC" w14:textId="07789422" w:rsidR="00361766" w:rsidRDefault="00361766" w:rsidP="00361766">
      <w:pPr>
        <w:pStyle w:val="ListParagraph"/>
        <w:numPr>
          <w:ilvl w:val="1"/>
          <w:numId w:val="5"/>
        </w:numPr>
        <w:spacing w:after="0"/>
      </w:pPr>
      <w:r>
        <w:t>.PW - four cases; all suspended</w:t>
      </w:r>
      <w:r w:rsidR="00867488">
        <w:t xml:space="preserve"> (this is a country-code TLD)</w:t>
      </w:r>
    </w:p>
    <w:p w14:paraId="40BAC27C" w14:textId="77777777" w:rsidR="00C4663E" w:rsidRDefault="00C4663E" w:rsidP="00A25DD5">
      <w:pPr>
        <w:spacing w:after="0"/>
      </w:pPr>
    </w:p>
    <w:p w14:paraId="36B7DF5F" w14:textId="77777777" w:rsidR="00370530" w:rsidRDefault="00370530">
      <w:pPr>
        <w:rPr>
          <w:b/>
          <w:sz w:val="28"/>
          <w:szCs w:val="28"/>
        </w:rPr>
      </w:pPr>
      <w:r>
        <w:rPr>
          <w:b/>
          <w:sz w:val="28"/>
          <w:szCs w:val="28"/>
        </w:rPr>
        <w:br w:type="page"/>
      </w:r>
    </w:p>
    <w:p w14:paraId="3B3F7211" w14:textId="22411B0F" w:rsidR="00562092" w:rsidRPr="00152277" w:rsidRDefault="00361766" w:rsidP="00675CE5">
      <w:pPr>
        <w:rPr>
          <w:b/>
          <w:sz w:val="28"/>
          <w:szCs w:val="28"/>
        </w:rPr>
      </w:pPr>
      <w:r>
        <w:rPr>
          <w:b/>
          <w:sz w:val="28"/>
          <w:szCs w:val="28"/>
        </w:rPr>
        <w:lastRenderedPageBreak/>
        <w:t>TABLE</w:t>
      </w:r>
      <w:r w:rsidR="00A752BC">
        <w:rPr>
          <w:b/>
          <w:sz w:val="28"/>
          <w:szCs w:val="28"/>
        </w:rPr>
        <w:t xml:space="preserve"> </w:t>
      </w:r>
      <w:r>
        <w:rPr>
          <w:b/>
          <w:sz w:val="28"/>
          <w:szCs w:val="28"/>
        </w:rPr>
        <w:t>1</w:t>
      </w:r>
      <w:r w:rsidR="00562092">
        <w:rPr>
          <w:b/>
          <w:sz w:val="28"/>
          <w:szCs w:val="28"/>
        </w:rPr>
        <w:t xml:space="preserve">: </w:t>
      </w:r>
      <w:r>
        <w:rPr>
          <w:b/>
          <w:sz w:val="28"/>
          <w:szCs w:val="28"/>
        </w:rPr>
        <w:t>URS Macro Stat</w:t>
      </w:r>
      <w:r w:rsidR="00654099">
        <w:rPr>
          <w:b/>
          <w:sz w:val="28"/>
          <w:szCs w:val="28"/>
        </w:rPr>
        <w:t>istic</w:t>
      </w:r>
      <w:r>
        <w:rPr>
          <w:b/>
          <w:sz w:val="28"/>
          <w:szCs w:val="28"/>
        </w:rPr>
        <w:t>s</w:t>
      </w:r>
      <w:r w:rsidR="00152277">
        <w:rPr>
          <w:b/>
          <w:sz w:val="28"/>
          <w:szCs w:val="28"/>
        </w:rPr>
        <w:t>:</w:t>
      </w:r>
    </w:p>
    <w:tbl>
      <w:tblPr>
        <w:tblW w:w="5800" w:type="dxa"/>
        <w:tblInd w:w="93" w:type="dxa"/>
        <w:tblLook w:val="04A0" w:firstRow="1" w:lastRow="0" w:firstColumn="1" w:lastColumn="0" w:noHBand="0" w:noVBand="1"/>
      </w:tblPr>
      <w:tblGrid>
        <w:gridCol w:w="3260"/>
        <w:gridCol w:w="2540"/>
      </w:tblGrid>
      <w:tr w:rsidR="00562092" w:rsidRPr="00562092" w14:paraId="5E9419D9" w14:textId="77777777" w:rsidTr="00562092">
        <w:trPr>
          <w:trHeight w:val="300"/>
        </w:trPr>
        <w:tc>
          <w:tcPr>
            <w:tcW w:w="3260" w:type="dxa"/>
            <w:tcBorders>
              <w:top w:val="nil"/>
              <w:left w:val="nil"/>
              <w:bottom w:val="nil"/>
              <w:right w:val="nil"/>
            </w:tcBorders>
            <w:shd w:val="clear" w:color="000000" w:fill="16365C"/>
            <w:noWrap/>
            <w:vAlign w:val="bottom"/>
            <w:hideMark/>
          </w:tcPr>
          <w:p w14:paraId="08731D50" w14:textId="77777777" w:rsidR="00562092" w:rsidRPr="00562092" w:rsidRDefault="00562092" w:rsidP="00562092">
            <w:pPr>
              <w:spacing w:after="0" w:line="240" w:lineRule="auto"/>
              <w:rPr>
                <w:rFonts w:ascii="Calibri" w:eastAsia="Times New Roman" w:hAnsi="Calibri" w:cs="Times New Roman"/>
                <w:color w:val="FFFFFF"/>
              </w:rPr>
            </w:pPr>
            <w:r w:rsidRPr="00562092">
              <w:rPr>
                <w:rFonts w:ascii="Calibri" w:eastAsia="Times New Roman" w:hAnsi="Calibri" w:cs="Times New Roman"/>
                <w:color w:val="FFFFFF"/>
              </w:rPr>
              <w:t> </w:t>
            </w:r>
          </w:p>
        </w:tc>
        <w:tc>
          <w:tcPr>
            <w:tcW w:w="2540" w:type="dxa"/>
            <w:tcBorders>
              <w:top w:val="nil"/>
              <w:left w:val="nil"/>
              <w:bottom w:val="nil"/>
              <w:right w:val="nil"/>
            </w:tcBorders>
            <w:shd w:val="clear" w:color="000000" w:fill="16365C"/>
            <w:noWrap/>
            <w:vAlign w:val="bottom"/>
            <w:hideMark/>
          </w:tcPr>
          <w:p w14:paraId="4338369E" w14:textId="77777777" w:rsidR="00562092" w:rsidRPr="00562092" w:rsidRDefault="00562092" w:rsidP="00562092">
            <w:pPr>
              <w:spacing w:after="0" w:line="240" w:lineRule="auto"/>
              <w:jc w:val="center"/>
              <w:rPr>
                <w:rFonts w:ascii="Calibri" w:eastAsia="Times New Roman" w:hAnsi="Calibri" w:cs="Times New Roman"/>
                <w:color w:val="FFFFFF"/>
              </w:rPr>
            </w:pPr>
            <w:r w:rsidRPr="00562092">
              <w:rPr>
                <w:rFonts w:ascii="Calibri" w:eastAsia="Times New Roman" w:hAnsi="Calibri" w:cs="Times New Roman"/>
                <w:color w:val="FFFFFF"/>
              </w:rPr>
              <w:t>Stat</w:t>
            </w:r>
          </w:p>
        </w:tc>
      </w:tr>
      <w:tr w:rsidR="00562092" w:rsidRPr="00562092" w14:paraId="0420FF0D" w14:textId="77777777" w:rsidTr="00562092">
        <w:trPr>
          <w:trHeight w:val="300"/>
        </w:trPr>
        <w:tc>
          <w:tcPr>
            <w:tcW w:w="3260" w:type="dxa"/>
            <w:tcBorders>
              <w:top w:val="nil"/>
              <w:left w:val="nil"/>
              <w:bottom w:val="nil"/>
              <w:right w:val="nil"/>
            </w:tcBorders>
            <w:shd w:val="clear" w:color="000000" w:fill="16365C"/>
            <w:noWrap/>
            <w:vAlign w:val="bottom"/>
            <w:hideMark/>
          </w:tcPr>
          <w:p w14:paraId="72B07A7D"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Scope</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F362" w14:textId="07AAF49C" w:rsidR="00562092" w:rsidRPr="00562092" w:rsidRDefault="00562092" w:rsidP="0065183A">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 xml:space="preserve">Feb 2014 - </w:t>
            </w:r>
            <w:r w:rsidR="0065183A">
              <w:rPr>
                <w:rFonts w:ascii="Calibri" w:eastAsia="Times New Roman" w:hAnsi="Calibri" w:cs="Times New Roman"/>
                <w:color w:val="000000"/>
              </w:rPr>
              <w:t>Dec</w:t>
            </w:r>
            <w:r w:rsidR="0065183A" w:rsidRPr="00562092">
              <w:rPr>
                <w:rFonts w:ascii="Calibri" w:eastAsia="Times New Roman" w:hAnsi="Calibri" w:cs="Times New Roman"/>
                <w:color w:val="000000"/>
              </w:rPr>
              <w:t xml:space="preserve"> </w:t>
            </w:r>
            <w:r w:rsidRPr="00562092">
              <w:rPr>
                <w:rFonts w:ascii="Calibri" w:eastAsia="Times New Roman" w:hAnsi="Calibri" w:cs="Times New Roman"/>
                <w:color w:val="000000"/>
              </w:rPr>
              <w:t>2017</w:t>
            </w:r>
          </w:p>
        </w:tc>
      </w:tr>
      <w:tr w:rsidR="00562092" w:rsidRPr="00562092" w14:paraId="187DDDD3" w14:textId="77777777" w:rsidTr="00562092">
        <w:trPr>
          <w:trHeight w:val="300"/>
        </w:trPr>
        <w:tc>
          <w:tcPr>
            <w:tcW w:w="3260" w:type="dxa"/>
            <w:tcBorders>
              <w:top w:val="nil"/>
              <w:left w:val="nil"/>
              <w:bottom w:val="nil"/>
              <w:right w:val="nil"/>
            </w:tcBorders>
            <w:shd w:val="clear" w:color="000000" w:fill="16365C"/>
            <w:noWrap/>
            <w:vAlign w:val="bottom"/>
            <w:hideMark/>
          </w:tcPr>
          <w:p w14:paraId="00E5405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Count of Cases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5E2CA75" w14:textId="4476B873" w:rsidR="00562092" w:rsidRPr="00562092"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00653EE8">
              <w:rPr>
                <w:rFonts w:ascii="Calibri" w:eastAsia="Times New Roman" w:hAnsi="Calibri" w:cs="Times New Roman"/>
                <w:color w:val="000000"/>
              </w:rPr>
              <w:t>2</w:t>
            </w:r>
            <w:r w:rsidR="00C563F5">
              <w:rPr>
                <w:rFonts w:ascii="Calibri" w:eastAsia="Times New Roman" w:hAnsi="Calibri" w:cs="Times New Roman"/>
                <w:color w:val="000000"/>
              </w:rPr>
              <w:t>7</w:t>
            </w:r>
          </w:p>
        </w:tc>
      </w:tr>
      <w:tr w:rsidR="00562092" w:rsidRPr="00562092" w14:paraId="4FFE9F88" w14:textId="77777777" w:rsidTr="00562092">
        <w:trPr>
          <w:trHeight w:val="300"/>
        </w:trPr>
        <w:tc>
          <w:tcPr>
            <w:tcW w:w="3260" w:type="dxa"/>
            <w:tcBorders>
              <w:top w:val="nil"/>
              <w:left w:val="nil"/>
              <w:bottom w:val="nil"/>
              <w:right w:val="nil"/>
            </w:tcBorders>
            <w:shd w:val="clear" w:color="000000" w:fill="16365C"/>
            <w:noWrap/>
            <w:vAlign w:val="bottom"/>
            <w:hideMark/>
          </w:tcPr>
          <w:p w14:paraId="2FB39523"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Total Domains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6D1D02" w14:textId="198EDAF6" w:rsidR="00562092" w:rsidRPr="00562092"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r w:rsidR="00653EE8">
              <w:rPr>
                <w:rFonts w:ascii="Calibri" w:eastAsia="Times New Roman" w:hAnsi="Calibri" w:cs="Times New Roman"/>
                <w:color w:val="000000"/>
              </w:rPr>
              <w:t>6</w:t>
            </w:r>
            <w:r w:rsidR="00C563F5">
              <w:rPr>
                <w:rFonts w:ascii="Calibri" w:eastAsia="Times New Roman" w:hAnsi="Calibri" w:cs="Times New Roman"/>
                <w:color w:val="000000"/>
              </w:rPr>
              <w:t>1</w:t>
            </w:r>
          </w:p>
        </w:tc>
      </w:tr>
      <w:tr w:rsidR="00562092" w:rsidRPr="00562092" w14:paraId="1E07E61E" w14:textId="77777777" w:rsidTr="00562092">
        <w:trPr>
          <w:trHeight w:val="300"/>
        </w:trPr>
        <w:tc>
          <w:tcPr>
            <w:tcW w:w="3260" w:type="dxa"/>
            <w:tcBorders>
              <w:top w:val="nil"/>
              <w:left w:val="nil"/>
              <w:bottom w:val="nil"/>
              <w:right w:val="nil"/>
            </w:tcBorders>
            <w:shd w:val="clear" w:color="000000" w:fill="16365C"/>
            <w:noWrap/>
            <w:vAlign w:val="bottom"/>
            <w:hideMark/>
          </w:tcPr>
          <w:p w14:paraId="763AFB05"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Avg.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4FBCEE1E" w14:textId="20A05A74" w:rsidR="00562092" w:rsidRPr="00562092" w:rsidRDefault="00562092" w:rsidP="00092086">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2.</w:t>
            </w:r>
            <w:r w:rsidR="0065183A">
              <w:rPr>
                <w:rFonts w:ascii="Calibri" w:eastAsia="Times New Roman" w:hAnsi="Calibri" w:cs="Times New Roman"/>
                <w:color w:val="000000"/>
              </w:rPr>
              <w:t>2</w:t>
            </w:r>
            <w:r w:rsidR="00653EE8">
              <w:rPr>
                <w:rFonts w:ascii="Calibri" w:eastAsia="Times New Roman" w:hAnsi="Calibri" w:cs="Times New Roman"/>
                <w:color w:val="000000"/>
              </w:rPr>
              <w:t>5</w:t>
            </w:r>
          </w:p>
        </w:tc>
      </w:tr>
      <w:tr w:rsidR="00562092" w:rsidRPr="00562092" w14:paraId="4CA0AC8E" w14:textId="77777777" w:rsidTr="00562092">
        <w:trPr>
          <w:trHeight w:val="300"/>
        </w:trPr>
        <w:tc>
          <w:tcPr>
            <w:tcW w:w="3260" w:type="dxa"/>
            <w:tcBorders>
              <w:top w:val="nil"/>
              <w:left w:val="nil"/>
              <w:bottom w:val="nil"/>
              <w:right w:val="nil"/>
            </w:tcBorders>
            <w:shd w:val="clear" w:color="000000" w:fill="16365C"/>
            <w:noWrap/>
            <w:vAlign w:val="bottom"/>
            <w:hideMark/>
          </w:tcPr>
          <w:p w14:paraId="3013D1F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Median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36B7629" w14:textId="77777777" w:rsidR="00562092" w:rsidRPr="00562092" w:rsidRDefault="00562092" w:rsidP="00562092">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1.00</w:t>
            </w:r>
          </w:p>
        </w:tc>
      </w:tr>
    </w:tbl>
    <w:p w14:paraId="0C07CE25" w14:textId="568F5923" w:rsidR="00562092" w:rsidRDefault="00562092" w:rsidP="00A25DD5">
      <w:pPr>
        <w:spacing w:after="0"/>
        <w:rPr>
          <w:b/>
          <w:sz w:val="28"/>
          <w:szCs w:val="28"/>
        </w:rPr>
      </w:pPr>
    </w:p>
    <w:p w14:paraId="753CB09A" w14:textId="77777777" w:rsidR="00152277" w:rsidRDefault="00152277" w:rsidP="00A25DD5">
      <w:pPr>
        <w:spacing w:after="0"/>
        <w:rPr>
          <w:b/>
          <w:sz w:val="28"/>
          <w:szCs w:val="28"/>
        </w:rPr>
      </w:pPr>
    </w:p>
    <w:p w14:paraId="594A397B" w14:textId="31CC289E" w:rsidR="00152277" w:rsidRDefault="00152277" w:rsidP="00152277">
      <w:pPr>
        <w:spacing w:after="0" w:line="240" w:lineRule="auto"/>
        <w:rPr>
          <w:b/>
          <w:sz w:val="28"/>
          <w:szCs w:val="28"/>
        </w:rPr>
      </w:pPr>
      <w:r>
        <w:rPr>
          <w:b/>
          <w:sz w:val="28"/>
          <w:szCs w:val="28"/>
        </w:rPr>
        <w:t>TABLE</w:t>
      </w:r>
      <w:r w:rsidR="00A752BC">
        <w:rPr>
          <w:b/>
          <w:sz w:val="28"/>
          <w:szCs w:val="28"/>
        </w:rPr>
        <w:t xml:space="preserve"> </w:t>
      </w:r>
      <w:r>
        <w:rPr>
          <w:b/>
          <w:sz w:val="28"/>
          <w:szCs w:val="28"/>
        </w:rPr>
        <w:t>2: URS Stat</w:t>
      </w:r>
      <w:r w:rsidR="00407125">
        <w:rPr>
          <w:b/>
          <w:sz w:val="28"/>
          <w:szCs w:val="28"/>
        </w:rPr>
        <w:t>istic</w:t>
      </w:r>
      <w:r>
        <w:rPr>
          <w:b/>
          <w:sz w:val="28"/>
          <w:szCs w:val="28"/>
        </w:rPr>
        <w:t>s by Provider</w:t>
      </w:r>
      <w:r w:rsidR="00CC1187">
        <w:rPr>
          <w:b/>
          <w:sz w:val="28"/>
          <w:szCs w:val="28"/>
        </w:rPr>
        <w:t xml:space="preserve"> (</w:t>
      </w:r>
      <w:r w:rsidR="00407125">
        <w:rPr>
          <w:b/>
          <w:sz w:val="28"/>
          <w:szCs w:val="28"/>
        </w:rPr>
        <w:t xml:space="preserve">showing </w:t>
      </w:r>
      <w:r w:rsidR="007A759D">
        <w:rPr>
          <w:b/>
          <w:sz w:val="28"/>
          <w:szCs w:val="28"/>
        </w:rPr>
        <w:t xml:space="preserve">total quantity </w:t>
      </w:r>
      <w:r w:rsidR="00407125">
        <w:rPr>
          <w:b/>
          <w:sz w:val="28"/>
          <w:szCs w:val="28"/>
        </w:rPr>
        <w:t>of</w:t>
      </w:r>
      <w:r w:rsidR="00CC1187">
        <w:rPr>
          <w:b/>
          <w:sz w:val="28"/>
          <w:szCs w:val="28"/>
        </w:rPr>
        <w:t xml:space="preserve"> </w:t>
      </w:r>
      <w:r w:rsidR="007A759D">
        <w:rPr>
          <w:b/>
          <w:sz w:val="28"/>
          <w:szCs w:val="28"/>
        </w:rPr>
        <w:t>cases and</w:t>
      </w:r>
      <w:r w:rsidR="00407125">
        <w:rPr>
          <w:b/>
          <w:sz w:val="28"/>
          <w:szCs w:val="28"/>
        </w:rPr>
        <w:t xml:space="preserve"> </w:t>
      </w:r>
      <w:r w:rsidR="00CC1187">
        <w:rPr>
          <w:b/>
          <w:sz w:val="28"/>
          <w:szCs w:val="28"/>
        </w:rPr>
        <w:t>domains</w:t>
      </w:r>
      <w:r w:rsidR="007A759D">
        <w:rPr>
          <w:b/>
          <w:sz w:val="28"/>
          <w:szCs w:val="28"/>
        </w:rPr>
        <w:t xml:space="preserve"> in dispute handled by each Provider</w:t>
      </w:r>
      <w:r w:rsidR="00CC1187">
        <w:rPr>
          <w:b/>
          <w:sz w:val="28"/>
          <w:szCs w:val="28"/>
        </w:rPr>
        <w:t>)</w:t>
      </w:r>
      <w:r>
        <w:rPr>
          <w:b/>
          <w:sz w:val="28"/>
          <w:szCs w:val="28"/>
        </w:rPr>
        <w:t>:</w:t>
      </w:r>
    </w:p>
    <w:tbl>
      <w:tblPr>
        <w:tblW w:w="6100" w:type="dxa"/>
        <w:tblInd w:w="93" w:type="dxa"/>
        <w:tblLook w:val="04A0" w:firstRow="1" w:lastRow="0" w:firstColumn="1" w:lastColumn="0" w:noHBand="0" w:noVBand="1"/>
      </w:tblPr>
      <w:tblGrid>
        <w:gridCol w:w="2540"/>
        <w:gridCol w:w="1780"/>
        <w:gridCol w:w="1780"/>
      </w:tblGrid>
      <w:tr w:rsidR="00AF1B39" w:rsidRPr="00AF1B39" w14:paraId="0114AD64" w14:textId="77777777" w:rsidTr="00AF1B39">
        <w:trPr>
          <w:trHeight w:val="300"/>
        </w:trPr>
        <w:tc>
          <w:tcPr>
            <w:tcW w:w="2540" w:type="dxa"/>
            <w:tcBorders>
              <w:top w:val="nil"/>
              <w:left w:val="nil"/>
              <w:bottom w:val="nil"/>
              <w:right w:val="nil"/>
            </w:tcBorders>
            <w:shd w:val="clear" w:color="000000" w:fill="16365C"/>
            <w:noWrap/>
            <w:vAlign w:val="bottom"/>
            <w:hideMark/>
          </w:tcPr>
          <w:p w14:paraId="4B90DDAE" w14:textId="77777777" w:rsidR="00AF1B39" w:rsidRPr="00AF1B39" w:rsidRDefault="00AF1B39" w:rsidP="00AF1B39">
            <w:pPr>
              <w:spacing w:after="0" w:line="240" w:lineRule="auto"/>
              <w:rPr>
                <w:rFonts w:ascii="Calibri" w:eastAsia="Times New Roman" w:hAnsi="Calibri" w:cs="Times New Roman"/>
                <w:color w:val="FFFFFF"/>
              </w:rPr>
            </w:pPr>
            <w:r w:rsidRPr="00AF1B39">
              <w:rPr>
                <w:rFonts w:ascii="Calibri" w:eastAsia="Times New Roman" w:hAnsi="Calibri" w:cs="Times New Roman"/>
                <w:color w:val="FFFFFF"/>
              </w:rPr>
              <w:t> </w:t>
            </w:r>
          </w:p>
        </w:tc>
        <w:tc>
          <w:tcPr>
            <w:tcW w:w="1780" w:type="dxa"/>
            <w:tcBorders>
              <w:top w:val="nil"/>
              <w:left w:val="nil"/>
              <w:bottom w:val="nil"/>
              <w:right w:val="nil"/>
            </w:tcBorders>
            <w:shd w:val="clear" w:color="000000" w:fill="16365C"/>
            <w:noWrap/>
            <w:vAlign w:val="bottom"/>
            <w:hideMark/>
          </w:tcPr>
          <w:p w14:paraId="0F952B90"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Cases</w:t>
            </w:r>
          </w:p>
        </w:tc>
        <w:tc>
          <w:tcPr>
            <w:tcW w:w="1780" w:type="dxa"/>
            <w:tcBorders>
              <w:top w:val="nil"/>
              <w:left w:val="nil"/>
              <w:bottom w:val="nil"/>
              <w:right w:val="nil"/>
            </w:tcBorders>
            <w:shd w:val="clear" w:color="000000" w:fill="16365C"/>
            <w:noWrap/>
            <w:vAlign w:val="bottom"/>
            <w:hideMark/>
          </w:tcPr>
          <w:p w14:paraId="68B4F47F"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Domains</w:t>
            </w:r>
          </w:p>
        </w:tc>
      </w:tr>
      <w:tr w:rsidR="00AF1B39" w:rsidRPr="00AF1B39" w14:paraId="10710615" w14:textId="77777777" w:rsidTr="00AF1B39">
        <w:trPr>
          <w:trHeight w:val="300"/>
        </w:trPr>
        <w:tc>
          <w:tcPr>
            <w:tcW w:w="2540" w:type="dxa"/>
            <w:tcBorders>
              <w:top w:val="nil"/>
              <w:left w:val="nil"/>
              <w:bottom w:val="nil"/>
              <w:right w:val="nil"/>
            </w:tcBorders>
            <w:shd w:val="clear" w:color="000000" w:fill="16365C"/>
            <w:noWrap/>
            <w:vAlign w:val="bottom"/>
            <w:hideMark/>
          </w:tcPr>
          <w:p w14:paraId="114C9578"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ADNDRC</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E2A7"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29</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019FFA4"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54</w:t>
            </w:r>
          </w:p>
        </w:tc>
      </w:tr>
      <w:tr w:rsidR="00AF1B39" w:rsidRPr="00AF1B39" w14:paraId="4269AA22" w14:textId="77777777" w:rsidTr="00AF1B39">
        <w:trPr>
          <w:trHeight w:val="300"/>
        </w:trPr>
        <w:tc>
          <w:tcPr>
            <w:tcW w:w="2540" w:type="dxa"/>
            <w:tcBorders>
              <w:top w:val="nil"/>
              <w:left w:val="nil"/>
              <w:bottom w:val="nil"/>
              <w:right w:val="nil"/>
            </w:tcBorders>
            <w:shd w:val="clear" w:color="000000" w:fill="16365C"/>
            <w:noWrap/>
            <w:vAlign w:val="bottom"/>
            <w:hideMark/>
          </w:tcPr>
          <w:p w14:paraId="5B02FC63"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ADR Forum</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C995AFA" w14:textId="1872D846" w:rsidR="00AF1B39" w:rsidRPr="00AF1B39"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r w:rsidR="00653EE8">
              <w:rPr>
                <w:rFonts w:ascii="Calibri" w:eastAsia="Times New Roman" w:hAnsi="Calibri" w:cs="Times New Roman"/>
                <w:color w:val="000000"/>
              </w:rPr>
              <w:t>8</w:t>
            </w:r>
            <w:r w:rsidR="00C563F5">
              <w:rPr>
                <w:rFonts w:ascii="Calibri" w:eastAsia="Times New Roman" w:hAnsi="Calibri" w:cs="Times New Roman"/>
                <w:color w:val="000000"/>
              </w:rPr>
              <w:t>4</w:t>
            </w:r>
          </w:p>
        </w:tc>
        <w:tc>
          <w:tcPr>
            <w:tcW w:w="1780" w:type="dxa"/>
            <w:tcBorders>
              <w:top w:val="nil"/>
              <w:left w:val="nil"/>
              <w:bottom w:val="single" w:sz="4" w:space="0" w:color="auto"/>
              <w:right w:val="single" w:sz="4" w:space="0" w:color="auto"/>
            </w:tcBorders>
            <w:shd w:val="clear" w:color="auto" w:fill="auto"/>
            <w:noWrap/>
            <w:vAlign w:val="bottom"/>
            <w:hideMark/>
          </w:tcPr>
          <w:p w14:paraId="4243E9B5" w14:textId="08DFC528" w:rsidR="00AF1B39" w:rsidRPr="00AF1B39"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r w:rsidR="00653EE8">
              <w:rPr>
                <w:rFonts w:ascii="Calibri" w:eastAsia="Times New Roman" w:hAnsi="Calibri" w:cs="Times New Roman"/>
                <w:color w:val="000000"/>
              </w:rPr>
              <w:t>9</w:t>
            </w:r>
            <w:r w:rsidR="00C563F5">
              <w:rPr>
                <w:rFonts w:ascii="Calibri" w:eastAsia="Times New Roman" w:hAnsi="Calibri" w:cs="Times New Roman"/>
                <w:color w:val="000000"/>
              </w:rPr>
              <w:t>2</w:t>
            </w:r>
          </w:p>
        </w:tc>
      </w:tr>
      <w:tr w:rsidR="00AF1B39" w:rsidRPr="00AF1B39" w14:paraId="331F7F9E" w14:textId="77777777" w:rsidTr="00AF1B39">
        <w:trPr>
          <w:trHeight w:val="300"/>
        </w:trPr>
        <w:tc>
          <w:tcPr>
            <w:tcW w:w="2540" w:type="dxa"/>
            <w:tcBorders>
              <w:top w:val="nil"/>
              <w:left w:val="nil"/>
              <w:bottom w:val="nil"/>
              <w:right w:val="nil"/>
            </w:tcBorders>
            <w:shd w:val="clear" w:color="000000" w:fill="16365C"/>
            <w:noWrap/>
            <w:vAlign w:val="bottom"/>
            <w:hideMark/>
          </w:tcPr>
          <w:p w14:paraId="6AB0AAF9"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MFSD</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69BFD62" w14:textId="0B9B4D33"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780" w:type="dxa"/>
            <w:tcBorders>
              <w:top w:val="nil"/>
              <w:left w:val="nil"/>
              <w:bottom w:val="single" w:sz="4" w:space="0" w:color="auto"/>
              <w:right w:val="single" w:sz="4" w:space="0" w:color="auto"/>
            </w:tcBorders>
            <w:shd w:val="clear" w:color="auto" w:fill="auto"/>
            <w:noWrap/>
            <w:vAlign w:val="bottom"/>
            <w:hideMark/>
          </w:tcPr>
          <w:p w14:paraId="795453CB" w14:textId="5FED63CF"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r>
      <w:tr w:rsidR="00AF1B39" w:rsidRPr="00AF1B39" w14:paraId="064E4F17" w14:textId="77777777" w:rsidTr="00AF1B39">
        <w:trPr>
          <w:trHeight w:val="300"/>
        </w:trPr>
        <w:tc>
          <w:tcPr>
            <w:tcW w:w="2540" w:type="dxa"/>
            <w:tcBorders>
              <w:top w:val="nil"/>
              <w:left w:val="nil"/>
              <w:bottom w:val="nil"/>
              <w:right w:val="nil"/>
            </w:tcBorders>
            <w:shd w:val="clear" w:color="000000" w:fill="16365C"/>
            <w:noWrap/>
            <w:vAlign w:val="bottom"/>
            <w:hideMark/>
          </w:tcPr>
          <w:p w14:paraId="5A6FA764"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Total</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08757CC0" w14:textId="311AE493"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8</w:t>
            </w:r>
            <w:r w:rsidR="00653EE8">
              <w:rPr>
                <w:rFonts w:ascii="Calibri" w:eastAsia="Times New Roman" w:hAnsi="Calibri" w:cs="Times New Roman"/>
                <w:b/>
                <w:color w:val="000000"/>
              </w:rPr>
              <w:t>2</w:t>
            </w:r>
            <w:r w:rsidR="00C563F5">
              <w:rPr>
                <w:rFonts w:ascii="Calibri" w:eastAsia="Times New Roman" w:hAnsi="Calibri" w:cs="Times New Roman"/>
                <w:b/>
                <w:color w:val="000000"/>
              </w:rPr>
              <w:t>7</w:t>
            </w:r>
          </w:p>
        </w:tc>
        <w:tc>
          <w:tcPr>
            <w:tcW w:w="1780" w:type="dxa"/>
            <w:tcBorders>
              <w:top w:val="nil"/>
              <w:left w:val="nil"/>
              <w:bottom w:val="single" w:sz="4" w:space="0" w:color="auto"/>
              <w:right w:val="single" w:sz="4" w:space="0" w:color="auto"/>
            </w:tcBorders>
            <w:shd w:val="clear" w:color="auto" w:fill="auto"/>
            <w:noWrap/>
            <w:vAlign w:val="bottom"/>
            <w:hideMark/>
          </w:tcPr>
          <w:p w14:paraId="1E3F87ED" w14:textId="6FBFB636"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18</w:t>
            </w:r>
            <w:r w:rsidR="00653EE8">
              <w:rPr>
                <w:rFonts w:ascii="Calibri" w:eastAsia="Times New Roman" w:hAnsi="Calibri" w:cs="Times New Roman"/>
                <w:b/>
                <w:color w:val="000000"/>
              </w:rPr>
              <w:t>6</w:t>
            </w:r>
            <w:r w:rsidR="00C563F5">
              <w:rPr>
                <w:rFonts w:ascii="Calibri" w:eastAsia="Times New Roman" w:hAnsi="Calibri" w:cs="Times New Roman"/>
                <w:b/>
                <w:color w:val="000000"/>
              </w:rPr>
              <w:t>1</w:t>
            </w:r>
          </w:p>
        </w:tc>
      </w:tr>
    </w:tbl>
    <w:p w14:paraId="2FF0C89A" w14:textId="77777777" w:rsidR="0076575C" w:rsidRDefault="0076575C" w:rsidP="00A25DD5">
      <w:pPr>
        <w:spacing w:after="0"/>
        <w:rPr>
          <w:b/>
          <w:sz w:val="28"/>
          <w:szCs w:val="28"/>
        </w:rPr>
      </w:pPr>
    </w:p>
    <w:p w14:paraId="344FED12" w14:textId="77777777" w:rsidR="00152277" w:rsidRDefault="00152277" w:rsidP="00A25DD5">
      <w:pPr>
        <w:spacing w:after="0"/>
        <w:rPr>
          <w:b/>
          <w:sz w:val="28"/>
          <w:szCs w:val="28"/>
        </w:rPr>
      </w:pPr>
    </w:p>
    <w:p w14:paraId="1FBD0EEE" w14:textId="77777777" w:rsidR="00CC1187" w:rsidRDefault="00CC1187">
      <w:pPr>
        <w:rPr>
          <w:b/>
          <w:sz w:val="28"/>
          <w:szCs w:val="28"/>
        </w:rPr>
      </w:pPr>
      <w:r>
        <w:rPr>
          <w:b/>
          <w:sz w:val="28"/>
          <w:szCs w:val="28"/>
        </w:rPr>
        <w:br w:type="page"/>
      </w:r>
    </w:p>
    <w:p w14:paraId="24115849" w14:textId="3991FD64" w:rsidR="00CC1187" w:rsidRDefault="00CC1187" w:rsidP="00CC1187">
      <w:pPr>
        <w:spacing w:after="0" w:line="240" w:lineRule="auto"/>
        <w:rPr>
          <w:b/>
          <w:sz w:val="28"/>
          <w:szCs w:val="28"/>
        </w:rPr>
      </w:pPr>
      <w:r>
        <w:rPr>
          <w:b/>
          <w:sz w:val="28"/>
          <w:szCs w:val="28"/>
        </w:rPr>
        <w:lastRenderedPageBreak/>
        <w:t>TABLE</w:t>
      </w:r>
      <w:r w:rsidR="00A752BC">
        <w:rPr>
          <w:b/>
          <w:sz w:val="28"/>
          <w:szCs w:val="28"/>
        </w:rPr>
        <w:t xml:space="preserve"> </w:t>
      </w:r>
      <w:r>
        <w:rPr>
          <w:b/>
          <w:sz w:val="28"/>
          <w:szCs w:val="28"/>
        </w:rPr>
        <w:t>3, CHART</w:t>
      </w:r>
      <w:r w:rsidR="00A752BC">
        <w:rPr>
          <w:b/>
          <w:sz w:val="28"/>
          <w:szCs w:val="28"/>
        </w:rPr>
        <w:t xml:space="preserve"> </w:t>
      </w:r>
      <w:r>
        <w:rPr>
          <w:b/>
          <w:sz w:val="28"/>
          <w:szCs w:val="28"/>
        </w:rPr>
        <w:t xml:space="preserve">2: URS </w:t>
      </w:r>
      <w:r w:rsidR="00653EE8">
        <w:rPr>
          <w:b/>
          <w:sz w:val="28"/>
          <w:szCs w:val="28"/>
        </w:rPr>
        <w:t xml:space="preserve">Cases </w:t>
      </w:r>
      <w:r>
        <w:rPr>
          <w:b/>
          <w:sz w:val="28"/>
          <w:szCs w:val="28"/>
        </w:rPr>
        <w:t>by Provider (</w:t>
      </w:r>
      <w:r w:rsidR="00407125">
        <w:rPr>
          <w:b/>
          <w:sz w:val="28"/>
          <w:szCs w:val="28"/>
        </w:rPr>
        <w:t xml:space="preserve">showing </w:t>
      </w:r>
      <w:r w:rsidR="007A759D">
        <w:rPr>
          <w:b/>
          <w:sz w:val="28"/>
          <w:szCs w:val="28"/>
        </w:rPr>
        <w:t xml:space="preserve">total </w:t>
      </w:r>
      <w:r>
        <w:rPr>
          <w:b/>
          <w:sz w:val="28"/>
          <w:szCs w:val="28"/>
        </w:rPr>
        <w:t>q</w:t>
      </w:r>
      <w:r w:rsidR="00407125">
        <w:rPr>
          <w:b/>
          <w:sz w:val="28"/>
          <w:szCs w:val="28"/>
        </w:rPr>
        <w:t>uanti</w:t>
      </w:r>
      <w:r>
        <w:rPr>
          <w:b/>
          <w:sz w:val="28"/>
          <w:szCs w:val="28"/>
        </w:rPr>
        <w:t>ty</w:t>
      </w:r>
      <w:r w:rsidR="00407125">
        <w:rPr>
          <w:b/>
          <w:sz w:val="28"/>
          <w:szCs w:val="28"/>
        </w:rPr>
        <w:t xml:space="preserve"> of disput</w:t>
      </w:r>
      <w:r w:rsidR="0011560B">
        <w:rPr>
          <w:b/>
          <w:sz w:val="28"/>
          <w:szCs w:val="28"/>
        </w:rPr>
        <w:t>e</w:t>
      </w:r>
      <w:r w:rsidR="00653EE8">
        <w:rPr>
          <w:b/>
          <w:sz w:val="28"/>
          <w:szCs w:val="28"/>
        </w:rPr>
        <w:t>s</w:t>
      </w:r>
      <w:r w:rsidR="007A759D">
        <w:rPr>
          <w:b/>
          <w:sz w:val="28"/>
          <w:szCs w:val="28"/>
        </w:rPr>
        <w:t xml:space="preserve"> handled by each Provider by Year</w:t>
      </w:r>
      <w:r>
        <w:rPr>
          <w:b/>
          <w:sz w:val="28"/>
          <w:szCs w:val="28"/>
        </w:rPr>
        <w:t>):</w:t>
      </w:r>
    </w:p>
    <w:tbl>
      <w:tblPr>
        <w:tblW w:w="7500" w:type="dxa"/>
        <w:tblInd w:w="93" w:type="dxa"/>
        <w:tblLook w:val="04A0" w:firstRow="1" w:lastRow="0" w:firstColumn="1" w:lastColumn="0" w:noHBand="0" w:noVBand="1"/>
      </w:tblPr>
      <w:tblGrid>
        <w:gridCol w:w="1580"/>
        <w:gridCol w:w="1480"/>
        <w:gridCol w:w="1480"/>
        <w:gridCol w:w="1480"/>
        <w:gridCol w:w="1480"/>
      </w:tblGrid>
      <w:tr w:rsidR="00653EE8" w:rsidRPr="00653EE8" w14:paraId="5A3BBB1E" w14:textId="77777777" w:rsidTr="00653EE8">
        <w:trPr>
          <w:trHeight w:val="300"/>
        </w:trPr>
        <w:tc>
          <w:tcPr>
            <w:tcW w:w="1580" w:type="dxa"/>
            <w:tcBorders>
              <w:top w:val="nil"/>
              <w:left w:val="nil"/>
              <w:bottom w:val="nil"/>
              <w:right w:val="nil"/>
            </w:tcBorders>
            <w:shd w:val="clear" w:color="000000" w:fill="16365C"/>
            <w:noWrap/>
            <w:vAlign w:val="bottom"/>
            <w:hideMark/>
          </w:tcPr>
          <w:p w14:paraId="3FCD37F1" w14:textId="77777777" w:rsidR="00653EE8" w:rsidRPr="00653EE8" w:rsidRDefault="00653EE8" w:rsidP="00653EE8">
            <w:pPr>
              <w:spacing w:after="0" w:line="240" w:lineRule="auto"/>
              <w:rPr>
                <w:rFonts w:ascii="Calibri" w:eastAsia="Times New Roman" w:hAnsi="Calibri" w:cs="Times New Roman"/>
                <w:color w:val="FFFFFF"/>
              </w:rPr>
            </w:pPr>
            <w:r w:rsidRPr="00653EE8">
              <w:rPr>
                <w:rFonts w:ascii="Calibri" w:eastAsia="Times New Roman" w:hAnsi="Calibri" w:cs="Times New Roman"/>
                <w:color w:val="FFFFFF"/>
              </w:rPr>
              <w:t> </w:t>
            </w:r>
          </w:p>
        </w:tc>
        <w:tc>
          <w:tcPr>
            <w:tcW w:w="1480" w:type="dxa"/>
            <w:tcBorders>
              <w:top w:val="nil"/>
              <w:left w:val="nil"/>
              <w:bottom w:val="nil"/>
              <w:right w:val="nil"/>
            </w:tcBorders>
            <w:shd w:val="clear" w:color="000000" w:fill="16365C"/>
            <w:noWrap/>
            <w:vAlign w:val="bottom"/>
            <w:hideMark/>
          </w:tcPr>
          <w:p w14:paraId="3EE7EA39"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ADR Forum</w:t>
            </w:r>
          </w:p>
        </w:tc>
        <w:tc>
          <w:tcPr>
            <w:tcW w:w="1480" w:type="dxa"/>
            <w:tcBorders>
              <w:top w:val="nil"/>
              <w:left w:val="nil"/>
              <w:bottom w:val="nil"/>
              <w:right w:val="nil"/>
            </w:tcBorders>
            <w:shd w:val="clear" w:color="000000" w:fill="16365C"/>
            <w:noWrap/>
            <w:vAlign w:val="bottom"/>
            <w:hideMark/>
          </w:tcPr>
          <w:p w14:paraId="62116618"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ADNDRC</w:t>
            </w:r>
          </w:p>
        </w:tc>
        <w:tc>
          <w:tcPr>
            <w:tcW w:w="1480" w:type="dxa"/>
            <w:tcBorders>
              <w:top w:val="nil"/>
              <w:left w:val="nil"/>
              <w:bottom w:val="nil"/>
              <w:right w:val="nil"/>
            </w:tcBorders>
            <w:shd w:val="clear" w:color="000000" w:fill="16365C"/>
            <w:noWrap/>
            <w:vAlign w:val="bottom"/>
            <w:hideMark/>
          </w:tcPr>
          <w:p w14:paraId="50869B4E"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MFSD</w:t>
            </w:r>
          </w:p>
        </w:tc>
        <w:tc>
          <w:tcPr>
            <w:tcW w:w="1480" w:type="dxa"/>
            <w:tcBorders>
              <w:top w:val="nil"/>
              <w:left w:val="nil"/>
              <w:bottom w:val="nil"/>
              <w:right w:val="nil"/>
            </w:tcBorders>
            <w:shd w:val="clear" w:color="000000" w:fill="16365C"/>
            <w:noWrap/>
            <w:vAlign w:val="bottom"/>
            <w:hideMark/>
          </w:tcPr>
          <w:p w14:paraId="5700F173"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Grand Total</w:t>
            </w:r>
          </w:p>
        </w:tc>
      </w:tr>
      <w:tr w:rsidR="00653EE8" w:rsidRPr="00653EE8" w14:paraId="79A42612" w14:textId="77777777" w:rsidTr="00653EE8">
        <w:trPr>
          <w:trHeight w:val="300"/>
        </w:trPr>
        <w:tc>
          <w:tcPr>
            <w:tcW w:w="1580" w:type="dxa"/>
            <w:tcBorders>
              <w:top w:val="nil"/>
              <w:left w:val="nil"/>
              <w:bottom w:val="nil"/>
              <w:right w:val="nil"/>
            </w:tcBorders>
            <w:shd w:val="clear" w:color="000000" w:fill="16365C"/>
            <w:noWrap/>
            <w:vAlign w:val="bottom"/>
            <w:hideMark/>
          </w:tcPr>
          <w:p w14:paraId="40864EC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9232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7174AF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3A4BD6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203DF8E"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234</w:t>
            </w:r>
          </w:p>
        </w:tc>
      </w:tr>
      <w:tr w:rsidR="00653EE8" w:rsidRPr="00653EE8" w14:paraId="46DCAA4A" w14:textId="77777777" w:rsidTr="00653EE8">
        <w:trPr>
          <w:trHeight w:val="300"/>
        </w:trPr>
        <w:tc>
          <w:tcPr>
            <w:tcW w:w="1580" w:type="dxa"/>
            <w:tcBorders>
              <w:top w:val="nil"/>
              <w:left w:val="nil"/>
              <w:bottom w:val="nil"/>
              <w:right w:val="nil"/>
            </w:tcBorders>
            <w:shd w:val="clear" w:color="000000" w:fill="16365C"/>
            <w:noWrap/>
            <w:vAlign w:val="bottom"/>
            <w:hideMark/>
          </w:tcPr>
          <w:p w14:paraId="2955786D"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2015</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F9B90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209</w:t>
            </w:r>
          </w:p>
        </w:tc>
        <w:tc>
          <w:tcPr>
            <w:tcW w:w="1480" w:type="dxa"/>
            <w:tcBorders>
              <w:top w:val="nil"/>
              <w:left w:val="nil"/>
              <w:bottom w:val="single" w:sz="4" w:space="0" w:color="auto"/>
              <w:right w:val="single" w:sz="4" w:space="0" w:color="auto"/>
            </w:tcBorders>
            <w:shd w:val="clear" w:color="auto" w:fill="auto"/>
            <w:noWrap/>
            <w:vAlign w:val="bottom"/>
            <w:hideMark/>
          </w:tcPr>
          <w:p w14:paraId="5D3CFE3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8</w:t>
            </w:r>
          </w:p>
        </w:tc>
        <w:tc>
          <w:tcPr>
            <w:tcW w:w="1480" w:type="dxa"/>
            <w:tcBorders>
              <w:top w:val="nil"/>
              <w:left w:val="nil"/>
              <w:bottom w:val="single" w:sz="4" w:space="0" w:color="auto"/>
              <w:right w:val="single" w:sz="4" w:space="0" w:color="auto"/>
            </w:tcBorders>
            <w:shd w:val="clear" w:color="auto" w:fill="auto"/>
            <w:noWrap/>
            <w:vAlign w:val="bottom"/>
            <w:hideMark/>
          </w:tcPr>
          <w:p w14:paraId="07F068CF"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2CF179DC"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217</w:t>
            </w:r>
          </w:p>
        </w:tc>
      </w:tr>
      <w:tr w:rsidR="00653EE8" w:rsidRPr="00653EE8" w14:paraId="6D62A698" w14:textId="77777777" w:rsidTr="00653EE8">
        <w:trPr>
          <w:trHeight w:val="300"/>
        </w:trPr>
        <w:tc>
          <w:tcPr>
            <w:tcW w:w="1580" w:type="dxa"/>
            <w:tcBorders>
              <w:top w:val="nil"/>
              <w:left w:val="nil"/>
              <w:bottom w:val="nil"/>
              <w:right w:val="nil"/>
            </w:tcBorders>
            <w:shd w:val="clear" w:color="000000" w:fill="16365C"/>
            <w:noWrap/>
            <w:vAlign w:val="bottom"/>
            <w:hideMark/>
          </w:tcPr>
          <w:p w14:paraId="1A7DA9A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2016</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1E26487"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nil"/>
              <w:left w:val="nil"/>
              <w:bottom w:val="single" w:sz="4" w:space="0" w:color="auto"/>
              <w:right w:val="single" w:sz="4" w:space="0" w:color="auto"/>
            </w:tcBorders>
            <w:shd w:val="clear" w:color="auto" w:fill="auto"/>
            <w:noWrap/>
            <w:vAlign w:val="bottom"/>
            <w:hideMark/>
          </w:tcPr>
          <w:p w14:paraId="4537685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bottom"/>
            <w:hideMark/>
          </w:tcPr>
          <w:p w14:paraId="79AB58A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10</w:t>
            </w:r>
          </w:p>
        </w:tc>
        <w:tc>
          <w:tcPr>
            <w:tcW w:w="1480" w:type="dxa"/>
            <w:tcBorders>
              <w:top w:val="nil"/>
              <w:left w:val="nil"/>
              <w:bottom w:val="single" w:sz="4" w:space="0" w:color="auto"/>
              <w:right w:val="single" w:sz="4" w:space="0" w:color="auto"/>
            </w:tcBorders>
            <w:shd w:val="clear" w:color="auto" w:fill="auto"/>
            <w:noWrap/>
            <w:vAlign w:val="bottom"/>
            <w:hideMark/>
          </w:tcPr>
          <w:p w14:paraId="3D75DB16"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225</w:t>
            </w:r>
          </w:p>
        </w:tc>
      </w:tr>
      <w:tr w:rsidR="00653EE8" w:rsidRPr="00653EE8" w14:paraId="65F273E6" w14:textId="77777777" w:rsidTr="00653EE8">
        <w:trPr>
          <w:trHeight w:val="300"/>
        </w:trPr>
        <w:tc>
          <w:tcPr>
            <w:tcW w:w="1580" w:type="dxa"/>
            <w:tcBorders>
              <w:top w:val="nil"/>
              <w:left w:val="nil"/>
              <w:bottom w:val="nil"/>
              <w:right w:val="nil"/>
            </w:tcBorders>
            <w:shd w:val="clear" w:color="000000" w:fill="16365C"/>
            <w:noWrap/>
            <w:vAlign w:val="bottom"/>
            <w:hideMark/>
          </w:tcPr>
          <w:p w14:paraId="7C9DF99F"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2017</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37E31E3"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147</w:t>
            </w:r>
          </w:p>
        </w:tc>
        <w:tc>
          <w:tcPr>
            <w:tcW w:w="1480" w:type="dxa"/>
            <w:tcBorders>
              <w:top w:val="nil"/>
              <w:left w:val="nil"/>
              <w:bottom w:val="single" w:sz="4" w:space="0" w:color="auto"/>
              <w:right w:val="single" w:sz="4" w:space="0" w:color="auto"/>
            </w:tcBorders>
            <w:shd w:val="clear" w:color="auto" w:fill="auto"/>
            <w:noWrap/>
            <w:vAlign w:val="bottom"/>
            <w:hideMark/>
          </w:tcPr>
          <w:p w14:paraId="2B4CA55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366EAB5B"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4</w:t>
            </w:r>
          </w:p>
        </w:tc>
        <w:tc>
          <w:tcPr>
            <w:tcW w:w="1480" w:type="dxa"/>
            <w:tcBorders>
              <w:top w:val="nil"/>
              <w:left w:val="nil"/>
              <w:bottom w:val="single" w:sz="4" w:space="0" w:color="auto"/>
              <w:right w:val="single" w:sz="4" w:space="0" w:color="auto"/>
            </w:tcBorders>
            <w:shd w:val="clear" w:color="auto" w:fill="auto"/>
            <w:noWrap/>
            <w:vAlign w:val="bottom"/>
            <w:hideMark/>
          </w:tcPr>
          <w:p w14:paraId="4EB08BDD"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151</w:t>
            </w:r>
          </w:p>
        </w:tc>
      </w:tr>
      <w:tr w:rsidR="00653EE8" w:rsidRPr="00653EE8" w14:paraId="586E63BA" w14:textId="77777777" w:rsidTr="00653EE8">
        <w:trPr>
          <w:trHeight w:val="300"/>
        </w:trPr>
        <w:tc>
          <w:tcPr>
            <w:tcW w:w="1580" w:type="dxa"/>
            <w:tcBorders>
              <w:top w:val="nil"/>
              <w:left w:val="nil"/>
              <w:bottom w:val="nil"/>
              <w:right w:val="nil"/>
            </w:tcBorders>
            <w:shd w:val="clear" w:color="000000" w:fill="16365C"/>
            <w:noWrap/>
            <w:vAlign w:val="bottom"/>
            <w:hideMark/>
          </w:tcPr>
          <w:p w14:paraId="21553DDC"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Grand Total</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E32EBB3"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784</w:t>
            </w:r>
          </w:p>
        </w:tc>
        <w:tc>
          <w:tcPr>
            <w:tcW w:w="1480" w:type="dxa"/>
            <w:tcBorders>
              <w:top w:val="nil"/>
              <w:left w:val="nil"/>
              <w:bottom w:val="single" w:sz="4" w:space="0" w:color="auto"/>
              <w:right w:val="single" w:sz="4" w:space="0" w:color="auto"/>
            </w:tcBorders>
            <w:shd w:val="clear" w:color="auto" w:fill="auto"/>
            <w:noWrap/>
            <w:vAlign w:val="bottom"/>
            <w:hideMark/>
          </w:tcPr>
          <w:p w14:paraId="62891681"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29</w:t>
            </w:r>
          </w:p>
        </w:tc>
        <w:tc>
          <w:tcPr>
            <w:tcW w:w="1480" w:type="dxa"/>
            <w:tcBorders>
              <w:top w:val="nil"/>
              <w:left w:val="nil"/>
              <w:bottom w:val="single" w:sz="4" w:space="0" w:color="auto"/>
              <w:right w:val="single" w:sz="4" w:space="0" w:color="auto"/>
            </w:tcBorders>
            <w:shd w:val="clear" w:color="auto" w:fill="auto"/>
            <w:noWrap/>
            <w:vAlign w:val="bottom"/>
            <w:hideMark/>
          </w:tcPr>
          <w:p w14:paraId="403142F5"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14</w:t>
            </w:r>
          </w:p>
        </w:tc>
        <w:tc>
          <w:tcPr>
            <w:tcW w:w="1480" w:type="dxa"/>
            <w:tcBorders>
              <w:top w:val="nil"/>
              <w:left w:val="nil"/>
              <w:bottom w:val="single" w:sz="4" w:space="0" w:color="auto"/>
              <w:right w:val="single" w:sz="4" w:space="0" w:color="auto"/>
            </w:tcBorders>
            <w:shd w:val="clear" w:color="auto" w:fill="auto"/>
            <w:noWrap/>
            <w:vAlign w:val="bottom"/>
            <w:hideMark/>
          </w:tcPr>
          <w:p w14:paraId="3CE280A7"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827</w:t>
            </w:r>
          </w:p>
        </w:tc>
      </w:tr>
    </w:tbl>
    <w:p w14:paraId="71481576" w14:textId="77777777" w:rsidR="00653EE8" w:rsidRPr="00CC1187" w:rsidRDefault="00653EE8" w:rsidP="00A25DD5">
      <w:pPr>
        <w:spacing w:after="0"/>
        <w:rPr>
          <w:sz w:val="18"/>
          <w:szCs w:val="18"/>
        </w:rPr>
      </w:pPr>
    </w:p>
    <w:p w14:paraId="79469F61" w14:textId="52CA3866" w:rsidR="00152277" w:rsidRDefault="00152277" w:rsidP="00A25DD5">
      <w:pPr>
        <w:spacing w:after="0"/>
        <w:rPr>
          <w:b/>
          <w:sz w:val="28"/>
          <w:szCs w:val="28"/>
        </w:rPr>
      </w:pPr>
    </w:p>
    <w:p w14:paraId="7CB226DB" w14:textId="25BEA46F" w:rsidR="00653EE8" w:rsidRDefault="00C563F5" w:rsidP="00A25DD5">
      <w:pPr>
        <w:spacing w:after="0"/>
        <w:rPr>
          <w:b/>
          <w:sz w:val="28"/>
          <w:szCs w:val="28"/>
        </w:rPr>
      </w:pPr>
      <w:r>
        <w:rPr>
          <w:noProof/>
        </w:rPr>
        <w:drawing>
          <wp:inline distT="0" distB="0" distL="0" distR="0" wp14:anchorId="1DB70B4C" wp14:editId="56E77F5F">
            <wp:extent cx="4839892" cy="3729037"/>
            <wp:effectExtent l="0" t="0" r="18415"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3CDD7B" w14:textId="77777777" w:rsidR="00AF1B39" w:rsidRDefault="00AF1B39" w:rsidP="00A25DD5">
      <w:pPr>
        <w:spacing w:after="0"/>
        <w:rPr>
          <w:b/>
          <w:sz w:val="28"/>
          <w:szCs w:val="28"/>
        </w:rPr>
      </w:pPr>
    </w:p>
    <w:p w14:paraId="1D252F88" w14:textId="32E27BF2" w:rsidR="00CC1187" w:rsidRDefault="00CC1187">
      <w:pPr>
        <w:rPr>
          <w:b/>
          <w:sz w:val="28"/>
          <w:szCs w:val="28"/>
        </w:rPr>
      </w:pPr>
    </w:p>
    <w:p w14:paraId="30202A3B" w14:textId="77777777" w:rsidR="00A752BC" w:rsidRDefault="00A752BC" w:rsidP="00A25DD5">
      <w:pPr>
        <w:spacing w:after="0"/>
        <w:rPr>
          <w:sz w:val="20"/>
          <w:szCs w:val="20"/>
        </w:rPr>
      </w:pPr>
    </w:p>
    <w:p w14:paraId="4DFB92D9" w14:textId="5D51B214" w:rsidR="00B97A1C" w:rsidRDefault="00B97A1C" w:rsidP="00B97A1C">
      <w:pPr>
        <w:spacing w:after="0" w:line="240" w:lineRule="auto"/>
        <w:rPr>
          <w:b/>
          <w:sz w:val="28"/>
          <w:szCs w:val="28"/>
        </w:rPr>
      </w:pPr>
      <w:commentRangeStart w:id="0"/>
      <w:r>
        <w:rPr>
          <w:b/>
          <w:sz w:val="28"/>
          <w:szCs w:val="28"/>
        </w:rPr>
        <w:lastRenderedPageBreak/>
        <w:t>TABLES</w:t>
      </w:r>
      <w:commentRangeEnd w:id="0"/>
      <w:r w:rsidR="003D0C3F">
        <w:rPr>
          <w:rStyle w:val="CommentReference"/>
        </w:rPr>
        <w:commentReference w:id="0"/>
      </w:r>
      <w:r>
        <w:rPr>
          <w:b/>
          <w:sz w:val="28"/>
          <w:szCs w:val="28"/>
        </w:rPr>
        <w:t xml:space="preserve"> 4 &amp; 5 </w:t>
      </w:r>
      <w:r w:rsidR="004252EB">
        <w:rPr>
          <w:b/>
          <w:sz w:val="28"/>
          <w:szCs w:val="28"/>
        </w:rPr>
        <w:t>–</w:t>
      </w:r>
      <w:r>
        <w:rPr>
          <w:b/>
          <w:sz w:val="28"/>
          <w:szCs w:val="28"/>
        </w:rPr>
        <w:t xml:space="preserve"> </w:t>
      </w:r>
      <w:r w:rsidR="004252EB">
        <w:rPr>
          <w:b/>
          <w:sz w:val="28"/>
          <w:szCs w:val="28"/>
        </w:rPr>
        <w:t xml:space="preserve">Number of </w:t>
      </w:r>
      <w:r>
        <w:rPr>
          <w:b/>
          <w:sz w:val="28"/>
          <w:szCs w:val="28"/>
        </w:rPr>
        <w:t xml:space="preserve">URS </w:t>
      </w:r>
      <w:r w:rsidR="004252EB">
        <w:rPr>
          <w:b/>
          <w:sz w:val="28"/>
          <w:szCs w:val="28"/>
        </w:rPr>
        <w:t>C</w:t>
      </w:r>
      <w:r>
        <w:rPr>
          <w:b/>
          <w:sz w:val="28"/>
          <w:szCs w:val="28"/>
        </w:rPr>
        <w:t xml:space="preserve">ases </w:t>
      </w:r>
      <w:r w:rsidR="004252EB">
        <w:rPr>
          <w:b/>
          <w:sz w:val="28"/>
          <w:szCs w:val="28"/>
        </w:rPr>
        <w:t>and Number of</w:t>
      </w:r>
      <w:r>
        <w:rPr>
          <w:b/>
          <w:sz w:val="28"/>
          <w:szCs w:val="28"/>
        </w:rPr>
        <w:t xml:space="preserve"> </w:t>
      </w:r>
      <w:r w:rsidR="004252EB">
        <w:rPr>
          <w:b/>
          <w:sz w:val="28"/>
          <w:szCs w:val="28"/>
        </w:rPr>
        <w:t xml:space="preserve">Disputed </w:t>
      </w:r>
      <w:r>
        <w:rPr>
          <w:b/>
          <w:sz w:val="28"/>
          <w:szCs w:val="28"/>
        </w:rPr>
        <w:t>Domains</w:t>
      </w:r>
      <w:r w:rsidR="004252EB">
        <w:rPr>
          <w:b/>
          <w:sz w:val="28"/>
          <w:szCs w:val="28"/>
        </w:rPr>
        <w:t xml:space="preserve"> Within Those Cases,</w:t>
      </w:r>
      <w:r>
        <w:rPr>
          <w:b/>
          <w:sz w:val="28"/>
          <w:szCs w:val="28"/>
        </w:rPr>
        <w:t xml:space="preserve"> </w:t>
      </w:r>
      <w:r w:rsidR="004252EB">
        <w:rPr>
          <w:b/>
          <w:sz w:val="28"/>
          <w:szCs w:val="28"/>
        </w:rPr>
        <w:t>C</w:t>
      </w:r>
      <w:r>
        <w:rPr>
          <w:b/>
          <w:sz w:val="28"/>
          <w:szCs w:val="28"/>
        </w:rPr>
        <w:t xml:space="preserve">ategorized by </w:t>
      </w:r>
      <w:proofErr w:type="spellStart"/>
      <w:r>
        <w:rPr>
          <w:b/>
          <w:sz w:val="28"/>
          <w:szCs w:val="28"/>
        </w:rPr>
        <w:t>gTLD</w:t>
      </w:r>
      <w:proofErr w:type="spellEnd"/>
      <w:r>
        <w:rPr>
          <w:b/>
          <w:sz w:val="28"/>
          <w:szCs w:val="28"/>
        </w:rPr>
        <w:t xml:space="preserve"> (</w:t>
      </w:r>
      <w:r w:rsidR="00225538">
        <w:rPr>
          <w:b/>
          <w:sz w:val="28"/>
          <w:szCs w:val="28"/>
        </w:rPr>
        <w:t>top 25</w:t>
      </w:r>
      <w:r>
        <w:rPr>
          <w:b/>
          <w:sz w:val="28"/>
          <w:szCs w:val="28"/>
        </w:rPr>
        <w:t>):</w:t>
      </w:r>
    </w:p>
    <w:p w14:paraId="7FDD59AB" w14:textId="113357FD" w:rsidR="00EC5C2B" w:rsidRPr="00225538" w:rsidRDefault="00B97A1C">
      <w:pPr>
        <w:rPr>
          <w:sz w:val="20"/>
          <w:szCs w:val="20"/>
        </w:rPr>
      </w:pPr>
      <w:r w:rsidRPr="00675CE5">
        <w:rPr>
          <w:sz w:val="20"/>
          <w:szCs w:val="20"/>
          <w:u w:val="single"/>
        </w:rPr>
        <w:t>Note</w:t>
      </w:r>
      <w:r w:rsidRPr="00225538">
        <w:rPr>
          <w:sz w:val="20"/>
          <w:szCs w:val="20"/>
        </w:rPr>
        <w:t xml:space="preserve">: </w:t>
      </w:r>
      <w:r w:rsidR="004252EB">
        <w:rPr>
          <w:sz w:val="20"/>
          <w:szCs w:val="20"/>
        </w:rPr>
        <w:t xml:space="preserve">The following tables list the </w:t>
      </w:r>
      <w:r w:rsidR="009A5C36">
        <w:rPr>
          <w:sz w:val="20"/>
          <w:szCs w:val="20"/>
        </w:rPr>
        <w:t xml:space="preserve">top 25 TLDs by </w:t>
      </w:r>
      <w:r w:rsidR="004252EB">
        <w:rPr>
          <w:sz w:val="20"/>
          <w:szCs w:val="20"/>
        </w:rPr>
        <w:t>total nu</w:t>
      </w:r>
      <w:r w:rsidR="000E73D4">
        <w:rPr>
          <w:sz w:val="20"/>
          <w:szCs w:val="20"/>
        </w:rPr>
        <w:t>mber of cases filed (left side</w:t>
      </w:r>
      <w:r w:rsidR="004252EB">
        <w:rPr>
          <w:sz w:val="20"/>
          <w:szCs w:val="20"/>
        </w:rPr>
        <w:t>) and the total number of disputed domains within</w:t>
      </w:r>
      <w:r w:rsidR="000E73D4">
        <w:rPr>
          <w:sz w:val="20"/>
          <w:szCs w:val="20"/>
        </w:rPr>
        <w:t xml:space="preserve"> those cases (right side</w:t>
      </w:r>
      <w:r w:rsidR="004252EB">
        <w:rPr>
          <w:sz w:val="20"/>
          <w:szCs w:val="20"/>
        </w:rPr>
        <w:t>)</w:t>
      </w:r>
      <w:r w:rsidR="009A5C36">
        <w:rPr>
          <w:sz w:val="20"/>
          <w:szCs w:val="20"/>
        </w:rPr>
        <w:t>.</w:t>
      </w:r>
      <w:r w:rsidR="004252EB">
        <w:rPr>
          <w:sz w:val="20"/>
          <w:szCs w:val="20"/>
        </w:rPr>
        <w:t xml:space="preserve"> Thus, </w:t>
      </w:r>
      <w:proofErr w:type="gramStart"/>
      <w:r w:rsidR="004252EB">
        <w:rPr>
          <w:sz w:val="20"/>
          <w:szCs w:val="20"/>
        </w:rPr>
        <w:t>for .xyz</w:t>
      </w:r>
      <w:proofErr w:type="gramEnd"/>
      <w:r w:rsidR="004252EB">
        <w:rPr>
          <w:sz w:val="20"/>
          <w:szCs w:val="20"/>
        </w:rPr>
        <w:t>, a total of 69 cases were filed concerning a total of 582 domains. T</w:t>
      </w:r>
      <w:r w:rsidR="000E73D4">
        <w:rPr>
          <w:sz w:val="20"/>
          <w:szCs w:val="20"/>
        </w:rPr>
        <w:t xml:space="preserve">he tables also show whether the commencement date of each URS proceeding occurred during the mandatory 90-days Trademark Claims period for that </w:t>
      </w:r>
      <w:proofErr w:type="spellStart"/>
      <w:r w:rsidR="000E73D4">
        <w:rPr>
          <w:sz w:val="20"/>
          <w:szCs w:val="20"/>
        </w:rPr>
        <w:t>gTLD</w:t>
      </w:r>
      <w:proofErr w:type="spellEnd"/>
      <w:r w:rsidR="000E73D4">
        <w:rPr>
          <w:sz w:val="20"/>
          <w:szCs w:val="20"/>
        </w:rPr>
        <w:t xml:space="preserve">. </w:t>
      </w:r>
      <w:r w:rsidR="008E5E73">
        <w:rPr>
          <w:sz w:val="20"/>
          <w:szCs w:val="20"/>
        </w:rPr>
        <w:t>In reviewing this data</w:t>
      </w:r>
      <w:r w:rsidR="000E73D4">
        <w:rPr>
          <w:sz w:val="20"/>
          <w:szCs w:val="20"/>
        </w:rPr>
        <w:t>, it is important to note</w:t>
      </w:r>
      <w:r w:rsidR="000E73D4" w:rsidRPr="00675CE5">
        <w:rPr>
          <w:b/>
          <w:sz w:val="20"/>
          <w:szCs w:val="20"/>
        </w:rPr>
        <w:t xml:space="preserve"> the fact that a case was commenced within a particular </w:t>
      </w:r>
      <w:proofErr w:type="spellStart"/>
      <w:r w:rsidR="000E73D4" w:rsidRPr="00675CE5">
        <w:rPr>
          <w:b/>
          <w:sz w:val="20"/>
          <w:szCs w:val="20"/>
        </w:rPr>
        <w:t>gTLD</w:t>
      </w:r>
      <w:proofErr w:type="spellEnd"/>
      <w:r w:rsidR="000E73D4" w:rsidRPr="00675CE5">
        <w:rPr>
          <w:b/>
          <w:sz w:val="20"/>
          <w:szCs w:val="20"/>
        </w:rPr>
        <w:t xml:space="preserve"> Trademark Claims window does </w:t>
      </w:r>
      <w:r w:rsidR="000E73D4" w:rsidRPr="00675CE5">
        <w:rPr>
          <w:b/>
          <w:sz w:val="20"/>
          <w:szCs w:val="20"/>
          <w:u w:val="single"/>
        </w:rPr>
        <w:t>not</w:t>
      </w:r>
      <w:r w:rsidR="000E73D4" w:rsidRPr="00675CE5">
        <w:rPr>
          <w:b/>
          <w:sz w:val="20"/>
          <w:szCs w:val="20"/>
        </w:rPr>
        <w:t xml:space="preserve"> prove that the disputed domain(s) match</w:t>
      </w:r>
      <w:r w:rsidR="000E73D4">
        <w:rPr>
          <w:b/>
          <w:sz w:val="20"/>
          <w:szCs w:val="20"/>
        </w:rPr>
        <w:t>(</w:t>
      </w:r>
      <w:proofErr w:type="spellStart"/>
      <w:r w:rsidR="000E73D4">
        <w:rPr>
          <w:b/>
          <w:sz w:val="20"/>
          <w:szCs w:val="20"/>
        </w:rPr>
        <w:t>es</w:t>
      </w:r>
      <w:proofErr w:type="spellEnd"/>
      <w:r w:rsidR="000E73D4">
        <w:rPr>
          <w:b/>
          <w:sz w:val="20"/>
          <w:szCs w:val="20"/>
        </w:rPr>
        <w:t>)</w:t>
      </w:r>
      <w:r w:rsidR="000E73D4" w:rsidRPr="00675CE5">
        <w:rPr>
          <w:b/>
          <w:sz w:val="20"/>
          <w:szCs w:val="20"/>
        </w:rPr>
        <w:t xml:space="preserve"> a record within the TMCH </w:t>
      </w:r>
      <w:r w:rsidR="000E73D4">
        <w:rPr>
          <w:sz w:val="20"/>
          <w:szCs w:val="20"/>
        </w:rPr>
        <w:t xml:space="preserve">(i.e. it is not a definitive indication that an underlying trademark matching that domain was registered in the TMCH) – for example, some URS cases may have been filed </w:t>
      </w:r>
      <w:r w:rsidR="008E5E73">
        <w:rPr>
          <w:sz w:val="20"/>
          <w:szCs w:val="20"/>
        </w:rPr>
        <w:t xml:space="preserve">even though </w:t>
      </w:r>
      <w:r w:rsidR="000E73D4">
        <w:rPr>
          <w:sz w:val="20"/>
          <w:szCs w:val="20"/>
        </w:rPr>
        <w:t xml:space="preserve">the trademark holder </w:t>
      </w:r>
      <w:r w:rsidR="008E5E73">
        <w:rPr>
          <w:sz w:val="20"/>
          <w:szCs w:val="20"/>
        </w:rPr>
        <w:t>did not enter its trademark</w:t>
      </w:r>
      <w:r w:rsidR="000E73D4">
        <w:rPr>
          <w:sz w:val="20"/>
          <w:szCs w:val="20"/>
        </w:rPr>
        <w:t xml:space="preserve"> in the TMCH</w:t>
      </w:r>
      <w:r w:rsidR="008E5E73">
        <w:rPr>
          <w:sz w:val="20"/>
          <w:szCs w:val="20"/>
        </w:rPr>
        <w:t xml:space="preserve"> (</w:t>
      </w:r>
      <w:r w:rsidR="00E76E74">
        <w:rPr>
          <w:sz w:val="20"/>
          <w:szCs w:val="20"/>
        </w:rPr>
        <w:t>one possibility being that</w:t>
      </w:r>
      <w:r w:rsidR="000E73D4">
        <w:rPr>
          <w:sz w:val="20"/>
          <w:szCs w:val="20"/>
        </w:rPr>
        <w:t xml:space="preserve"> the trademark holder </w:t>
      </w:r>
      <w:r w:rsidR="008E5E73">
        <w:rPr>
          <w:sz w:val="20"/>
          <w:szCs w:val="20"/>
        </w:rPr>
        <w:t xml:space="preserve">may have </w:t>
      </w:r>
      <w:r w:rsidR="000E73D4">
        <w:rPr>
          <w:sz w:val="20"/>
          <w:szCs w:val="20"/>
        </w:rPr>
        <w:t xml:space="preserve">used a brand monitoring service and </w:t>
      </w:r>
      <w:r w:rsidR="008E5E73">
        <w:rPr>
          <w:sz w:val="20"/>
          <w:szCs w:val="20"/>
        </w:rPr>
        <w:t xml:space="preserve">thus </w:t>
      </w:r>
      <w:r w:rsidR="000E73D4">
        <w:rPr>
          <w:sz w:val="20"/>
          <w:szCs w:val="20"/>
        </w:rPr>
        <w:t xml:space="preserve">did not rely on the TMCH or the Trademark Claims service </w:t>
      </w:r>
      <w:r w:rsidR="008E5E73">
        <w:rPr>
          <w:sz w:val="20"/>
          <w:szCs w:val="20"/>
        </w:rPr>
        <w:t>of</w:t>
      </w:r>
      <w:r w:rsidR="00E76E74">
        <w:rPr>
          <w:sz w:val="20"/>
          <w:szCs w:val="20"/>
        </w:rPr>
        <w:t xml:space="preserve"> a Notification</w:t>
      </w:r>
      <w:r w:rsidR="000E73D4">
        <w:rPr>
          <w:sz w:val="20"/>
          <w:szCs w:val="20"/>
        </w:rPr>
        <w:t xml:space="preserve"> of Registered Name). Furthermore,</w:t>
      </w:r>
      <w:r w:rsidRPr="00225538">
        <w:rPr>
          <w:sz w:val="20"/>
          <w:szCs w:val="20"/>
        </w:rPr>
        <w:t xml:space="preserve"> some </w:t>
      </w:r>
      <w:proofErr w:type="spellStart"/>
      <w:r w:rsidR="000E73D4">
        <w:rPr>
          <w:sz w:val="20"/>
          <w:szCs w:val="20"/>
        </w:rPr>
        <w:t>g</w:t>
      </w:r>
      <w:r w:rsidRPr="00225538">
        <w:rPr>
          <w:sz w:val="20"/>
          <w:szCs w:val="20"/>
        </w:rPr>
        <w:t>TLDs</w:t>
      </w:r>
      <w:proofErr w:type="spellEnd"/>
      <w:r w:rsidRPr="00225538">
        <w:rPr>
          <w:sz w:val="20"/>
          <w:szCs w:val="20"/>
        </w:rPr>
        <w:t xml:space="preserve"> </w:t>
      </w:r>
      <w:r w:rsidR="000E73D4">
        <w:rPr>
          <w:sz w:val="20"/>
          <w:szCs w:val="20"/>
        </w:rPr>
        <w:t>ran</w:t>
      </w:r>
      <w:r w:rsidRPr="00225538">
        <w:rPr>
          <w:sz w:val="20"/>
          <w:szCs w:val="20"/>
        </w:rPr>
        <w:t xml:space="preserve"> indefinite claims </w:t>
      </w:r>
      <w:r w:rsidR="000E73D4">
        <w:rPr>
          <w:sz w:val="20"/>
          <w:szCs w:val="20"/>
        </w:rPr>
        <w:t xml:space="preserve">periods </w:t>
      </w:r>
      <w:r w:rsidR="008E5E73">
        <w:rPr>
          <w:sz w:val="20"/>
          <w:szCs w:val="20"/>
        </w:rPr>
        <w:t>and did</w:t>
      </w:r>
      <w:r w:rsidRPr="00225538">
        <w:rPr>
          <w:sz w:val="20"/>
          <w:szCs w:val="20"/>
        </w:rPr>
        <w:t xml:space="preserve"> not record a</w:t>
      </w:r>
      <w:r w:rsidR="008E5E73">
        <w:rPr>
          <w:sz w:val="20"/>
          <w:szCs w:val="20"/>
        </w:rPr>
        <w:t xml:space="preserve"> </w:t>
      </w:r>
      <w:r w:rsidRPr="00225538">
        <w:rPr>
          <w:sz w:val="20"/>
          <w:szCs w:val="20"/>
        </w:rPr>
        <w:t>clos</w:t>
      </w:r>
      <w:r w:rsidR="008E5E73">
        <w:rPr>
          <w:sz w:val="20"/>
          <w:szCs w:val="20"/>
        </w:rPr>
        <w:t>ing</w:t>
      </w:r>
      <w:r w:rsidRPr="00225538">
        <w:rPr>
          <w:sz w:val="20"/>
          <w:szCs w:val="20"/>
        </w:rPr>
        <w:t xml:space="preserve"> date</w:t>
      </w:r>
      <w:r w:rsidR="008E5E73">
        <w:rPr>
          <w:sz w:val="20"/>
          <w:szCs w:val="20"/>
        </w:rPr>
        <w:t xml:space="preserve"> for Claims</w:t>
      </w:r>
      <w:r w:rsidRPr="00225538">
        <w:rPr>
          <w:sz w:val="20"/>
          <w:szCs w:val="20"/>
        </w:rPr>
        <w:t>.</w:t>
      </w:r>
    </w:p>
    <w:tbl>
      <w:tblPr>
        <w:tblW w:w="13000" w:type="dxa"/>
        <w:tblInd w:w="93" w:type="dxa"/>
        <w:tblLook w:val="04A0" w:firstRow="1" w:lastRow="0" w:firstColumn="1" w:lastColumn="0" w:noHBand="0" w:noVBand="1"/>
      </w:tblPr>
      <w:tblGrid>
        <w:gridCol w:w="1720"/>
        <w:gridCol w:w="1520"/>
        <w:gridCol w:w="1520"/>
        <w:gridCol w:w="1520"/>
        <w:gridCol w:w="440"/>
        <w:gridCol w:w="1720"/>
        <w:gridCol w:w="1520"/>
        <w:gridCol w:w="1520"/>
        <w:gridCol w:w="1520"/>
      </w:tblGrid>
      <w:tr w:rsidR="00956F0D" w:rsidRPr="00956F0D" w14:paraId="19AA994F" w14:textId="77777777" w:rsidTr="00956F0D">
        <w:trPr>
          <w:trHeight w:val="600"/>
        </w:trPr>
        <w:tc>
          <w:tcPr>
            <w:tcW w:w="1720" w:type="dxa"/>
            <w:tcBorders>
              <w:top w:val="nil"/>
              <w:left w:val="nil"/>
              <w:bottom w:val="nil"/>
              <w:right w:val="nil"/>
            </w:tcBorders>
            <w:shd w:val="clear" w:color="000000" w:fill="16365C"/>
            <w:noWrap/>
            <w:vAlign w:val="bottom"/>
            <w:hideMark/>
          </w:tcPr>
          <w:p w14:paraId="56AB4BF9" w14:textId="77777777" w:rsidR="00956F0D" w:rsidRPr="00956F0D" w:rsidRDefault="00956F0D" w:rsidP="00956F0D">
            <w:pPr>
              <w:spacing w:after="0" w:line="240" w:lineRule="auto"/>
              <w:jc w:val="center"/>
              <w:rPr>
                <w:rFonts w:ascii="Calibri" w:eastAsia="Times New Roman" w:hAnsi="Calibri" w:cs="Times New Roman"/>
                <w:color w:val="FFFFFF"/>
              </w:rPr>
            </w:pPr>
            <w:proofErr w:type="spellStart"/>
            <w:r w:rsidRPr="00956F0D">
              <w:rPr>
                <w:rFonts w:ascii="Calibri" w:eastAsia="Times New Roman" w:hAnsi="Calibri" w:cs="Times New Roman"/>
                <w:color w:val="FFFFFF"/>
              </w:rPr>
              <w:t>gTLD</w:t>
            </w:r>
            <w:proofErr w:type="spellEnd"/>
          </w:p>
        </w:tc>
        <w:tc>
          <w:tcPr>
            <w:tcW w:w="1520" w:type="dxa"/>
            <w:tcBorders>
              <w:top w:val="nil"/>
              <w:left w:val="nil"/>
              <w:bottom w:val="nil"/>
              <w:right w:val="nil"/>
            </w:tcBorders>
            <w:shd w:val="clear" w:color="000000" w:fill="16365C"/>
            <w:vAlign w:val="bottom"/>
            <w:hideMark/>
          </w:tcPr>
          <w:p w14:paraId="048E776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not in Window</w:t>
            </w:r>
          </w:p>
        </w:tc>
        <w:tc>
          <w:tcPr>
            <w:tcW w:w="1520" w:type="dxa"/>
            <w:tcBorders>
              <w:top w:val="nil"/>
              <w:left w:val="nil"/>
              <w:bottom w:val="nil"/>
              <w:right w:val="nil"/>
            </w:tcBorders>
            <w:shd w:val="clear" w:color="000000" w:fill="16365C"/>
            <w:vAlign w:val="bottom"/>
            <w:hideMark/>
          </w:tcPr>
          <w:p w14:paraId="6886C1F7"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w/in Window</w:t>
            </w:r>
          </w:p>
        </w:tc>
        <w:tc>
          <w:tcPr>
            <w:tcW w:w="1520" w:type="dxa"/>
            <w:tcBorders>
              <w:top w:val="nil"/>
              <w:left w:val="nil"/>
              <w:bottom w:val="nil"/>
              <w:right w:val="nil"/>
            </w:tcBorders>
            <w:shd w:val="clear" w:color="000000" w:fill="16365C"/>
            <w:noWrap/>
            <w:vAlign w:val="bottom"/>
            <w:hideMark/>
          </w:tcPr>
          <w:p w14:paraId="14CC18FE"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c>
          <w:tcPr>
            <w:tcW w:w="440" w:type="dxa"/>
            <w:tcBorders>
              <w:top w:val="nil"/>
              <w:left w:val="nil"/>
              <w:bottom w:val="nil"/>
              <w:right w:val="nil"/>
            </w:tcBorders>
            <w:shd w:val="clear" w:color="auto" w:fill="auto"/>
            <w:noWrap/>
            <w:vAlign w:val="bottom"/>
            <w:hideMark/>
          </w:tcPr>
          <w:p w14:paraId="74E7903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294031D" w14:textId="77777777" w:rsidR="00956F0D" w:rsidRPr="00956F0D" w:rsidRDefault="00956F0D" w:rsidP="00956F0D">
            <w:pPr>
              <w:spacing w:after="0" w:line="240" w:lineRule="auto"/>
              <w:jc w:val="center"/>
              <w:rPr>
                <w:rFonts w:ascii="Calibri" w:eastAsia="Times New Roman" w:hAnsi="Calibri" w:cs="Times New Roman"/>
                <w:color w:val="FFFFFF"/>
              </w:rPr>
            </w:pPr>
            <w:proofErr w:type="spellStart"/>
            <w:r w:rsidRPr="00956F0D">
              <w:rPr>
                <w:rFonts w:ascii="Calibri" w:eastAsia="Times New Roman" w:hAnsi="Calibri" w:cs="Times New Roman"/>
                <w:color w:val="FFFFFF"/>
              </w:rPr>
              <w:t>gTLD</w:t>
            </w:r>
            <w:proofErr w:type="spellEnd"/>
          </w:p>
        </w:tc>
        <w:tc>
          <w:tcPr>
            <w:tcW w:w="1520" w:type="dxa"/>
            <w:tcBorders>
              <w:top w:val="nil"/>
              <w:left w:val="nil"/>
              <w:bottom w:val="nil"/>
              <w:right w:val="nil"/>
            </w:tcBorders>
            <w:shd w:val="clear" w:color="000000" w:fill="16365C"/>
            <w:vAlign w:val="bottom"/>
            <w:hideMark/>
          </w:tcPr>
          <w:p w14:paraId="334862DA"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not in Window</w:t>
            </w:r>
          </w:p>
        </w:tc>
        <w:tc>
          <w:tcPr>
            <w:tcW w:w="1520" w:type="dxa"/>
            <w:tcBorders>
              <w:top w:val="nil"/>
              <w:left w:val="nil"/>
              <w:bottom w:val="nil"/>
              <w:right w:val="nil"/>
            </w:tcBorders>
            <w:shd w:val="clear" w:color="000000" w:fill="16365C"/>
            <w:vAlign w:val="bottom"/>
            <w:hideMark/>
          </w:tcPr>
          <w:p w14:paraId="7B050DA6"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w/in Window</w:t>
            </w:r>
          </w:p>
        </w:tc>
        <w:tc>
          <w:tcPr>
            <w:tcW w:w="1520" w:type="dxa"/>
            <w:tcBorders>
              <w:top w:val="nil"/>
              <w:left w:val="nil"/>
              <w:bottom w:val="nil"/>
              <w:right w:val="nil"/>
            </w:tcBorders>
            <w:shd w:val="clear" w:color="000000" w:fill="16365C"/>
            <w:noWrap/>
            <w:vAlign w:val="bottom"/>
            <w:hideMark/>
          </w:tcPr>
          <w:p w14:paraId="0BE98BF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r>
      <w:tr w:rsidR="00956F0D" w:rsidRPr="00956F0D" w14:paraId="465984CF" w14:textId="77777777" w:rsidTr="00956F0D">
        <w:trPr>
          <w:trHeight w:val="300"/>
        </w:trPr>
        <w:tc>
          <w:tcPr>
            <w:tcW w:w="1720" w:type="dxa"/>
            <w:tcBorders>
              <w:top w:val="nil"/>
              <w:left w:val="nil"/>
              <w:bottom w:val="nil"/>
              <w:right w:val="nil"/>
            </w:tcBorders>
            <w:shd w:val="clear" w:color="000000" w:fill="16365C"/>
            <w:noWrap/>
            <w:vAlign w:val="bottom"/>
            <w:hideMark/>
          </w:tcPr>
          <w:p w14:paraId="40C82FB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167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855AA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9693C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69</w:t>
            </w:r>
          </w:p>
        </w:tc>
        <w:tc>
          <w:tcPr>
            <w:tcW w:w="440" w:type="dxa"/>
            <w:tcBorders>
              <w:top w:val="nil"/>
              <w:left w:val="nil"/>
              <w:bottom w:val="nil"/>
              <w:right w:val="nil"/>
            </w:tcBorders>
            <w:shd w:val="clear" w:color="auto" w:fill="auto"/>
            <w:noWrap/>
            <w:vAlign w:val="bottom"/>
            <w:hideMark/>
          </w:tcPr>
          <w:p w14:paraId="753AC9F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B639FF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85D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404C70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65502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582</w:t>
            </w:r>
          </w:p>
        </w:tc>
      </w:tr>
      <w:tr w:rsidR="00956F0D" w:rsidRPr="00956F0D" w14:paraId="3A7F5B34" w14:textId="77777777" w:rsidTr="00956F0D">
        <w:trPr>
          <w:trHeight w:val="300"/>
        </w:trPr>
        <w:tc>
          <w:tcPr>
            <w:tcW w:w="1720" w:type="dxa"/>
            <w:tcBorders>
              <w:top w:val="nil"/>
              <w:left w:val="nil"/>
              <w:bottom w:val="nil"/>
              <w:right w:val="nil"/>
            </w:tcBorders>
            <w:shd w:val="clear" w:color="000000" w:fill="16365C"/>
            <w:noWrap/>
            <w:vAlign w:val="bottom"/>
            <w:hideMark/>
          </w:tcPr>
          <w:p w14:paraId="7348C93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A5C693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42</w:t>
            </w:r>
          </w:p>
        </w:tc>
        <w:tc>
          <w:tcPr>
            <w:tcW w:w="1520" w:type="dxa"/>
            <w:tcBorders>
              <w:top w:val="nil"/>
              <w:left w:val="nil"/>
              <w:bottom w:val="single" w:sz="4" w:space="0" w:color="auto"/>
              <w:right w:val="single" w:sz="4" w:space="0" w:color="auto"/>
            </w:tcBorders>
            <w:shd w:val="clear" w:color="auto" w:fill="auto"/>
            <w:noWrap/>
            <w:vAlign w:val="bottom"/>
            <w:hideMark/>
          </w:tcPr>
          <w:p w14:paraId="563E721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34AD001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53</w:t>
            </w:r>
          </w:p>
        </w:tc>
        <w:tc>
          <w:tcPr>
            <w:tcW w:w="440" w:type="dxa"/>
            <w:tcBorders>
              <w:top w:val="nil"/>
              <w:left w:val="nil"/>
              <w:bottom w:val="nil"/>
              <w:right w:val="nil"/>
            </w:tcBorders>
            <w:shd w:val="clear" w:color="auto" w:fill="auto"/>
            <w:noWrap/>
            <w:vAlign w:val="bottom"/>
            <w:hideMark/>
          </w:tcPr>
          <w:p w14:paraId="6BE9D46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486C0B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win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9C475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66A5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c>
          <w:tcPr>
            <w:tcW w:w="1520" w:type="dxa"/>
            <w:tcBorders>
              <w:top w:val="nil"/>
              <w:left w:val="nil"/>
              <w:bottom w:val="single" w:sz="4" w:space="0" w:color="auto"/>
              <w:right w:val="single" w:sz="4" w:space="0" w:color="auto"/>
            </w:tcBorders>
            <w:shd w:val="clear" w:color="auto" w:fill="auto"/>
            <w:noWrap/>
            <w:vAlign w:val="bottom"/>
            <w:hideMark/>
          </w:tcPr>
          <w:p w14:paraId="78ED16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r>
      <w:tr w:rsidR="00956F0D" w:rsidRPr="00956F0D" w14:paraId="794CF392" w14:textId="77777777" w:rsidTr="00956F0D">
        <w:trPr>
          <w:trHeight w:val="300"/>
        </w:trPr>
        <w:tc>
          <w:tcPr>
            <w:tcW w:w="1720" w:type="dxa"/>
            <w:tcBorders>
              <w:top w:val="nil"/>
              <w:left w:val="nil"/>
              <w:bottom w:val="nil"/>
              <w:right w:val="nil"/>
            </w:tcBorders>
            <w:shd w:val="clear" w:color="000000" w:fill="16365C"/>
            <w:noWrap/>
            <w:vAlign w:val="bottom"/>
            <w:hideMark/>
          </w:tcPr>
          <w:p w14:paraId="42DAB1E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AE8E1B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c>
          <w:tcPr>
            <w:tcW w:w="1520" w:type="dxa"/>
            <w:tcBorders>
              <w:top w:val="nil"/>
              <w:left w:val="nil"/>
              <w:bottom w:val="single" w:sz="4" w:space="0" w:color="auto"/>
              <w:right w:val="single" w:sz="4" w:space="0" w:color="auto"/>
            </w:tcBorders>
            <w:shd w:val="clear" w:color="auto" w:fill="auto"/>
            <w:noWrap/>
            <w:vAlign w:val="bottom"/>
            <w:hideMark/>
          </w:tcPr>
          <w:p w14:paraId="3327CC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18D651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47</w:t>
            </w:r>
          </w:p>
        </w:tc>
        <w:tc>
          <w:tcPr>
            <w:tcW w:w="440" w:type="dxa"/>
            <w:tcBorders>
              <w:top w:val="nil"/>
              <w:left w:val="nil"/>
              <w:bottom w:val="nil"/>
              <w:right w:val="nil"/>
            </w:tcBorders>
            <w:shd w:val="clear" w:color="auto" w:fill="auto"/>
            <w:noWrap/>
            <w:vAlign w:val="bottom"/>
            <w:hideMark/>
          </w:tcPr>
          <w:p w14:paraId="70FD168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855675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party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F6B81C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5F6A9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c>
          <w:tcPr>
            <w:tcW w:w="1520" w:type="dxa"/>
            <w:tcBorders>
              <w:top w:val="nil"/>
              <w:left w:val="nil"/>
              <w:bottom w:val="single" w:sz="4" w:space="0" w:color="auto"/>
              <w:right w:val="single" w:sz="4" w:space="0" w:color="auto"/>
            </w:tcBorders>
            <w:shd w:val="clear" w:color="auto" w:fill="auto"/>
            <w:noWrap/>
            <w:vAlign w:val="bottom"/>
            <w:hideMark/>
          </w:tcPr>
          <w:p w14:paraId="598909E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r>
      <w:tr w:rsidR="00956F0D" w:rsidRPr="00956F0D" w14:paraId="7E7CD4DA" w14:textId="77777777" w:rsidTr="00956F0D">
        <w:trPr>
          <w:trHeight w:val="300"/>
        </w:trPr>
        <w:tc>
          <w:tcPr>
            <w:tcW w:w="1720" w:type="dxa"/>
            <w:tcBorders>
              <w:top w:val="nil"/>
              <w:left w:val="nil"/>
              <w:bottom w:val="nil"/>
              <w:right w:val="nil"/>
            </w:tcBorders>
            <w:shd w:val="clear" w:color="000000" w:fill="16365C"/>
            <w:noWrap/>
            <w:vAlign w:val="bottom"/>
            <w:hideMark/>
          </w:tcPr>
          <w:p w14:paraId="18292B6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wang</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E725E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1520" w:type="dxa"/>
            <w:tcBorders>
              <w:top w:val="nil"/>
              <w:left w:val="nil"/>
              <w:bottom w:val="single" w:sz="4" w:space="0" w:color="auto"/>
              <w:right w:val="single" w:sz="4" w:space="0" w:color="auto"/>
            </w:tcBorders>
            <w:shd w:val="clear" w:color="auto" w:fill="auto"/>
            <w:noWrap/>
            <w:vAlign w:val="bottom"/>
            <w:hideMark/>
          </w:tcPr>
          <w:p w14:paraId="04AD2A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25107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c>
          <w:tcPr>
            <w:tcW w:w="440" w:type="dxa"/>
            <w:tcBorders>
              <w:top w:val="nil"/>
              <w:left w:val="nil"/>
              <w:bottom w:val="nil"/>
              <w:right w:val="nil"/>
            </w:tcBorders>
            <w:shd w:val="clear" w:color="auto" w:fill="auto"/>
            <w:noWrap/>
            <w:vAlign w:val="bottom"/>
            <w:hideMark/>
          </w:tcPr>
          <w:p w14:paraId="798EC10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48F8FD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8E36B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68</w:t>
            </w:r>
          </w:p>
        </w:tc>
        <w:tc>
          <w:tcPr>
            <w:tcW w:w="1520" w:type="dxa"/>
            <w:tcBorders>
              <w:top w:val="nil"/>
              <w:left w:val="nil"/>
              <w:bottom w:val="single" w:sz="4" w:space="0" w:color="auto"/>
              <w:right w:val="single" w:sz="4" w:space="0" w:color="auto"/>
            </w:tcBorders>
            <w:shd w:val="clear" w:color="auto" w:fill="auto"/>
            <w:noWrap/>
            <w:vAlign w:val="bottom"/>
            <w:hideMark/>
          </w:tcPr>
          <w:p w14:paraId="64D533C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6230A0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77</w:t>
            </w:r>
          </w:p>
        </w:tc>
      </w:tr>
      <w:tr w:rsidR="00956F0D" w:rsidRPr="00956F0D" w14:paraId="7262CCCB" w14:textId="77777777" w:rsidTr="00956F0D">
        <w:trPr>
          <w:trHeight w:val="300"/>
        </w:trPr>
        <w:tc>
          <w:tcPr>
            <w:tcW w:w="1720" w:type="dxa"/>
            <w:tcBorders>
              <w:top w:val="nil"/>
              <w:left w:val="nil"/>
              <w:bottom w:val="nil"/>
              <w:right w:val="nil"/>
            </w:tcBorders>
            <w:shd w:val="clear" w:color="000000" w:fill="16365C"/>
            <w:noWrap/>
            <w:vAlign w:val="bottom"/>
            <w:hideMark/>
          </w:tcPr>
          <w:p w14:paraId="15FEA37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4D2A24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1520" w:type="dxa"/>
            <w:tcBorders>
              <w:top w:val="nil"/>
              <w:left w:val="nil"/>
              <w:bottom w:val="single" w:sz="4" w:space="0" w:color="auto"/>
              <w:right w:val="single" w:sz="4" w:space="0" w:color="auto"/>
            </w:tcBorders>
            <w:shd w:val="clear" w:color="auto" w:fill="auto"/>
            <w:noWrap/>
            <w:vAlign w:val="bottom"/>
            <w:hideMark/>
          </w:tcPr>
          <w:p w14:paraId="7FA8CD5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09DA88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440" w:type="dxa"/>
            <w:tcBorders>
              <w:top w:val="nil"/>
              <w:left w:val="nil"/>
              <w:bottom w:val="nil"/>
              <w:right w:val="nil"/>
            </w:tcBorders>
            <w:shd w:val="clear" w:color="auto" w:fill="auto"/>
            <w:noWrap/>
            <w:vAlign w:val="bottom"/>
            <w:hideMark/>
          </w:tcPr>
          <w:p w14:paraId="1FADC761"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8C6902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4961A8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2D84F43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609941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63EBE96B" w14:textId="77777777" w:rsidTr="00956F0D">
        <w:trPr>
          <w:trHeight w:val="300"/>
        </w:trPr>
        <w:tc>
          <w:tcPr>
            <w:tcW w:w="1720" w:type="dxa"/>
            <w:tcBorders>
              <w:top w:val="nil"/>
              <w:left w:val="nil"/>
              <w:bottom w:val="nil"/>
              <w:right w:val="nil"/>
            </w:tcBorders>
            <w:shd w:val="clear" w:color="000000" w:fill="16365C"/>
            <w:noWrap/>
            <w:vAlign w:val="bottom"/>
            <w:hideMark/>
          </w:tcPr>
          <w:p w14:paraId="535785D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B6CAA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16</w:t>
            </w:r>
          </w:p>
        </w:tc>
        <w:tc>
          <w:tcPr>
            <w:tcW w:w="1520" w:type="dxa"/>
            <w:tcBorders>
              <w:top w:val="nil"/>
              <w:left w:val="nil"/>
              <w:bottom w:val="single" w:sz="4" w:space="0" w:color="auto"/>
              <w:right w:val="single" w:sz="4" w:space="0" w:color="auto"/>
            </w:tcBorders>
            <w:shd w:val="clear" w:color="auto" w:fill="auto"/>
            <w:noWrap/>
            <w:vAlign w:val="bottom"/>
            <w:hideMark/>
          </w:tcPr>
          <w:p w14:paraId="0288FC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5C4F5F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25</w:t>
            </w:r>
          </w:p>
        </w:tc>
        <w:tc>
          <w:tcPr>
            <w:tcW w:w="440" w:type="dxa"/>
            <w:tcBorders>
              <w:top w:val="nil"/>
              <w:left w:val="nil"/>
              <w:bottom w:val="nil"/>
              <w:right w:val="nil"/>
            </w:tcBorders>
            <w:shd w:val="clear" w:color="auto" w:fill="auto"/>
            <w:noWrap/>
            <w:vAlign w:val="bottom"/>
            <w:hideMark/>
          </w:tcPr>
          <w:p w14:paraId="6C11D2F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2D6E1F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A775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w:t>
            </w:r>
          </w:p>
        </w:tc>
        <w:tc>
          <w:tcPr>
            <w:tcW w:w="1520" w:type="dxa"/>
            <w:tcBorders>
              <w:top w:val="nil"/>
              <w:left w:val="nil"/>
              <w:bottom w:val="single" w:sz="4" w:space="0" w:color="auto"/>
              <w:right w:val="single" w:sz="4" w:space="0" w:color="auto"/>
            </w:tcBorders>
            <w:shd w:val="clear" w:color="auto" w:fill="auto"/>
            <w:noWrap/>
            <w:vAlign w:val="bottom"/>
            <w:hideMark/>
          </w:tcPr>
          <w:p w14:paraId="1B6124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78B21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73A2F260" w14:textId="77777777" w:rsidTr="00956F0D">
        <w:trPr>
          <w:trHeight w:val="300"/>
        </w:trPr>
        <w:tc>
          <w:tcPr>
            <w:tcW w:w="1720" w:type="dxa"/>
            <w:tcBorders>
              <w:top w:val="nil"/>
              <w:left w:val="nil"/>
              <w:bottom w:val="nil"/>
              <w:right w:val="nil"/>
            </w:tcBorders>
            <w:shd w:val="clear" w:color="000000" w:fill="16365C"/>
            <w:noWrap/>
            <w:vAlign w:val="bottom"/>
            <w:hideMark/>
          </w:tcPr>
          <w:p w14:paraId="6C668E4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6E17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1520" w:type="dxa"/>
            <w:tcBorders>
              <w:top w:val="nil"/>
              <w:left w:val="nil"/>
              <w:bottom w:val="single" w:sz="4" w:space="0" w:color="auto"/>
              <w:right w:val="single" w:sz="4" w:space="0" w:color="auto"/>
            </w:tcBorders>
            <w:shd w:val="clear" w:color="auto" w:fill="auto"/>
            <w:noWrap/>
            <w:vAlign w:val="bottom"/>
            <w:hideMark/>
          </w:tcPr>
          <w:p w14:paraId="5B84DF2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371A40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440" w:type="dxa"/>
            <w:tcBorders>
              <w:top w:val="nil"/>
              <w:left w:val="nil"/>
              <w:bottom w:val="nil"/>
              <w:right w:val="nil"/>
            </w:tcBorders>
            <w:shd w:val="clear" w:color="auto" w:fill="auto"/>
            <w:noWrap/>
            <w:vAlign w:val="bottom"/>
            <w:hideMark/>
          </w:tcPr>
          <w:p w14:paraId="09AD5CC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5ACC404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8CA369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309DEA9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353CAC1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55</w:t>
            </w:r>
          </w:p>
        </w:tc>
      </w:tr>
      <w:tr w:rsidR="00956F0D" w:rsidRPr="00956F0D" w14:paraId="3BB4D1CE" w14:textId="77777777" w:rsidTr="00956F0D">
        <w:trPr>
          <w:trHeight w:val="300"/>
        </w:trPr>
        <w:tc>
          <w:tcPr>
            <w:tcW w:w="1720" w:type="dxa"/>
            <w:tcBorders>
              <w:top w:val="nil"/>
              <w:left w:val="nil"/>
              <w:bottom w:val="nil"/>
              <w:right w:val="nil"/>
            </w:tcBorders>
            <w:shd w:val="clear" w:color="000000" w:fill="16365C"/>
            <w:noWrap/>
            <w:vAlign w:val="bottom"/>
            <w:hideMark/>
          </w:tcPr>
          <w:p w14:paraId="4D394F0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9986A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ECF76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805EC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440" w:type="dxa"/>
            <w:tcBorders>
              <w:top w:val="nil"/>
              <w:left w:val="nil"/>
              <w:bottom w:val="nil"/>
              <w:right w:val="nil"/>
            </w:tcBorders>
            <w:shd w:val="clear" w:color="auto" w:fill="auto"/>
            <w:noWrap/>
            <w:vAlign w:val="bottom"/>
            <w:hideMark/>
          </w:tcPr>
          <w:p w14:paraId="764177D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89EA37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wang</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F196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32</w:t>
            </w:r>
          </w:p>
        </w:tc>
        <w:tc>
          <w:tcPr>
            <w:tcW w:w="1520" w:type="dxa"/>
            <w:tcBorders>
              <w:top w:val="nil"/>
              <w:left w:val="nil"/>
              <w:bottom w:val="single" w:sz="4" w:space="0" w:color="auto"/>
              <w:right w:val="single" w:sz="4" w:space="0" w:color="auto"/>
            </w:tcBorders>
            <w:shd w:val="clear" w:color="auto" w:fill="auto"/>
            <w:noWrap/>
            <w:vAlign w:val="bottom"/>
            <w:hideMark/>
          </w:tcPr>
          <w:p w14:paraId="371BDC1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42D68B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r>
      <w:tr w:rsidR="00956F0D" w:rsidRPr="00956F0D" w14:paraId="62E6AD97" w14:textId="77777777" w:rsidTr="00956F0D">
        <w:trPr>
          <w:trHeight w:val="300"/>
        </w:trPr>
        <w:tc>
          <w:tcPr>
            <w:tcW w:w="1720" w:type="dxa"/>
            <w:tcBorders>
              <w:top w:val="nil"/>
              <w:left w:val="nil"/>
              <w:bottom w:val="nil"/>
              <w:right w:val="nil"/>
            </w:tcBorders>
            <w:shd w:val="clear" w:color="000000" w:fill="16365C"/>
            <w:noWrap/>
            <w:vAlign w:val="bottom"/>
            <w:hideMark/>
          </w:tcPr>
          <w:p w14:paraId="22E1920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vip</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AC91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152FB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7818AD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5FB8C14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DDAE8A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faith</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1D1DA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082DB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c>
          <w:tcPr>
            <w:tcW w:w="1520" w:type="dxa"/>
            <w:tcBorders>
              <w:top w:val="nil"/>
              <w:left w:val="nil"/>
              <w:bottom w:val="single" w:sz="4" w:space="0" w:color="auto"/>
              <w:right w:val="single" w:sz="4" w:space="0" w:color="auto"/>
            </w:tcBorders>
            <w:shd w:val="clear" w:color="auto" w:fill="auto"/>
            <w:noWrap/>
            <w:vAlign w:val="bottom"/>
            <w:hideMark/>
          </w:tcPr>
          <w:p w14:paraId="5ECFBF3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r>
      <w:tr w:rsidR="00956F0D" w:rsidRPr="00956F0D" w14:paraId="4778B526" w14:textId="77777777" w:rsidTr="00956F0D">
        <w:trPr>
          <w:trHeight w:val="300"/>
        </w:trPr>
        <w:tc>
          <w:tcPr>
            <w:tcW w:w="1720" w:type="dxa"/>
            <w:tcBorders>
              <w:top w:val="nil"/>
              <w:left w:val="nil"/>
              <w:bottom w:val="nil"/>
              <w:right w:val="nil"/>
            </w:tcBorders>
            <w:shd w:val="clear" w:color="000000" w:fill="16365C"/>
            <w:noWrap/>
            <w:vAlign w:val="bottom"/>
            <w:hideMark/>
          </w:tcPr>
          <w:p w14:paraId="469E5E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490133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1520" w:type="dxa"/>
            <w:tcBorders>
              <w:top w:val="nil"/>
              <w:left w:val="nil"/>
              <w:bottom w:val="single" w:sz="4" w:space="0" w:color="auto"/>
              <w:right w:val="single" w:sz="4" w:space="0" w:color="auto"/>
            </w:tcBorders>
            <w:shd w:val="clear" w:color="auto" w:fill="auto"/>
            <w:noWrap/>
            <w:vAlign w:val="bottom"/>
            <w:hideMark/>
          </w:tcPr>
          <w:p w14:paraId="663E96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19CA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1A7908AE"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04EBFB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81CEA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29</w:t>
            </w:r>
          </w:p>
        </w:tc>
        <w:tc>
          <w:tcPr>
            <w:tcW w:w="1520" w:type="dxa"/>
            <w:tcBorders>
              <w:top w:val="nil"/>
              <w:left w:val="nil"/>
              <w:bottom w:val="single" w:sz="4" w:space="0" w:color="auto"/>
              <w:right w:val="single" w:sz="4" w:space="0" w:color="auto"/>
            </w:tcBorders>
            <w:shd w:val="clear" w:color="auto" w:fill="auto"/>
            <w:noWrap/>
            <w:vAlign w:val="bottom"/>
            <w:hideMark/>
          </w:tcPr>
          <w:p w14:paraId="68538A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67EB431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r>
      <w:tr w:rsidR="00956F0D" w:rsidRPr="00956F0D" w14:paraId="49452C44" w14:textId="77777777" w:rsidTr="00956F0D">
        <w:trPr>
          <w:trHeight w:val="300"/>
        </w:trPr>
        <w:tc>
          <w:tcPr>
            <w:tcW w:w="1720" w:type="dxa"/>
            <w:tcBorders>
              <w:top w:val="nil"/>
              <w:left w:val="nil"/>
              <w:bottom w:val="nil"/>
              <w:right w:val="nil"/>
            </w:tcBorders>
            <w:shd w:val="clear" w:color="000000" w:fill="16365C"/>
            <w:noWrap/>
            <w:vAlign w:val="bottom"/>
            <w:hideMark/>
          </w:tcPr>
          <w:p w14:paraId="7CCA41B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6477A7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2F3327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7AE5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440" w:type="dxa"/>
            <w:tcBorders>
              <w:top w:val="nil"/>
              <w:left w:val="nil"/>
              <w:bottom w:val="nil"/>
              <w:right w:val="nil"/>
            </w:tcBorders>
            <w:shd w:val="clear" w:color="auto" w:fill="auto"/>
            <w:noWrap/>
            <w:vAlign w:val="bottom"/>
            <w:hideMark/>
          </w:tcPr>
          <w:p w14:paraId="7DBB506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608575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90A4E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7B627A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BFECE8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30</w:t>
            </w:r>
          </w:p>
        </w:tc>
      </w:tr>
      <w:tr w:rsidR="00956F0D" w:rsidRPr="00956F0D" w14:paraId="094054D6" w14:textId="77777777" w:rsidTr="00956F0D">
        <w:trPr>
          <w:trHeight w:val="300"/>
        </w:trPr>
        <w:tc>
          <w:tcPr>
            <w:tcW w:w="1720" w:type="dxa"/>
            <w:tcBorders>
              <w:top w:val="nil"/>
              <w:left w:val="nil"/>
              <w:bottom w:val="nil"/>
              <w:right w:val="nil"/>
            </w:tcBorders>
            <w:shd w:val="clear" w:color="000000" w:fill="16365C"/>
            <w:noWrap/>
            <w:vAlign w:val="bottom"/>
            <w:hideMark/>
          </w:tcPr>
          <w:p w14:paraId="7DBFFAC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904887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DF45E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32D0A45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440" w:type="dxa"/>
            <w:tcBorders>
              <w:top w:val="nil"/>
              <w:left w:val="nil"/>
              <w:bottom w:val="nil"/>
              <w:right w:val="nil"/>
            </w:tcBorders>
            <w:shd w:val="clear" w:color="auto" w:fill="auto"/>
            <w:noWrap/>
            <w:vAlign w:val="bottom"/>
            <w:hideMark/>
          </w:tcPr>
          <w:p w14:paraId="093DE82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6FF5F9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E029AF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34FED1C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2EC2FBB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26</w:t>
            </w:r>
          </w:p>
        </w:tc>
      </w:tr>
      <w:tr w:rsidR="00956F0D" w:rsidRPr="00956F0D" w14:paraId="78AA3828" w14:textId="77777777" w:rsidTr="00956F0D">
        <w:trPr>
          <w:trHeight w:val="300"/>
        </w:trPr>
        <w:tc>
          <w:tcPr>
            <w:tcW w:w="1720" w:type="dxa"/>
            <w:tcBorders>
              <w:top w:val="nil"/>
              <w:left w:val="nil"/>
              <w:bottom w:val="nil"/>
              <w:right w:val="nil"/>
            </w:tcBorders>
            <w:shd w:val="clear" w:color="000000" w:fill="16365C"/>
            <w:noWrap/>
            <w:vAlign w:val="bottom"/>
            <w:hideMark/>
          </w:tcPr>
          <w:p w14:paraId="04033AB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AEF141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0E3230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4C4A2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69567D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CBD2A1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003F0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232D5C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03413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20</w:t>
            </w:r>
          </w:p>
        </w:tc>
      </w:tr>
      <w:tr w:rsidR="00956F0D" w:rsidRPr="00956F0D" w14:paraId="23C8D695" w14:textId="77777777" w:rsidTr="00956F0D">
        <w:trPr>
          <w:trHeight w:val="300"/>
        </w:trPr>
        <w:tc>
          <w:tcPr>
            <w:tcW w:w="1720" w:type="dxa"/>
            <w:tcBorders>
              <w:top w:val="nil"/>
              <w:left w:val="nil"/>
              <w:bottom w:val="nil"/>
              <w:right w:val="nil"/>
            </w:tcBorders>
            <w:shd w:val="clear" w:color="000000" w:fill="16365C"/>
            <w:noWrap/>
            <w:vAlign w:val="bottom"/>
            <w:hideMark/>
          </w:tcPr>
          <w:p w14:paraId="35394A8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paris</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1ECC7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C09EB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2F964EC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4587F1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210263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096E0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c>
          <w:tcPr>
            <w:tcW w:w="1520" w:type="dxa"/>
            <w:tcBorders>
              <w:top w:val="nil"/>
              <w:left w:val="nil"/>
              <w:bottom w:val="single" w:sz="4" w:space="0" w:color="auto"/>
              <w:right w:val="single" w:sz="4" w:space="0" w:color="auto"/>
            </w:tcBorders>
            <w:shd w:val="clear" w:color="auto" w:fill="auto"/>
            <w:noWrap/>
            <w:vAlign w:val="bottom"/>
            <w:hideMark/>
          </w:tcPr>
          <w:p w14:paraId="373AE3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3B521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r>
      <w:tr w:rsidR="00956F0D" w:rsidRPr="00956F0D" w14:paraId="5494C422" w14:textId="77777777" w:rsidTr="00956F0D">
        <w:trPr>
          <w:trHeight w:val="300"/>
        </w:trPr>
        <w:tc>
          <w:tcPr>
            <w:tcW w:w="1720" w:type="dxa"/>
            <w:tcBorders>
              <w:top w:val="nil"/>
              <w:left w:val="nil"/>
              <w:bottom w:val="nil"/>
              <w:right w:val="nil"/>
            </w:tcBorders>
            <w:shd w:val="clear" w:color="000000" w:fill="16365C"/>
            <w:noWrap/>
            <w:vAlign w:val="bottom"/>
            <w:hideMark/>
          </w:tcPr>
          <w:p w14:paraId="6ADCDBA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E2B6F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5591BE6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53434B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57AA55B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CA78FF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vip</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34BF1C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1387CF8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5C30BB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18</w:t>
            </w:r>
          </w:p>
        </w:tc>
      </w:tr>
      <w:tr w:rsidR="00956F0D" w:rsidRPr="00956F0D" w14:paraId="2584259E" w14:textId="77777777" w:rsidTr="00956F0D">
        <w:trPr>
          <w:trHeight w:val="300"/>
        </w:trPr>
        <w:tc>
          <w:tcPr>
            <w:tcW w:w="1720" w:type="dxa"/>
            <w:tcBorders>
              <w:top w:val="nil"/>
              <w:left w:val="nil"/>
              <w:bottom w:val="nil"/>
              <w:right w:val="nil"/>
            </w:tcBorders>
            <w:shd w:val="clear" w:color="000000" w:fill="16365C"/>
            <w:noWrap/>
            <w:vAlign w:val="bottom"/>
            <w:hideMark/>
          </w:tcPr>
          <w:p w14:paraId="6A35288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460137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4D788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BADF8D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7C30482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34C667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503D7E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c>
          <w:tcPr>
            <w:tcW w:w="1520" w:type="dxa"/>
            <w:tcBorders>
              <w:top w:val="nil"/>
              <w:left w:val="nil"/>
              <w:bottom w:val="single" w:sz="4" w:space="0" w:color="auto"/>
              <w:right w:val="single" w:sz="4" w:space="0" w:color="auto"/>
            </w:tcBorders>
            <w:shd w:val="clear" w:color="auto" w:fill="auto"/>
            <w:noWrap/>
            <w:vAlign w:val="bottom"/>
            <w:hideMark/>
          </w:tcPr>
          <w:p w14:paraId="7F7E3EE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405ED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76352FFE" w14:textId="77777777" w:rsidTr="00956F0D">
        <w:trPr>
          <w:trHeight w:val="300"/>
        </w:trPr>
        <w:tc>
          <w:tcPr>
            <w:tcW w:w="1720" w:type="dxa"/>
            <w:tcBorders>
              <w:top w:val="nil"/>
              <w:left w:val="nil"/>
              <w:bottom w:val="nil"/>
              <w:right w:val="nil"/>
            </w:tcBorders>
            <w:shd w:val="clear" w:color="000000" w:fill="16365C"/>
            <w:noWrap/>
            <w:vAlign w:val="bottom"/>
            <w:hideMark/>
          </w:tcPr>
          <w:p w14:paraId="59A3F65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22F31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677A268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5423E7B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007D92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C61811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paris</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A3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517AB4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B59FC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1F3F0625" w14:textId="77777777" w:rsidTr="00956F0D">
        <w:trPr>
          <w:trHeight w:val="300"/>
        </w:trPr>
        <w:tc>
          <w:tcPr>
            <w:tcW w:w="1720" w:type="dxa"/>
            <w:tcBorders>
              <w:top w:val="nil"/>
              <w:left w:val="nil"/>
              <w:bottom w:val="nil"/>
              <w:right w:val="nil"/>
            </w:tcBorders>
            <w:shd w:val="clear" w:color="000000" w:fill="16365C"/>
            <w:noWrap/>
            <w:vAlign w:val="bottom"/>
            <w:hideMark/>
          </w:tcPr>
          <w:p w14:paraId="717F1A0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click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416A15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3393B6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25A80D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3B0F14E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CA19E4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today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F4325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7E14A32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8C456B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6FDDC2C" w14:textId="77777777" w:rsidTr="00956F0D">
        <w:trPr>
          <w:trHeight w:val="300"/>
        </w:trPr>
        <w:tc>
          <w:tcPr>
            <w:tcW w:w="1720" w:type="dxa"/>
            <w:tcBorders>
              <w:top w:val="nil"/>
              <w:left w:val="nil"/>
              <w:bottom w:val="nil"/>
              <w:right w:val="nil"/>
            </w:tcBorders>
            <w:shd w:val="clear" w:color="000000" w:fill="16365C"/>
            <w:noWrap/>
            <w:vAlign w:val="bottom"/>
            <w:hideMark/>
          </w:tcPr>
          <w:p w14:paraId="4FDB695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nyc</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F644B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35A7B5A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7DEFEA7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780265D7"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F09D32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573B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11657F2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DCB300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475C93D0" w14:textId="77777777" w:rsidTr="00956F0D">
        <w:trPr>
          <w:trHeight w:val="300"/>
        </w:trPr>
        <w:tc>
          <w:tcPr>
            <w:tcW w:w="1720" w:type="dxa"/>
            <w:tcBorders>
              <w:top w:val="nil"/>
              <w:left w:val="nil"/>
              <w:bottom w:val="nil"/>
              <w:right w:val="nil"/>
            </w:tcBorders>
            <w:shd w:val="clear" w:color="000000" w:fill="16365C"/>
            <w:noWrap/>
            <w:vAlign w:val="bottom"/>
            <w:hideMark/>
          </w:tcPr>
          <w:p w14:paraId="03F4723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global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3CE16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43760A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B8489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26A5F18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72FB34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BFD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062C77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02A40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7BD3293" w14:textId="77777777" w:rsidTr="00956F0D">
        <w:trPr>
          <w:trHeight w:val="300"/>
        </w:trPr>
        <w:tc>
          <w:tcPr>
            <w:tcW w:w="1720" w:type="dxa"/>
            <w:tcBorders>
              <w:top w:val="nil"/>
              <w:left w:val="nil"/>
              <w:bottom w:val="nil"/>
              <w:right w:val="nil"/>
            </w:tcBorders>
            <w:shd w:val="clear" w:color="000000" w:fill="16365C"/>
            <w:noWrap/>
            <w:vAlign w:val="bottom"/>
            <w:hideMark/>
          </w:tcPr>
          <w:p w14:paraId="459F6D9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03C7B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7B4852F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0A4D4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6E86B5B0"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0F522D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4750C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5F2A9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96235F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0020755D" w14:textId="77777777" w:rsidTr="00956F0D">
        <w:trPr>
          <w:trHeight w:val="300"/>
        </w:trPr>
        <w:tc>
          <w:tcPr>
            <w:tcW w:w="1720" w:type="dxa"/>
            <w:tcBorders>
              <w:top w:val="nil"/>
              <w:left w:val="nil"/>
              <w:bottom w:val="nil"/>
              <w:right w:val="nil"/>
            </w:tcBorders>
            <w:shd w:val="clear" w:color="000000" w:fill="16365C"/>
            <w:noWrap/>
            <w:vAlign w:val="bottom"/>
            <w:hideMark/>
          </w:tcPr>
          <w:p w14:paraId="304A16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541C8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7B16A7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4E0B4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7914926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540E51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sale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A25AD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00837A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4EF74BB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608CFA36" w14:textId="77777777" w:rsidTr="00956F0D">
        <w:trPr>
          <w:trHeight w:val="300"/>
        </w:trPr>
        <w:tc>
          <w:tcPr>
            <w:tcW w:w="1720" w:type="dxa"/>
            <w:tcBorders>
              <w:top w:val="nil"/>
              <w:left w:val="nil"/>
              <w:bottom w:val="nil"/>
              <w:right w:val="nil"/>
            </w:tcBorders>
            <w:shd w:val="clear" w:color="000000" w:fill="16365C"/>
            <w:noWrap/>
            <w:vAlign w:val="bottom"/>
            <w:hideMark/>
          </w:tcPr>
          <w:p w14:paraId="7843337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xn</w:t>
            </w:r>
            <w:proofErr w:type="spellEnd"/>
            <w:r w:rsidRPr="00956F0D">
              <w:rPr>
                <w:rFonts w:ascii="Calibri" w:eastAsia="Times New Roman" w:hAnsi="Calibri" w:cs="Times New Roman"/>
                <w:color w:val="FFFFFF"/>
              </w:rPr>
              <w:t>--ses554g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1A75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24829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AB2E95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4CAFA76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9B69FC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E1C11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55DCDE6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54DB1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36DA2CC7" w14:textId="77777777" w:rsidTr="00956F0D">
        <w:trPr>
          <w:trHeight w:val="300"/>
        </w:trPr>
        <w:tc>
          <w:tcPr>
            <w:tcW w:w="1720" w:type="dxa"/>
            <w:tcBorders>
              <w:top w:val="nil"/>
              <w:left w:val="nil"/>
              <w:bottom w:val="nil"/>
              <w:right w:val="nil"/>
            </w:tcBorders>
            <w:shd w:val="clear" w:color="000000" w:fill="16365C"/>
            <w:noWrap/>
            <w:vAlign w:val="bottom"/>
            <w:hideMark/>
          </w:tcPr>
          <w:p w14:paraId="1B67CAF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lastRenderedPageBreak/>
              <w:t>london</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E1A4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2666C1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4F25C93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7A5F4FC"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4B460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proofErr w:type="spellStart"/>
            <w:r w:rsidRPr="00956F0D">
              <w:rPr>
                <w:rFonts w:ascii="Calibri" w:eastAsia="Times New Roman" w:hAnsi="Calibri" w:cs="Times New Roman"/>
                <w:color w:val="FFFFFF"/>
              </w:rPr>
              <w:t>nyc</w:t>
            </w:r>
            <w:proofErr w:type="spellEnd"/>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48E6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6F07948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10DAD99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151B98E9" w14:textId="77777777" w:rsidTr="00956F0D">
        <w:trPr>
          <w:trHeight w:val="300"/>
        </w:trPr>
        <w:tc>
          <w:tcPr>
            <w:tcW w:w="1720" w:type="dxa"/>
            <w:tcBorders>
              <w:top w:val="nil"/>
              <w:left w:val="nil"/>
              <w:bottom w:val="nil"/>
              <w:right w:val="nil"/>
            </w:tcBorders>
            <w:shd w:val="clear" w:color="000000" w:fill="16365C"/>
            <w:noWrap/>
            <w:vAlign w:val="bottom"/>
            <w:hideMark/>
          </w:tcPr>
          <w:p w14:paraId="6AF4AD9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careers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7B4C89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7D7FDBA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2D1AD2F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91B14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EE5F8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technology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88B6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2C3087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F297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r>
    </w:tbl>
    <w:p w14:paraId="30C69980" w14:textId="5EF6C5D4" w:rsidR="00B97A1C" w:rsidRDefault="00B97A1C">
      <w:pPr>
        <w:rPr>
          <w:b/>
          <w:sz w:val="28"/>
          <w:szCs w:val="28"/>
        </w:rPr>
      </w:pPr>
      <w:r>
        <w:rPr>
          <w:b/>
          <w:sz w:val="28"/>
          <w:szCs w:val="28"/>
        </w:rPr>
        <w:br w:type="page"/>
      </w:r>
    </w:p>
    <w:p w14:paraId="72B3FAEF" w14:textId="69C5EE6E" w:rsidR="00A752BC" w:rsidRDefault="00A752BC" w:rsidP="00A752BC">
      <w:pPr>
        <w:spacing w:after="0" w:line="240" w:lineRule="auto"/>
        <w:rPr>
          <w:b/>
          <w:sz w:val="28"/>
          <w:szCs w:val="28"/>
        </w:rPr>
      </w:pPr>
      <w:r>
        <w:rPr>
          <w:b/>
          <w:sz w:val="28"/>
          <w:szCs w:val="28"/>
        </w:rPr>
        <w:lastRenderedPageBreak/>
        <w:t xml:space="preserve">TABLE </w:t>
      </w:r>
      <w:r w:rsidR="00253707">
        <w:rPr>
          <w:b/>
          <w:sz w:val="28"/>
          <w:szCs w:val="28"/>
        </w:rPr>
        <w:t>6</w:t>
      </w:r>
      <w:r>
        <w:rPr>
          <w:b/>
          <w:sz w:val="28"/>
          <w:szCs w:val="28"/>
        </w:rPr>
        <w:t xml:space="preserve">, CHART 3: Quantity </w:t>
      </w:r>
      <w:r w:rsidR="008E5E73">
        <w:rPr>
          <w:b/>
          <w:sz w:val="28"/>
          <w:szCs w:val="28"/>
        </w:rPr>
        <w:t xml:space="preserve">of </w:t>
      </w:r>
      <w:r>
        <w:rPr>
          <w:b/>
          <w:sz w:val="28"/>
          <w:szCs w:val="28"/>
        </w:rPr>
        <w:t xml:space="preserve">URS </w:t>
      </w:r>
      <w:r w:rsidR="00407125">
        <w:rPr>
          <w:b/>
          <w:sz w:val="28"/>
          <w:szCs w:val="28"/>
        </w:rPr>
        <w:t xml:space="preserve">cases, categorized </w:t>
      </w:r>
      <w:r>
        <w:rPr>
          <w:b/>
          <w:sz w:val="28"/>
          <w:szCs w:val="28"/>
        </w:rPr>
        <w:t xml:space="preserve">by </w:t>
      </w:r>
      <w:r w:rsidR="008E5E73">
        <w:rPr>
          <w:b/>
          <w:sz w:val="28"/>
          <w:szCs w:val="28"/>
        </w:rPr>
        <w:t>Result (e.g. Suspension)</w:t>
      </w:r>
      <w:r>
        <w:rPr>
          <w:b/>
          <w:sz w:val="28"/>
          <w:szCs w:val="28"/>
        </w:rPr>
        <w:t xml:space="preserve"> and Determination</w:t>
      </w:r>
      <w:r w:rsidR="00AD0883">
        <w:rPr>
          <w:b/>
          <w:sz w:val="28"/>
          <w:szCs w:val="28"/>
        </w:rPr>
        <w:t xml:space="preserve"> Type</w:t>
      </w:r>
      <w:r w:rsidR="008E5E73">
        <w:rPr>
          <w:b/>
          <w:sz w:val="28"/>
          <w:szCs w:val="28"/>
        </w:rPr>
        <w:t xml:space="preserve"> (e</w:t>
      </w:r>
      <w:r w:rsidR="00EC5C2B">
        <w:rPr>
          <w:b/>
          <w:sz w:val="28"/>
          <w:szCs w:val="28"/>
        </w:rPr>
        <w:t>.</w:t>
      </w:r>
      <w:r w:rsidR="008E5E73">
        <w:rPr>
          <w:b/>
          <w:sz w:val="28"/>
          <w:szCs w:val="28"/>
        </w:rPr>
        <w:t>g. Default Determination), and listed by Provider</w:t>
      </w:r>
      <w:r>
        <w:rPr>
          <w:b/>
          <w:sz w:val="28"/>
          <w:szCs w:val="28"/>
        </w:rPr>
        <w:t>:</w:t>
      </w:r>
    </w:p>
    <w:p w14:paraId="64592C71" w14:textId="77777777" w:rsidR="00253707" w:rsidRDefault="00253707" w:rsidP="00A752BC">
      <w:pPr>
        <w:spacing w:after="0" w:line="240" w:lineRule="auto"/>
        <w:rPr>
          <w:b/>
          <w:sz w:val="28"/>
          <w:szCs w:val="28"/>
        </w:rPr>
      </w:pPr>
    </w:p>
    <w:tbl>
      <w:tblPr>
        <w:tblW w:w="14325" w:type="dxa"/>
        <w:tblInd w:w="93" w:type="dxa"/>
        <w:tblLook w:val="04A0" w:firstRow="1" w:lastRow="0" w:firstColumn="1" w:lastColumn="0" w:noHBand="0" w:noVBand="1"/>
      </w:tblPr>
      <w:tblGrid>
        <w:gridCol w:w="2640"/>
        <w:gridCol w:w="1320"/>
        <w:gridCol w:w="1320"/>
        <w:gridCol w:w="1320"/>
        <w:gridCol w:w="1320"/>
        <w:gridCol w:w="6405"/>
      </w:tblGrid>
      <w:tr w:rsidR="005E33F8" w:rsidRPr="00FC47BA" w14:paraId="48F5A5F3" w14:textId="2350C8F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78B75B7F" w14:textId="0FAA56EE"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Category</w:t>
            </w:r>
          </w:p>
        </w:tc>
        <w:tc>
          <w:tcPr>
            <w:tcW w:w="1320" w:type="dxa"/>
            <w:tcBorders>
              <w:top w:val="nil"/>
              <w:left w:val="nil"/>
              <w:bottom w:val="single" w:sz="4" w:space="0" w:color="95B3D7"/>
              <w:right w:val="nil"/>
            </w:tcBorders>
            <w:shd w:val="clear" w:color="auto" w:fill="1F497D" w:themeFill="text2"/>
            <w:noWrap/>
            <w:vAlign w:val="bottom"/>
            <w:hideMark/>
          </w:tcPr>
          <w:p w14:paraId="2D3E1A3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ADNDRC</w:t>
            </w:r>
          </w:p>
        </w:tc>
        <w:tc>
          <w:tcPr>
            <w:tcW w:w="1320" w:type="dxa"/>
            <w:tcBorders>
              <w:top w:val="nil"/>
              <w:left w:val="nil"/>
              <w:bottom w:val="single" w:sz="4" w:space="0" w:color="95B3D7"/>
              <w:right w:val="nil"/>
            </w:tcBorders>
            <w:shd w:val="clear" w:color="auto" w:fill="1F497D" w:themeFill="text2"/>
            <w:noWrap/>
            <w:vAlign w:val="bottom"/>
            <w:hideMark/>
          </w:tcPr>
          <w:p w14:paraId="427F717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ADR Forum</w:t>
            </w:r>
          </w:p>
        </w:tc>
        <w:tc>
          <w:tcPr>
            <w:tcW w:w="1320" w:type="dxa"/>
            <w:tcBorders>
              <w:top w:val="nil"/>
              <w:left w:val="nil"/>
              <w:bottom w:val="single" w:sz="4" w:space="0" w:color="95B3D7"/>
              <w:right w:val="nil"/>
            </w:tcBorders>
            <w:shd w:val="clear" w:color="auto" w:fill="1F497D" w:themeFill="text2"/>
            <w:noWrap/>
            <w:vAlign w:val="bottom"/>
            <w:hideMark/>
          </w:tcPr>
          <w:p w14:paraId="2E2FB2E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MFSD</w:t>
            </w:r>
          </w:p>
        </w:tc>
        <w:tc>
          <w:tcPr>
            <w:tcW w:w="1320" w:type="dxa"/>
            <w:tcBorders>
              <w:top w:val="nil"/>
              <w:left w:val="nil"/>
              <w:bottom w:val="single" w:sz="4" w:space="0" w:color="95B3D7"/>
              <w:right w:val="nil"/>
            </w:tcBorders>
            <w:shd w:val="clear" w:color="auto" w:fill="1F497D" w:themeFill="text2"/>
            <w:noWrap/>
            <w:vAlign w:val="bottom"/>
            <w:hideMark/>
          </w:tcPr>
          <w:p w14:paraId="76EEF9E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6405" w:type="dxa"/>
            <w:tcBorders>
              <w:top w:val="nil"/>
              <w:left w:val="nil"/>
              <w:bottom w:val="single" w:sz="4" w:space="0" w:color="95B3D7"/>
              <w:right w:val="nil"/>
            </w:tcBorders>
            <w:shd w:val="clear" w:color="auto" w:fill="1F497D" w:themeFill="text2"/>
          </w:tcPr>
          <w:p w14:paraId="7B826EAF" w14:textId="77777777" w:rsidR="005E33F8" w:rsidRDefault="005E33F8" w:rsidP="00FC47BA">
            <w:pPr>
              <w:spacing w:after="0" w:line="240" w:lineRule="auto"/>
              <w:jc w:val="center"/>
              <w:rPr>
                <w:rFonts w:ascii="Calibri" w:eastAsia="Times New Roman" w:hAnsi="Calibri" w:cs="Times New Roman"/>
                <w:b/>
                <w:bCs/>
                <w:color w:val="FFFFFF" w:themeColor="background1"/>
              </w:rPr>
            </w:pPr>
          </w:p>
          <w:p w14:paraId="6D39C1B4" w14:textId="55DD292F" w:rsidR="005E33F8" w:rsidRPr="004F6CC7" w:rsidRDefault="005E33F8" w:rsidP="00FC47BA">
            <w:pPr>
              <w:spacing w:after="0" w:line="240" w:lineRule="auto"/>
              <w:jc w:val="center"/>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Description</w:t>
            </w:r>
          </w:p>
        </w:tc>
      </w:tr>
      <w:tr w:rsidR="005E33F8" w:rsidRPr="00FC47BA" w14:paraId="5D65753A" w14:textId="5BC915C4"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2EC3A5D" w14:textId="14D5A010"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Suspended</w:t>
            </w:r>
          </w:p>
        </w:tc>
        <w:tc>
          <w:tcPr>
            <w:tcW w:w="1320" w:type="dxa"/>
            <w:tcBorders>
              <w:top w:val="nil"/>
              <w:left w:val="nil"/>
              <w:bottom w:val="single" w:sz="4" w:space="0" w:color="95B3D7"/>
              <w:right w:val="nil"/>
            </w:tcBorders>
            <w:shd w:val="clear" w:color="auto" w:fill="1F497D" w:themeFill="text2"/>
            <w:noWrap/>
            <w:vAlign w:val="bottom"/>
            <w:hideMark/>
          </w:tcPr>
          <w:p w14:paraId="0B87C88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24</w:t>
            </w:r>
          </w:p>
        </w:tc>
        <w:tc>
          <w:tcPr>
            <w:tcW w:w="1320" w:type="dxa"/>
            <w:tcBorders>
              <w:top w:val="nil"/>
              <w:left w:val="nil"/>
              <w:bottom w:val="single" w:sz="4" w:space="0" w:color="95B3D7"/>
              <w:right w:val="nil"/>
            </w:tcBorders>
            <w:shd w:val="clear" w:color="auto" w:fill="1F497D" w:themeFill="text2"/>
            <w:noWrap/>
            <w:vAlign w:val="bottom"/>
            <w:hideMark/>
          </w:tcPr>
          <w:p w14:paraId="73245B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686</w:t>
            </w:r>
          </w:p>
        </w:tc>
        <w:tc>
          <w:tcPr>
            <w:tcW w:w="1320" w:type="dxa"/>
            <w:tcBorders>
              <w:top w:val="nil"/>
              <w:left w:val="nil"/>
              <w:bottom w:val="single" w:sz="4" w:space="0" w:color="95B3D7"/>
              <w:right w:val="nil"/>
            </w:tcBorders>
            <w:shd w:val="clear" w:color="auto" w:fill="1F497D" w:themeFill="text2"/>
            <w:noWrap/>
            <w:vAlign w:val="bottom"/>
            <w:hideMark/>
          </w:tcPr>
          <w:p w14:paraId="54E1A36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13</w:t>
            </w:r>
          </w:p>
        </w:tc>
        <w:tc>
          <w:tcPr>
            <w:tcW w:w="1320" w:type="dxa"/>
            <w:tcBorders>
              <w:top w:val="nil"/>
              <w:left w:val="nil"/>
              <w:bottom w:val="single" w:sz="4" w:space="0" w:color="95B3D7"/>
              <w:right w:val="nil"/>
            </w:tcBorders>
            <w:shd w:val="clear" w:color="auto" w:fill="1F497D" w:themeFill="text2"/>
            <w:noWrap/>
            <w:vAlign w:val="bottom"/>
            <w:hideMark/>
          </w:tcPr>
          <w:p w14:paraId="6F45A20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723</w:t>
            </w:r>
          </w:p>
        </w:tc>
        <w:tc>
          <w:tcPr>
            <w:tcW w:w="6405" w:type="dxa"/>
            <w:tcBorders>
              <w:top w:val="nil"/>
              <w:left w:val="nil"/>
              <w:bottom w:val="single" w:sz="4" w:space="0" w:color="95B3D7"/>
              <w:right w:val="nil"/>
            </w:tcBorders>
            <w:shd w:val="clear" w:color="auto" w:fill="1F497D" w:themeFill="text2"/>
          </w:tcPr>
          <w:p w14:paraId="4C54F850" w14:textId="57AB26E6" w:rsidR="005E33F8" w:rsidRPr="00675CE5" w:rsidRDefault="005E33F8"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Domain Suspended Subtotal</w:t>
            </w:r>
          </w:p>
        </w:tc>
      </w:tr>
      <w:tr w:rsidR="005E33F8" w:rsidRPr="00FC47BA" w14:paraId="47AF96E5" w14:textId="72C6F56B" w:rsidTr="00675CE5">
        <w:trPr>
          <w:trHeight w:val="300"/>
        </w:trPr>
        <w:tc>
          <w:tcPr>
            <w:tcW w:w="2640" w:type="dxa"/>
            <w:tcBorders>
              <w:top w:val="nil"/>
              <w:left w:val="nil"/>
              <w:bottom w:val="nil"/>
              <w:right w:val="nil"/>
            </w:tcBorders>
            <w:shd w:val="clear" w:color="auto" w:fill="1F497D" w:themeFill="text2"/>
            <w:noWrap/>
            <w:vAlign w:val="bottom"/>
            <w:hideMark/>
          </w:tcPr>
          <w:p w14:paraId="184F22FD" w14:textId="626A30BF"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2EFE137C"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w:t>
            </w:r>
          </w:p>
        </w:tc>
        <w:tc>
          <w:tcPr>
            <w:tcW w:w="1320" w:type="dxa"/>
            <w:tcBorders>
              <w:top w:val="nil"/>
              <w:left w:val="nil"/>
              <w:bottom w:val="nil"/>
              <w:right w:val="nil"/>
            </w:tcBorders>
            <w:shd w:val="clear" w:color="auto" w:fill="F2F2F2" w:themeFill="background1" w:themeFillShade="F2"/>
            <w:noWrap/>
            <w:vAlign w:val="bottom"/>
            <w:hideMark/>
          </w:tcPr>
          <w:p w14:paraId="643E522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502</w:t>
            </w:r>
          </w:p>
        </w:tc>
        <w:tc>
          <w:tcPr>
            <w:tcW w:w="1320" w:type="dxa"/>
            <w:tcBorders>
              <w:top w:val="nil"/>
              <w:left w:val="nil"/>
              <w:bottom w:val="nil"/>
              <w:right w:val="nil"/>
            </w:tcBorders>
            <w:shd w:val="clear" w:color="auto" w:fill="F2F2F2" w:themeFill="background1" w:themeFillShade="F2"/>
            <w:noWrap/>
            <w:vAlign w:val="bottom"/>
            <w:hideMark/>
          </w:tcPr>
          <w:p w14:paraId="45E1FD9A"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12</w:t>
            </w:r>
          </w:p>
        </w:tc>
        <w:tc>
          <w:tcPr>
            <w:tcW w:w="1320" w:type="dxa"/>
            <w:tcBorders>
              <w:top w:val="nil"/>
              <w:left w:val="nil"/>
              <w:bottom w:val="nil"/>
              <w:right w:val="nil"/>
            </w:tcBorders>
            <w:shd w:val="clear" w:color="auto" w:fill="F2F2F2" w:themeFill="background1" w:themeFillShade="F2"/>
            <w:noWrap/>
            <w:vAlign w:val="bottom"/>
            <w:hideMark/>
          </w:tcPr>
          <w:p w14:paraId="09CAE49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531</w:t>
            </w:r>
          </w:p>
        </w:tc>
        <w:tc>
          <w:tcPr>
            <w:tcW w:w="6405" w:type="dxa"/>
            <w:tcBorders>
              <w:top w:val="nil"/>
              <w:left w:val="nil"/>
              <w:bottom w:val="nil"/>
              <w:right w:val="nil"/>
            </w:tcBorders>
            <w:shd w:val="clear" w:color="auto" w:fill="F2F2F2" w:themeFill="background1" w:themeFillShade="F2"/>
          </w:tcPr>
          <w:p w14:paraId="55C1FA56" w14:textId="73B034F8"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8A01CD2" w14:textId="0DADA7D0" w:rsidTr="00675CE5">
        <w:trPr>
          <w:trHeight w:val="300"/>
        </w:trPr>
        <w:tc>
          <w:tcPr>
            <w:tcW w:w="2640" w:type="dxa"/>
            <w:tcBorders>
              <w:top w:val="nil"/>
              <w:left w:val="nil"/>
              <w:bottom w:val="nil"/>
              <w:right w:val="nil"/>
            </w:tcBorders>
            <w:shd w:val="clear" w:color="auto" w:fill="1F497D" w:themeFill="text2"/>
            <w:noWrap/>
            <w:vAlign w:val="bottom"/>
            <w:hideMark/>
          </w:tcPr>
          <w:p w14:paraId="363CB19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1751A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17</w:t>
            </w:r>
          </w:p>
        </w:tc>
        <w:tc>
          <w:tcPr>
            <w:tcW w:w="1320" w:type="dxa"/>
            <w:tcBorders>
              <w:top w:val="nil"/>
              <w:left w:val="nil"/>
              <w:bottom w:val="nil"/>
              <w:right w:val="nil"/>
            </w:tcBorders>
            <w:shd w:val="clear" w:color="auto" w:fill="auto"/>
            <w:noWrap/>
            <w:vAlign w:val="bottom"/>
            <w:hideMark/>
          </w:tcPr>
          <w:p w14:paraId="149353B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501</w:t>
            </w:r>
          </w:p>
        </w:tc>
        <w:tc>
          <w:tcPr>
            <w:tcW w:w="1320" w:type="dxa"/>
            <w:tcBorders>
              <w:top w:val="nil"/>
              <w:left w:val="nil"/>
              <w:bottom w:val="nil"/>
              <w:right w:val="nil"/>
            </w:tcBorders>
            <w:shd w:val="clear" w:color="auto" w:fill="auto"/>
            <w:noWrap/>
            <w:vAlign w:val="bottom"/>
            <w:hideMark/>
          </w:tcPr>
          <w:p w14:paraId="72FE7FD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12</w:t>
            </w:r>
          </w:p>
        </w:tc>
        <w:tc>
          <w:tcPr>
            <w:tcW w:w="1320" w:type="dxa"/>
            <w:tcBorders>
              <w:top w:val="nil"/>
              <w:left w:val="nil"/>
              <w:bottom w:val="nil"/>
              <w:right w:val="nil"/>
            </w:tcBorders>
            <w:shd w:val="clear" w:color="auto" w:fill="auto"/>
            <w:noWrap/>
            <w:vAlign w:val="bottom"/>
            <w:hideMark/>
          </w:tcPr>
          <w:p w14:paraId="287C6E4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530</w:t>
            </w:r>
          </w:p>
        </w:tc>
        <w:tc>
          <w:tcPr>
            <w:tcW w:w="6405" w:type="dxa"/>
            <w:tcBorders>
              <w:top w:val="nil"/>
              <w:left w:val="nil"/>
              <w:bottom w:val="nil"/>
              <w:right w:val="nil"/>
            </w:tcBorders>
          </w:tcPr>
          <w:p w14:paraId="5A0B7F9F" w14:textId="721D50A8"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w:t>
            </w:r>
            <w:r w:rsidR="00E76E74">
              <w:rPr>
                <w:rFonts w:ascii="Calibri" w:eastAsia="Times New Roman" w:hAnsi="Calibri" w:cs="Times New Roman"/>
                <w:color w:val="000000"/>
                <w:sz w:val="20"/>
                <w:szCs w:val="20"/>
              </w:rPr>
              <w:t xml:space="preserve">(i.e. </w:t>
            </w:r>
            <w:r w:rsidRPr="00675CE5">
              <w:rPr>
                <w:rFonts w:ascii="Calibri" w:eastAsia="Times New Roman" w:hAnsi="Calibri" w:cs="Times New Roman"/>
                <w:color w:val="000000"/>
                <w:sz w:val="20"/>
                <w:szCs w:val="20"/>
              </w:rPr>
              <w:t>w</w:t>
            </w:r>
            <w:r w:rsidR="003F291F" w:rsidRPr="00675CE5">
              <w:rPr>
                <w:rFonts w:ascii="Calibri" w:eastAsia="Times New Roman" w:hAnsi="Calibri" w:cs="Times New Roman"/>
                <w:color w:val="000000"/>
                <w:sz w:val="20"/>
                <w:szCs w:val="20"/>
              </w:rPr>
              <w:t>ithout a</w:t>
            </w:r>
            <w:r w:rsidRPr="00675CE5">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R</w:t>
            </w:r>
            <w:r w:rsidRPr="00675CE5">
              <w:rPr>
                <w:rFonts w:ascii="Calibri" w:eastAsia="Times New Roman" w:hAnsi="Calibri" w:cs="Times New Roman"/>
                <w:color w:val="000000"/>
                <w:sz w:val="20"/>
                <w:szCs w:val="20"/>
              </w:rPr>
              <w:t>esponse</w:t>
            </w:r>
            <w:r w:rsidR="00634346">
              <w:rPr>
                <w:rFonts w:ascii="Calibri" w:eastAsia="Times New Roman" w:hAnsi="Calibri" w:cs="Times New Roman"/>
                <w:color w:val="000000"/>
                <w:sz w:val="20"/>
                <w:szCs w:val="20"/>
              </w:rPr>
              <w:t xml:space="preserve"> or an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w:t>
            </w:r>
            <w:r w:rsidR="00E76E74">
              <w:rPr>
                <w:rFonts w:ascii="Calibri" w:eastAsia="Times New Roman" w:hAnsi="Calibri" w:cs="Times New Roman"/>
                <w:color w:val="000000"/>
                <w:sz w:val="20"/>
                <w:szCs w:val="20"/>
              </w:rPr>
              <w:t>)</w:t>
            </w:r>
          </w:p>
        </w:tc>
      </w:tr>
      <w:tr w:rsidR="005E33F8" w:rsidRPr="00FC47BA" w14:paraId="1989CFD5" w14:textId="062BE549" w:rsidTr="00675CE5">
        <w:trPr>
          <w:trHeight w:val="300"/>
        </w:trPr>
        <w:tc>
          <w:tcPr>
            <w:tcW w:w="2640" w:type="dxa"/>
            <w:tcBorders>
              <w:top w:val="nil"/>
              <w:left w:val="nil"/>
              <w:bottom w:val="nil"/>
              <w:right w:val="nil"/>
            </w:tcBorders>
            <w:shd w:val="clear" w:color="auto" w:fill="1F497D" w:themeFill="text2"/>
            <w:noWrap/>
            <w:vAlign w:val="bottom"/>
            <w:hideMark/>
          </w:tcPr>
          <w:p w14:paraId="417E7B81" w14:textId="1C62027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2C54EE30"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42779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DF3832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1FB1CBA"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D07D1EC" w14:textId="621E2307"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BC6D960" w14:textId="100D319D" w:rsidTr="00675CE5">
        <w:trPr>
          <w:trHeight w:val="300"/>
        </w:trPr>
        <w:tc>
          <w:tcPr>
            <w:tcW w:w="2640" w:type="dxa"/>
            <w:tcBorders>
              <w:top w:val="nil"/>
              <w:left w:val="nil"/>
              <w:bottom w:val="nil"/>
              <w:right w:val="nil"/>
            </w:tcBorders>
            <w:shd w:val="clear" w:color="auto" w:fill="1F497D" w:themeFill="text2"/>
            <w:noWrap/>
            <w:vAlign w:val="bottom"/>
            <w:hideMark/>
          </w:tcPr>
          <w:p w14:paraId="56F6E410" w14:textId="770472ED"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89827C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7</w:t>
            </w:r>
          </w:p>
        </w:tc>
        <w:tc>
          <w:tcPr>
            <w:tcW w:w="1320" w:type="dxa"/>
            <w:tcBorders>
              <w:top w:val="nil"/>
              <w:left w:val="nil"/>
              <w:bottom w:val="nil"/>
              <w:right w:val="nil"/>
            </w:tcBorders>
            <w:shd w:val="clear" w:color="auto" w:fill="F2F2F2" w:themeFill="background1" w:themeFillShade="F2"/>
            <w:noWrap/>
            <w:vAlign w:val="bottom"/>
            <w:hideMark/>
          </w:tcPr>
          <w:p w14:paraId="603BFC8D"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170</w:t>
            </w:r>
          </w:p>
        </w:tc>
        <w:tc>
          <w:tcPr>
            <w:tcW w:w="1320" w:type="dxa"/>
            <w:tcBorders>
              <w:top w:val="nil"/>
              <w:left w:val="nil"/>
              <w:bottom w:val="nil"/>
              <w:right w:val="nil"/>
            </w:tcBorders>
            <w:shd w:val="clear" w:color="auto" w:fill="F2F2F2" w:themeFill="background1" w:themeFillShade="F2"/>
            <w:noWrap/>
            <w:vAlign w:val="bottom"/>
            <w:hideMark/>
          </w:tcPr>
          <w:p w14:paraId="78548A9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5E555C6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178</w:t>
            </w:r>
          </w:p>
        </w:tc>
        <w:tc>
          <w:tcPr>
            <w:tcW w:w="6405" w:type="dxa"/>
            <w:tcBorders>
              <w:top w:val="nil"/>
              <w:left w:val="nil"/>
              <w:bottom w:val="nil"/>
              <w:right w:val="nil"/>
            </w:tcBorders>
            <w:shd w:val="clear" w:color="auto" w:fill="F2F2F2" w:themeFill="background1" w:themeFillShade="F2"/>
          </w:tcPr>
          <w:p w14:paraId="65351692" w14:textId="6D80725C"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5DC3D24" w14:textId="40AFC444" w:rsidTr="00675CE5">
        <w:trPr>
          <w:trHeight w:val="300"/>
        </w:trPr>
        <w:tc>
          <w:tcPr>
            <w:tcW w:w="2640" w:type="dxa"/>
            <w:tcBorders>
              <w:top w:val="nil"/>
              <w:left w:val="nil"/>
              <w:bottom w:val="nil"/>
              <w:right w:val="nil"/>
            </w:tcBorders>
            <w:shd w:val="clear" w:color="auto" w:fill="1F497D" w:themeFill="text2"/>
            <w:noWrap/>
            <w:vAlign w:val="bottom"/>
            <w:hideMark/>
          </w:tcPr>
          <w:p w14:paraId="668DF850"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6F7BF6F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7</w:t>
            </w:r>
          </w:p>
        </w:tc>
        <w:tc>
          <w:tcPr>
            <w:tcW w:w="1320" w:type="dxa"/>
            <w:tcBorders>
              <w:top w:val="nil"/>
              <w:left w:val="nil"/>
              <w:bottom w:val="nil"/>
              <w:right w:val="nil"/>
            </w:tcBorders>
            <w:shd w:val="clear" w:color="auto" w:fill="auto"/>
            <w:noWrap/>
            <w:vAlign w:val="bottom"/>
            <w:hideMark/>
          </w:tcPr>
          <w:p w14:paraId="01BF57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160</w:t>
            </w:r>
          </w:p>
        </w:tc>
        <w:tc>
          <w:tcPr>
            <w:tcW w:w="1320" w:type="dxa"/>
            <w:tcBorders>
              <w:top w:val="nil"/>
              <w:left w:val="nil"/>
              <w:bottom w:val="nil"/>
              <w:right w:val="nil"/>
            </w:tcBorders>
            <w:shd w:val="clear" w:color="auto" w:fill="auto"/>
            <w:noWrap/>
            <w:vAlign w:val="bottom"/>
            <w:hideMark/>
          </w:tcPr>
          <w:p w14:paraId="2491577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6D43403"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168</w:t>
            </w:r>
          </w:p>
        </w:tc>
        <w:tc>
          <w:tcPr>
            <w:tcW w:w="6405" w:type="dxa"/>
            <w:tcBorders>
              <w:top w:val="nil"/>
              <w:left w:val="nil"/>
              <w:bottom w:val="nil"/>
              <w:right w:val="nil"/>
            </w:tcBorders>
          </w:tcPr>
          <w:p w14:paraId="32094DC1" w14:textId="0B496B80"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57F188AA" w14:textId="29F8B1EB" w:rsidTr="00675CE5">
        <w:trPr>
          <w:trHeight w:val="300"/>
        </w:trPr>
        <w:tc>
          <w:tcPr>
            <w:tcW w:w="2640" w:type="dxa"/>
            <w:tcBorders>
              <w:top w:val="nil"/>
              <w:left w:val="nil"/>
              <w:bottom w:val="nil"/>
              <w:right w:val="nil"/>
            </w:tcBorders>
            <w:shd w:val="clear" w:color="auto" w:fill="1F497D" w:themeFill="text2"/>
            <w:noWrap/>
            <w:vAlign w:val="bottom"/>
            <w:hideMark/>
          </w:tcPr>
          <w:p w14:paraId="2D22770E" w14:textId="02F60EBD"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1E3E19EC"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4F75314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1320" w:type="dxa"/>
            <w:tcBorders>
              <w:top w:val="nil"/>
              <w:left w:val="nil"/>
              <w:bottom w:val="nil"/>
              <w:right w:val="nil"/>
            </w:tcBorders>
            <w:shd w:val="clear" w:color="auto" w:fill="auto"/>
            <w:noWrap/>
            <w:vAlign w:val="bottom"/>
            <w:hideMark/>
          </w:tcPr>
          <w:p w14:paraId="5DF12426"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04A31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6405" w:type="dxa"/>
            <w:tcBorders>
              <w:top w:val="nil"/>
              <w:left w:val="nil"/>
              <w:bottom w:val="nil"/>
              <w:right w:val="nil"/>
            </w:tcBorders>
          </w:tcPr>
          <w:p w14:paraId="44CE3ED1" w14:textId="5BB38BDC"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F</w:t>
            </w:r>
            <w:r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52CAD4C" w14:textId="374CA57A" w:rsidTr="00675CE5">
        <w:trPr>
          <w:trHeight w:val="300"/>
        </w:trPr>
        <w:tc>
          <w:tcPr>
            <w:tcW w:w="2640" w:type="dxa"/>
            <w:tcBorders>
              <w:top w:val="nil"/>
              <w:left w:val="nil"/>
              <w:bottom w:val="nil"/>
              <w:right w:val="nil"/>
            </w:tcBorders>
            <w:shd w:val="clear" w:color="auto" w:fill="1F497D" w:themeFill="text2"/>
            <w:noWrap/>
            <w:vAlign w:val="bottom"/>
            <w:hideMark/>
          </w:tcPr>
          <w:p w14:paraId="6814BD6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7EB2AB2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5CBA6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1320" w:type="dxa"/>
            <w:tcBorders>
              <w:top w:val="nil"/>
              <w:left w:val="nil"/>
              <w:bottom w:val="nil"/>
              <w:right w:val="nil"/>
            </w:tcBorders>
            <w:shd w:val="clear" w:color="auto" w:fill="F2F2F2" w:themeFill="background1" w:themeFillShade="F2"/>
            <w:noWrap/>
            <w:vAlign w:val="bottom"/>
            <w:hideMark/>
          </w:tcPr>
          <w:p w14:paraId="2B66F28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731656"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6405" w:type="dxa"/>
            <w:tcBorders>
              <w:top w:val="nil"/>
              <w:left w:val="nil"/>
              <w:bottom w:val="nil"/>
              <w:right w:val="nil"/>
            </w:tcBorders>
            <w:shd w:val="clear" w:color="auto" w:fill="F2F2F2" w:themeFill="background1" w:themeFillShade="F2"/>
          </w:tcPr>
          <w:p w14:paraId="12751316" w14:textId="24E12CCD" w:rsidR="005E33F8" w:rsidRPr="00675CE5" w:rsidRDefault="00B5655A"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7C3140DF" w14:textId="3069FDB2" w:rsidTr="00675CE5">
        <w:trPr>
          <w:trHeight w:val="300"/>
        </w:trPr>
        <w:tc>
          <w:tcPr>
            <w:tcW w:w="2640" w:type="dxa"/>
            <w:tcBorders>
              <w:top w:val="nil"/>
              <w:left w:val="nil"/>
              <w:bottom w:val="nil"/>
              <w:right w:val="nil"/>
            </w:tcBorders>
            <w:shd w:val="clear" w:color="auto" w:fill="1F497D" w:themeFill="text2"/>
            <w:noWrap/>
            <w:vAlign w:val="bottom"/>
            <w:hideMark/>
          </w:tcPr>
          <w:p w14:paraId="1E00FE1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2720D57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1AAA5B4"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1320" w:type="dxa"/>
            <w:tcBorders>
              <w:top w:val="nil"/>
              <w:left w:val="nil"/>
              <w:bottom w:val="nil"/>
              <w:right w:val="nil"/>
            </w:tcBorders>
            <w:shd w:val="clear" w:color="auto" w:fill="auto"/>
            <w:noWrap/>
            <w:vAlign w:val="bottom"/>
            <w:hideMark/>
          </w:tcPr>
          <w:p w14:paraId="7AA3B1F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4EE7C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6405" w:type="dxa"/>
            <w:tcBorders>
              <w:top w:val="nil"/>
              <w:left w:val="nil"/>
              <w:bottom w:val="nil"/>
              <w:right w:val="nil"/>
            </w:tcBorders>
          </w:tcPr>
          <w:p w14:paraId="6D36732C" w14:textId="0D5A58C3"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w:t>
            </w:r>
            <w:r w:rsidR="00B5655A"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D52DF7">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w:t>
            </w:r>
            <w:r w:rsidR="00B5655A" w:rsidRPr="00675CE5">
              <w:rPr>
                <w:rFonts w:ascii="Calibri" w:eastAsia="Times New Roman" w:hAnsi="Calibri" w:cs="Times New Roman"/>
                <w:color w:val="000000"/>
                <w:sz w:val="20"/>
                <w:szCs w:val="20"/>
              </w:rPr>
              <w:t>where both are published</w:t>
            </w:r>
          </w:p>
        </w:tc>
      </w:tr>
      <w:tr w:rsidR="005E33F8" w:rsidRPr="00FC47BA" w14:paraId="309CE902" w14:textId="5CED533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0892B75B"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Claim Denied</w:t>
            </w:r>
          </w:p>
        </w:tc>
        <w:tc>
          <w:tcPr>
            <w:tcW w:w="1320" w:type="dxa"/>
            <w:tcBorders>
              <w:top w:val="nil"/>
              <w:left w:val="nil"/>
              <w:bottom w:val="single" w:sz="4" w:space="0" w:color="95B3D7"/>
              <w:right w:val="nil"/>
            </w:tcBorders>
            <w:shd w:val="clear" w:color="auto" w:fill="1F497D" w:themeFill="text2"/>
            <w:noWrap/>
            <w:vAlign w:val="bottom"/>
            <w:hideMark/>
          </w:tcPr>
          <w:p w14:paraId="7F90D9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72FF783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57</w:t>
            </w:r>
          </w:p>
        </w:tc>
        <w:tc>
          <w:tcPr>
            <w:tcW w:w="1320" w:type="dxa"/>
            <w:tcBorders>
              <w:top w:val="nil"/>
              <w:left w:val="nil"/>
              <w:bottom w:val="single" w:sz="4" w:space="0" w:color="95B3D7"/>
              <w:right w:val="nil"/>
            </w:tcBorders>
            <w:shd w:val="clear" w:color="auto" w:fill="1F497D" w:themeFill="text2"/>
            <w:noWrap/>
            <w:vAlign w:val="bottom"/>
            <w:hideMark/>
          </w:tcPr>
          <w:p w14:paraId="4DB3B66A"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0269D1A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59</w:t>
            </w:r>
          </w:p>
        </w:tc>
        <w:tc>
          <w:tcPr>
            <w:tcW w:w="6405" w:type="dxa"/>
            <w:tcBorders>
              <w:top w:val="nil"/>
              <w:left w:val="nil"/>
              <w:bottom w:val="single" w:sz="4" w:space="0" w:color="95B3D7"/>
              <w:right w:val="nil"/>
            </w:tcBorders>
            <w:shd w:val="clear" w:color="auto" w:fill="1F497D" w:themeFill="text2"/>
          </w:tcPr>
          <w:p w14:paraId="179D9AE1" w14:textId="6942B227" w:rsidR="005E33F8" w:rsidRPr="00675CE5" w:rsidRDefault="00B5655A"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Claim Denied Subtotal</w:t>
            </w:r>
          </w:p>
        </w:tc>
      </w:tr>
      <w:tr w:rsidR="005E33F8" w:rsidRPr="00FC47BA" w14:paraId="14488FEA" w14:textId="144B6AEE" w:rsidTr="00675CE5">
        <w:trPr>
          <w:trHeight w:val="300"/>
        </w:trPr>
        <w:tc>
          <w:tcPr>
            <w:tcW w:w="2640" w:type="dxa"/>
            <w:tcBorders>
              <w:top w:val="nil"/>
              <w:left w:val="nil"/>
              <w:bottom w:val="nil"/>
              <w:right w:val="nil"/>
            </w:tcBorders>
            <w:shd w:val="clear" w:color="auto" w:fill="1F497D" w:themeFill="text2"/>
            <w:noWrap/>
            <w:vAlign w:val="bottom"/>
            <w:hideMark/>
          </w:tcPr>
          <w:p w14:paraId="0EA3B671" w14:textId="34A02AA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399AC6D2"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01CA41DB"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30</w:t>
            </w:r>
          </w:p>
        </w:tc>
        <w:tc>
          <w:tcPr>
            <w:tcW w:w="1320" w:type="dxa"/>
            <w:tcBorders>
              <w:top w:val="nil"/>
              <w:left w:val="nil"/>
              <w:bottom w:val="nil"/>
              <w:right w:val="nil"/>
            </w:tcBorders>
            <w:shd w:val="clear" w:color="auto" w:fill="F2F2F2" w:themeFill="background1" w:themeFillShade="F2"/>
            <w:noWrap/>
            <w:vAlign w:val="bottom"/>
            <w:hideMark/>
          </w:tcPr>
          <w:p w14:paraId="474D20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74EBC74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32</w:t>
            </w:r>
          </w:p>
        </w:tc>
        <w:tc>
          <w:tcPr>
            <w:tcW w:w="6405" w:type="dxa"/>
            <w:tcBorders>
              <w:top w:val="nil"/>
              <w:left w:val="nil"/>
              <w:bottom w:val="nil"/>
              <w:right w:val="nil"/>
            </w:tcBorders>
            <w:shd w:val="clear" w:color="auto" w:fill="F2F2F2" w:themeFill="background1" w:themeFillShade="F2"/>
          </w:tcPr>
          <w:p w14:paraId="2C51E0FD" w14:textId="1CC74CFC"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29C00B38" w14:textId="5C310A0C" w:rsidTr="00675CE5">
        <w:trPr>
          <w:trHeight w:val="300"/>
        </w:trPr>
        <w:tc>
          <w:tcPr>
            <w:tcW w:w="2640" w:type="dxa"/>
            <w:tcBorders>
              <w:top w:val="nil"/>
              <w:left w:val="nil"/>
              <w:bottom w:val="nil"/>
              <w:right w:val="nil"/>
            </w:tcBorders>
            <w:shd w:val="clear" w:color="auto" w:fill="1F497D" w:themeFill="text2"/>
            <w:noWrap/>
            <w:vAlign w:val="bottom"/>
            <w:hideMark/>
          </w:tcPr>
          <w:p w14:paraId="3EC5C26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43C08E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D348D45"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30</w:t>
            </w:r>
          </w:p>
        </w:tc>
        <w:tc>
          <w:tcPr>
            <w:tcW w:w="1320" w:type="dxa"/>
            <w:tcBorders>
              <w:top w:val="nil"/>
              <w:left w:val="nil"/>
              <w:bottom w:val="nil"/>
              <w:right w:val="nil"/>
            </w:tcBorders>
            <w:shd w:val="clear" w:color="auto" w:fill="auto"/>
            <w:noWrap/>
            <w:vAlign w:val="bottom"/>
            <w:hideMark/>
          </w:tcPr>
          <w:p w14:paraId="741C6E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01CCD2C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32</w:t>
            </w:r>
          </w:p>
        </w:tc>
        <w:tc>
          <w:tcPr>
            <w:tcW w:w="6405" w:type="dxa"/>
            <w:tcBorders>
              <w:top w:val="nil"/>
              <w:left w:val="nil"/>
              <w:bottom w:val="nil"/>
              <w:right w:val="nil"/>
            </w:tcBorders>
          </w:tcPr>
          <w:p w14:paraId="605B5AC7" w14:textId="6A08492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Clai</w:t>
            </w:r>
            <w:r w:rsidRPr="00675CE5">
              <w:rPr>
                <w:rFonts w:ascii="Calibri" w:eastAsia="Times New Roman" w:hAnsi="Calibri" w:cs="Times New Roman"/>
                <w:color w:val="000000"/>
                <w:sz w:val="20"/>
                <w:szCs w:val="20"/>
              </w:rPr>
              <w:t>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43C0B308" w14:textId="2BB67E21" w:rsidTr="00675CE5">
        <w:trPr>
          <w:trHeight w:val="300"/>
        </w:trPr>
        <w:tc>
          <w:tcPr>
            <w:tcW w:w="2640" w:type="dxa"/>
            <w:tcBorders>
              <w:top w:val="nil"/>
              <w:left w:val="nil"/>
              <w:bottom w:val="nil"/>
              <w:right w:val="nil"/>
            </w:tcBorders>
            <w:shd w:val="clear" w:color="auto" w:fill="1F497D" w:themeFill="text2"/>
            <w:noWrap/>
            <w:vAlign w:val="bottom"/>
            <w:hideMark/>
          </w:tcPr>
          <w:p w14:paraId="477B29C7" w14:textId="7F91E34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AFE9E3E"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509A06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1320" w:type="dxa"/>
            <w:tcBorders>
              <w:top w:val="nil"/>
              <w:left w:val="nil"/>
              <w:bottom w:val="nil"/>
              <w:right w:val="nil"/>
            </w:tcBorders>
            <w:shd w:val="clear" w:color="auto" w:fill="F2F2F2" w:themeFill="background1" w:themeFillShade="F2"/>
            <w:noWrap/>
            <w:vAlign w:val="bottom"/>
            <w:hideMark/>
          </w:tcPr>
          <w:p w14:paraId="0D5AFD70"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6B974B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6405" w:type="dxa"/>
            <w:tcBorders>
              <w:top w:val="nil"/>
              <w:left w:val="nil"/>
              <w:bottom w:val="nil"/>
              <w:right w:val="nil"/>
            </w:tcBorders>
            <w:shd w:val="clear" w:color="auto" w:fill="F2F2F2" w:themeFill="background1" w:themeFillShade="F2"/>
          </w:tcPr>
          <w:p w14:paraId="131178CE" w14:textId="34B19C56"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1919EFDC" w14:textId="20542EE2" w:rsidTr="00675CE5">
        <w:trPr>
          <w:trHeight w:val="300"/>
        </w:trPr>
        <w:tc>
          <w:tcPr>
            <w:tcW w:w="2640" w:type="dxa"/>
            <w:tcBorders>
              <w:top w:val="nil"/>
              <w:left w:val="nil"/>
              <w:bottom w:val="nil"/>
              <w:right w:val="nil"/>
            </w:tcBorders>
            <w:shd w:val="clear" w:color="auto" w:fill="1F497D" w:themeFill="text2"/>
            <w:noWrap/>
            <w:vAlign w:val="bottom"/>
            <w:hideMark/>
          </w:tcPr>
          <w:p w14:paraId="52A1061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06742F9A"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252C8B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1320" w:type="dxa"/>
            <w:tcBorders>
              <w:top w:val="nil"/>
              <w:left w:val="nil"/>
              <w:bottom w:val="nil"/>
              <w:right w:val="nil"/>
            </w:tcBorders>
            <w:shd w:val="clear" w:color="auto" w:fill="auto"/>
            <w:noWrap/>
            <w:vAlign w:val="bottom"/>
            <w:hideMark/>
          </w:tcPr>
          <w:p w14:paraId="2CEBD16E"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6DCE2979"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6405" w:type="dxa"/>
            <w:tcBorders>
              <w:top w:val="nil"/>
              <w:left w:val="nil"/>
              <w:bottom w:val="nil"/>
              <w:right w:val="nil"/>
            </w:tcBorders>
          </w:tcPr>
          <w:p w14:paraId="589768D8" w14:textId="720F447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Pr="00675CE5">
              <w:rPr>
                <w:rFonts w:ascii="Calibri" w:eastAsia="Times New Roman" w:hAnsi="Calibri" w:cs="Times New Roman"/>
                <w:color w:val="000000"/>
                <w:sz w:val="20"/>
                <w:szCs w:val="20"/>
              </w:rPr>
              <w:t>laims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118FE4FA" w14:textId="439E1104" w:rsidTr="00675CE5">
        <w:trPr>
          <w:trHeight w:val="300"/>
        </w:trPr>
        <w:tc>
          <w:tcPr>
            <w:tcW w:w="2640" w:type="dxa"/>
            <w:tcBorders>
              <w:top w:val="nil"/>
              <w:left w:val="nil"/>
              <w:bottom w:val="nil"/>
              <w:right w:val="nil"/>
            </w:tcBorders>
            <w:shd w:val="clear" w:color="auto" w:fill="1F497D" w:themeFill="text2"/>
            <w:noWrap/>
            <w:vAlign w:val="bottom"/>
            <w:hideMark/>
          </w:tcPr>
          <w:p w14:paraId="131389CA" w14:textId="1AC9D126"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6F99CD11"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A5CF85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1320" w:type="dxa"/>
            <w:tcBorders>
              <w:top w:val="nil"/>
              <w:left w:val="nil"/>
              <w:bottom w:val="nil"/>
              <w:right w:val="nil"/>
            </w:tcBorders>
            <w:shd w:val="clear" w:color="auto" w:fill="auto"/>
            <w:noWrap/>
            <w:vAlign w:val="bottom"/>
            <w:hideMark/>
          </w:tcPr>
          <w:p w14:paraId="5BB0027D"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A5C4A0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6405" w:type="dxa"/>
            <w:tcBorders>
              <w:top w:val="nil"/>
              <w:left w:val="nil"/>
              <w:bottom w:val="nil"/>
              <w:right w:val="nil"/>
            </w:tcBorders>
          </w:tcPr>
          <w:p w14:paraId="21FFAB89" w14:textId="5F79A28E" w:rsidR="005E33F8" w:rsidRPr="00675CE5" w:rsidRDefault="00D52DF7"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w:t>
            </w:r>
            <w:r w:rsidR="003F291F" w:rsidRPr="00675CE5">
              <w:rPr>
                <w:rFonts w:ascii="Calibri" w:eastAsia="Times New Roman" w:hAnsi="Calibri" w:cs="Times New Roman"/>
                <w:color w:val="000000"/>
                <w:sz w:val="20"/>
                <w:szCs w:val="20"/>
              </w:rPr>
              <w:t xml:space="preserve">ppeals </w:t>
            </w:r>
            <w:r w:rsidR="00E76E74">
              <w:rPr>
                <w:rFonts w:ascii="Calibri" w:eastAsia="Times New Roman" w:hAnsi="Calibri" w:cs="Times New Roman"/>
                <w:color w:val="000000"/>
                <w:sz w:val="20"/>
                <w:szCs w:val="20"/>
              </w:rPr>
              <w:t>from F</w:t>
            </w:r>
            <w:r w:rsidR="003F291F"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003F291F" w:rsidRPr="00675CE5">
              <w:rPr>
                <w:rFonts w:ascii="Calibri" w:eastAsia="Times New Roman" w:hAnsi="Calibri" w:cs="Times New Roman"/>
                <w:color w:val="000000"/>
                <w:sz w:val="20"/>
                <w:szCs w:val="20"/>
              </w:rPr>
              <w:t>eterminations</w:t>
            </w:r>
            <w:r w:rsidR="00E76E74">
              <w:rPr>
                <w:rFonts w:ascii="Calibri" w:eastAsia="Times New Roman" w:hAnsi="Calibri" w:cs="Times New Roman"/>
                <w:color w:val="000000"/>
                <w:sz w:val="20"/>
                <w:szCs w:val="20"/>
              </w:rPr>
              <w:t xml:space="preserve"> with Denied Claims</w:t>
            </w:r>
          </w:p>
        </w:tc>
      </w:tr>
      <w:tr w:rsidR="005E33F8" w:rsidRPr="00FC47BA" w14:paraId="09AE250B" w14:textId="68645B84" w:rsidTr="00675CE5">
        <w:trPr>
          <w:trHeight w:val="300"/>
        </w:trPr>
        <w:tc>
          <w:tcPr>
            <w:tcW w:w="2640" w:type="dxa"/>
            <w:tcBorders>
              <w:top w:val="nil"/>
              <w:left w:val="nil"/>
              <w:bottom w:val="nil"/>
              <w:right w:val="nil"/>
            </w:tcBorders>
            <w:shd w:val="clear" w:color="auto" w:fill="1F497D" w:themeFill="text2"/>
            <w:noWrap/>
            <w:vAlign w:val="bottom"/>
            <w:hideMark/>
          </w:tcPr>
          <w:p w14:paraId="585011C7"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12C6D9A9"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198DE1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108E07C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3CE3A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6D17D25C" w14:textId="5BA06E3A"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r w:rsidR="00D52DF7">
              <w:rPr>
                <w:rFonts w:ascii="Calibri" w:eastAsia="Times New Roman" w:hAnsi="Calibri" w:cs="Times New Roman"/>
                <w:b/>
                <w:bCs/>
                <w:color w:val="000000"/>
                <w:sz w:val="20"/>
                <w:szCs w:val="20"/>
              </w:rPr>
              <w:t xml:space="preserve"> of Denied Claims</w:t>
            </w:r>
          </w:p>
        </w:tc>
      </w:tr>
      <w:tr w:rsidR="005E33F8" w:rsidRPr="00FC47BA" w14:paraId="1CE50ED4" w14:textId="45EDF37B" w:rsidTr="00675CE5">
        <w:trPr>
          <w:trHeight w:val="300"/>
        </w:trPr>
        <w:tc>
          <w:tcPr>
            <w:tcW w:w="2640" w:type="dxa"/>
            <w:tcBorders>
              <w:top w:val="nil"/>
              <w:left w:val="nil"/>
              <w:bottom w:val="nil"/>
              <w:right w:val="nil"/>
            </w:tcBorders>
            <w:shd w:val="clear" w:color="auto" w:fill="1F497D" w:themeFill="text2"/>
            <w:noWrap/>
            <w:vAlign w:val="bottom"/>
            <w:hideMark/>
          </w:tcPr>
          <w:p w14:paraId="78CFC5D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5E51DA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AF35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9AA4B64"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251B219B"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4A28A47" w14:textId="6C91DC25"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Final</w:t>
            </w:r>
            <w:r w:rsidR="00D52DF7">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00D52DF7">
              <w:rPr>
                <w:rFonts w:ascii="Calibri" w:eastAsia="Times New Roman" w:hAnsi="Calibri" w:cs="Times New Roman"/>
                <w:color w:val="000000"/>
                <w:sz w:val="20"/>
                <w:szCs w:val="20"/>
              </w:rPr>
              <w:t>laims where both are published</w:t>
            </w:r>
          </w:p>
        </w:tc>
      </w:tr>
      <w:tr w:rsidR="005E33F8" w:rsidRPr="00FC47BA" w14:paraId="655B502B" w14:textId="7A9FA26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A76947D"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Split Decision</w:t>
            </w:r>
          </w:p>
        </w:tc>
        <w:tc>
          <w:tcPr>
            <w:tcW w:w="1320" w:type="dxa"/>
            <w:tcBorders>
              <w:top w:val="nil"/>
              <w:left w:val="nil"/>
              <w:bottom w:val="single" w:sz="4" w:space="0" w:color="95B3D7"/>
              <w:right w:val="nil"/>
            </w:tcBorders>
            <w:shd w:val="clear" w:color="auto" w:fill="1F497D" w:themeFill="text2"/>
            <w:noWrap/>
            <w:vAlign w:val="bottom"/>
            <w:hideMark/>
          </w:tcPr>
          <w:p w14:paraId="522B3F1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60208B0E"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5B838448"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5F76A31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6405" w:type="dxa"/>
            <w:tcBorders>
              <w:top w:val="nil"/>
              <w:left w:val="nil"/>
              <w:bottom w:val="single" w:sz="4" w:space="0" w:color="95B3D7"/>
              <w:right w:val="nil"/>
            </w:tcBorders>
            <w:shd w:val="clear" w:color="auto" w:fill="1F497D" w:themeFill="text2"/>
          </w:tcPr>
          <w:p w14:paraId="592636BD" w14:textId="38243AAA"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xml:space="preserve">Split Decision </w:t>
            </w:r>
            <w:r w:rsidR="00337C3E">
              <w:rPr>
                <w:rFonts w:ascii="Calibri" w:eastAsia="Times New Roman" w:hAnsi="Calibri" w:cs="Times New Roman"/>
                <w:b/>
                <w:bCs/>
                <w:color w:val="FFFFFF" w:themeColor="background1"/>
                <w:sz w:val="20"/>
                <w:szCs w:val="20"/>
              </w:rPr>
              <w:t xml:space="preserve">from Appeal </w:t>
            </w:r>
            <w:r>
              <w:rPr>
                <w:rFonts w:ascii="Calibri" w:eastAsia="Times New Roman" w:hAnsi="Calibri" w:cs="Times New Roman"/>
                <w:b/>
                <w:bCs/>
                <w:color w:val="FFFFFF" w:themeColor="background1"/>
                <w:sz w:val="20"/>
                <w:szCs w:val="20"/>
              </w:rPr>
              <w:t>Subtotal</w:t>
            </w:r>
          </w:p>
        </w:tc>
      </w:tr>
      <w:tr w:rsidR="005E33F8" w:rsidRPr="00FC47BA" w14:paraId="7168B8D5" w14:textId="2A0ECB1A" w:rsidTr="00675CE5">
        <w:trPr>
          <w:trHeight w:val="300"/>
        </w:trPr>
        <w:tc>
          <w:tcPr>
            <w:tcW w:w="2640" w:type="dxa"/>
            <w:tcBorders>
              <w:top w:val="nil"/>
              <w:left w:val="nil"/>
              <w:bottom w:val="nil"/>
              <w:right w:val="nil"/>
            </w:tcBorders>
            <w:shd w:val="clear" w:color="auto" w:fill="1F497D" w:themeFill="text2"/>
            <w:noWrap/>
            <w:vAlign w:val="bottom"/>
            <w:hideMark/>
          </w:tcPr>
          <w:p w14:paraId="7B1F5EE7" w14:textId="4B695FEB"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7D88C99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03AA817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3F369E4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D6406E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14926124" w14:textId="08FD0157" w:rsidR="005E33F8" w:rsidRPr="00675CE5" w:rsidRDefault="004E4550" w:rsidP="00E76E74">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Split Decision </w:t>
            </w:r>
            <w:r w:rsidR="00E76E74">
              <w:rPr>
                <w:rFonts w:ascii="Calibri" w:eastAsia="Times New Roman" w:hAnsi="Calibri" w:cs="Times New Roman"/>
                <w:b/>
                <w:bCs/>
                <w:color w:val="000000"/>
                <w:sz w:val="20"/>
                <w:szCs w:val="20"/>
              </w:rPr>
              <w:t>in an</w:t>
            </w:r>
            <w:r w:rsidR="00337C3E">
              <w:rPr>
                <w:rFonts w:ascii="Calibri" w:eastAsia="Times New Roman" w:hAnsi="Calibri" w:cs="Times New Roman"/>
                <w:b/>
                <w:bCs/>
                <w:color w:val="000000"/>
                <w:sz w:val="20"/>
                <w:szCs w:val="20"/>
              </w:rPr>
              <w:t xml:space="preserve"> Appeal</w:t>
            </w:r>
            <w:r>
              <w:rPr>
                <w:rFonts w:ascii="Calibri" w:eastAsia="Times New Roman" w:hAnsi="Calibri" w:cs="Times New Roman"/>
                <w:b/>
                <w:bCs/>
                <w:color w:val="000000"/>
                <w:sz w:val="20"/>
                <w:szCs w:val="20"/>
              </w:rPr>
              <w:t xml:space="preserve"> </w:t>
            </w:r>
            <w:r w:rsidR="00E76E74">
              <w:rPr>
                <w:rFonts w:ascii="Calibri" w:eastAsia="Times New Roman" w:hAnsi="Calibri" w:cs="Times New Roman"/>
                <w:b/>
                <w:bCs/>
                <w:color w:val="000000"/>
                <w:sz w:val="20"/>
                <w:szCs w:val="20"/>
              </w:rPr>
              <w:t xml:space="preserve">from Final Determination </w:t>
            </w:r>
            <w:r w:rsidR="00B76FF4">
              <w:rPr>
                <w:rFonts w:ascii="Calibri" w:eastAsia="Times New Roman" w:hAnsi="Calibri" w:cs="Times New Roman"/>
                <w:b/>
                <w:bCs/>
                <w:color w:val="000000"/>
                <w:sz w:val="20"/>
                <w:szCs w:val="20"/>
              </w:rPr>
              <w:t>Sub-</w:t>
            </w:r>
            <w:r>
              <w:rPr>
                <w:rFonts w:ascii="Calibri" w:eastAsia="Times New Roman" w:hAnsi="Calibri" w:cs="Times New Roman"/>
                <w:b/>
                <w:bCs/>
                <w:color w:val="000000"/>
                <w:sz w:val="20"/>
                <w:szCs w:val="20"/>
              </w:rPr>
              <w:t>Subtotal</w:t>
            </w:r>
          </w:p>
        </w:tc>
      </w:tr>
      <w:tr w:rsidR="005E33F8" w:rsidRPr="00FC47BA" w14:paraId="0D4E6FCD" w14:textId="4EA55A80" w:rsidTr="00675CE5">
        <w:trPr>
          <w:trHeight w:val="300"/>
        </w:trPr>
        <w:tc>
          <w:tcPr>
            <w:tcW w:w="2640" w:type="dxa"/>
            <w:tcBorders>
              <w:top w:val="nil"/>
              <w:left w:val="nil"/>
              <w:bottom w:val="nil"/>
              <w:right w:val="nil"/>
            </w:tcBorders>
            <w:shd w:val="clear" w:color="auto" w:fill="1F497D" w:themeFill="text2"/>
            <w:noWrap/>
            <w:vAlign w:val="bottom"/>
            <w:hideMark/>
          </w:tcPr>
          <w:p w14:paraId="5987AE13" w14:textId="7F0C978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452E01E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10C673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23E18B5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EAA7B71"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388DB1B9" w14:textId="4BD36CAD" w:rsidR="005E33F8" w:rsidRPr="00675CE5" w:rsidRDefault="004E4550"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Appeals where the claim ended with a split decision</w:t>
            </w:r>
          </w:p>
        </w:tc>
      </w:tr>
      <w:tr w:rsidR="005E33F8" w:rsidRPr="00FC47BA" w14:paraId="469903D5" w14:textId="2EE7DC2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523C578" w14:textId="52A686FD" w:rsidR="005E33F8" w:rsidRPr="004F6CC7" w:rsidRDefault="005E33F8" w:rsidP="00FC47BA">
            <w:pPr>
              <w:spacing w:after="0" w:line="240" w:lineRule="auto"/>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 xml:space="preserve">Complaint </w:t>
            </w:r>
            <w:r w:rsidRPr="004F6CC7">
              <w:rPr>
                <w:rFonts w:ascii="Calibri" w:eastAsia="Times New Roman" w:hAnsi="Calibri" w:cs="Times New Roman"/>
                <w:b/>
                <w:bCs/>
                <w:color w:val="FFFFFF" w:themeColor="background1"/>
              </w:rPr>
              <w:t>Withdrawn</w:t>
            </w:r>
          </w:p>
        </w:tc>
        <w:tc>
          <w:tcPr>
            <w:tcW w:w="1320" w:type="dxa"/>
            <w:tcBorders>
              <w:top w:val="nil"/>
              <w:left w:val="nil"/>
              <w:bottom w:val="single" w:sz="4" w:space="0" w:color="95B3D7"/>
              <w:right w:val="nil"/>
            </w:tcBorders>
            <w:shd w:val="clear" w:color="auto" w:fill="1F497D" w:themeFill="text2"/>
            <w:noWrap/>
            <w:vAlign w:val="bottom"/>
            <w:hideMark/>
          </w:tcPr>
          <w:p w14:paraId="185B56B3"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w:t>
            </w:r>
          </w:p>
        </w:tc>
        <w:tc>
          <w:tcPr>
            <w:tcW w:w="1320" w:type="dxa"/>
            <w:tcBorders>
              <w:top w:val="nil"/>
              <w:left w:val="nil"/>
              <w:bottom w:val="single" w:sz="4" w:space="0" w:color="95B3D7"/>
              <w:right w:val="nil"/>
            </w:tcBorders>
            <w:shd w:val="clear" w:color="auto" w:fill="1F497D" w:themeFill="text2"/>
            <w:noWrap/>
            <w:vAlign w:val="bottom"/>
            <w:hideMark/>
          </w:tcPr>
          <w:p w14:paraId="0319DD2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40</w:t>
            </w:r>
          </w:p>
        </w:tc>
        <w:tc>
          <w:tcPr>
            <w:tcW w:w="1320" w:type="dxa"/>
            <w:tcBorders>
              <w:top w:val="nil"/>
              <w:left w:val="nil"/>
              <w:bottom w:val="single" w:sz="4" w:space="0" w:color="95B3D7"/>
              <w:right w:val="nil"/>
            </w:tcBorders>
            <w:shd w:val="clear" w:color="auto" w:fill="1F497D" w:themeFill="text2"/>
            <w:noWrap/>
            <w:vAlign w:val="bottom"/>
            <w:hideMark/>
          </w:tcPr>
          <w:p w14:paraId="12460FFD"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24E0293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44</w:t>
            </w:r>
          </w:p>
        </w:tc>
        <w:tc>
          <w:tcPr>
            <w:tcW w:w="6405" w:type="dxa"/>
            <w:tcBorders>
              <w:top w:val="nil"/>
              <w:left w:val="nil"/>
              <w:bottom w:val="single" w:sz="4" w:space="0" w:color="95B3D7"/>
              <w:right w:val="nil"/>
            </w:tcBorders>
            <w:shd w:val="clear" w:color="auto" w:fill="1F497D" w:themeFill="text2"/>
          </w:tcPr>
          <w:p w14:paraId="0FF584C2" w14:textId="03717972"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Complaint Withdrawn Subtotal</w:t>
            </w:r>
          </w:p>
        </w:tc>
      </w:tr>
      <w:tr w:rsidR="005E33F8" w:rsidRPr="00FC47BA" w14:paraId="3907177E" w14:textId="58F2CFFB" w:rsidTr="00675CE5">
        <w:trPr>
          <w:trHeight w:val="300"/>
        </w:trPr>
        <w:tc>
          <w:tcPr>
            <w:tcW w:w="2640" w:type="dxa"/>
            <w:tcBorders>
              <w:top w:val="nil"/>
              <w:left w:val="nil"/>
              <w:bottom w:val="nil"/>
              <w:right w:val="nil"/>
            </w:tcBorders>
            <w:shd w:val="clear" w:color="auto" w:fill="1F497D" w:themeFill="text2"/>
            <w:noWrap/>
            <w:vAlign w:val="bottom"/>
            <w:hideMark/>
          </w:tcPr>
          <w:p w14:paraId="7734E3B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(blank)</w:t>
            </w:r>
          </w:p>
        </w:tc>
        <w:tc>
          <w:tcPr>
            <w:tcW w:w="1320" w:type="dxa"/>
            <w:tcBorders>
              <w:top w:val="nil"/>
              <w:left w:val="nil"/>
              <w:bottom w:val="nil"/>
              <w:right w:val="nil"/>
            </w:tcBorders>
            <w:shd w:val="clear" w:color="auto" w:fill="F2F2F2" w:themeFill="background1" w:themeFillShade="F2"/>
            <w:noWrap/>
            <w:vAlign w:val="bottom"/>
            <w:hideMark/>
          </w:tcPr>
          <w:p w14:paraId="4310951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w:t>
            </w:r>
          </w:p>
        </w:tc>
        <w:tc>
          <w:tcPr>
            <w:tcW w:w="1320" w:type="dxa"/>
            <w:tcBorders>
              <w:top w:val="nil"/>
              <w:left w:val="nil"/>
              <w:bottom w:val="nil"/>
              <w:right w:val="nil"/>
            </w:tcBorders>
            <w:shd w:val="clear" w:color="auto" w:fill="F2F2F2" w:themeFill="background1" w:themeFillShade="F2"/>
            <w:noWrap/>
            <w:vAlign w:val="bottom"/>
            <w:hideMark/>
          </w:tcPr>
          <w:p w14:paraId="6E3429E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40</w:t>
            </w:r>
          </w:p>
        </w:tc>
        <w:tc>
          <w:tcPr>
            <w:tcW w:w="1320" w:type="dxa"/>
            <w:tcBorders>
              <w:top w:val="nil"/>
              <w:left w:val="nil"/>
              <w:bottom w:val="nil"/>
              <w:right w:val="nil"/>
            </w:tcBorders>
            <w:shd w:val="clear" w:color="auto" w:fill="F2F2F2" w:themeFill="background1" w:themeFillShade="F2"/>
            <w:noWrap/>
            <w:vAlign w:val="bottom"/>
            <w:hideMark/>
          </w:tcPr>
          <w:p w14:paraId="62389CF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0EAC15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44</w:t>
            </w:r>
          </w:p>
        </w:tc>
        <w:tc>
          <w:tcPr>
            <w:tcW w:w="6405" w:type="dxa"/>
            <w:tcBorders>
              <w:top w:val="nil"/>
              <w:left w:val="nil"/>
              <w:bottom w:val="nil"/>
              <w:right w:val="nil"/>
            </w:tcBorders>
            <w:shd w:val="clear" w:color="auto" w:fill="F2F2F2" w:themeFill="background1" w:themeFillShade="F2"/>
          </w:tcPr>
          <w:p w14:paraId="7621B14A" w14:textId="49ED108B" w:rsidR="005E33F8" w:rsidRPr="00675CE5" w:rsidRDefault="00B76FF4" w:rsidP="00675CE5">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Complaint Withdrawn Sub-Subtotal</w:t>
            </w:r>
          </w:p>
        </w:tc>
      </w:tr>
      <w:tr w:rsidR="005E33F8" w:rsidRPr="00FC47BA" w14:paraId="0E30132D" w14:textId="059B4D50" w:rsidTr="00675CE5">
        <w:trPr>
          <w:trHeight w:val="300"/>
        </w:trPr>
        <w:tc>
          <w:tcPr>
            <w:tcW w:w="2640" w:type="dxa"/>
            <w:tcBorders>
              <w:top w:val="nil"/>
              <w:left w:val="nil"/>
              <w:bottom w:val="nil"/>
              <w:right w:val="nil"/>
            </w:tcBorders>
            <w:shd w:val="clear" w:color="auto" w:fill="1F497D" w:themeFill="text2"/>
            <w:noWrap/>
            <w:vAlign w:val="bottom"/>
            <w:hideMark/>
          </w:tcPr>
          <w:p w14:paraId="601D192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75B124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w:t>
            </w:r>
          </w:p>
        </w:tc>
        <w:tc>
          <w:tcPr>
            <w:tcW w:w="1320" w:type="dxa"/>
            <w:tcBorders>
              <w:top w:val="nil"/>
              <w:left w:val="nil"/>
              <w:bottom w:val="nil"/>
              <w:right w:val="nil"/>
            </w:tcBorders>
            <w:shd w:val="clear" w:color="auto" w:fill="auto"/>
            <w:noWrap/>
            <w:vAlign w:val="bottom"/>
            <w:hideMark/>
          </w:tcPr>
          <w:p w14:paraId="5BDA476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40</w:t>
            </w:r>
          </w:p>
        </w:tc>
        <w:tc>
          <w:tcPr>
            <w:tcW w:w="1320" w:type="dxa"/>
            <w:tcBorders>
              <w:top w:val="nil"/>
              <w:left w:val="nil"/>
              <w:bottom w:val="nil"/>
              <w:right w:val="nil"/>
            </w:tcBorders>
            <w:shd w:val="clear" w:color="auto" w:fill="auto"/>
            <w:noWrap/>
            <w:vAlign w:val="bottom"/>
            <w:hideMark/>
          </w:tcPr>
          <w:p w14:paraId="5FF2FB8F"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A98A6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44</w:t>
            </w:r>
          </w:p>
        </w:tc>
        <w:tc>
          <w:tcPr>
            <w:tcW w:w="6405" w:type="dxa"/>
            <w:tcBorders>
              <w:top w:val="nil"/>
              <w:left w:val="nil"/>
              <w:bottom w:val="nil"/>
              <w:right w:val="nil"/>
            </w:tcBorders>
          </w:tcPr>
          <w:p w14:paraId="31F1990E" w14:textId="58466784" w:rsidR="005E33F8" w:rsidRPr="00675CE5" w:rsidRDefault="00B76FF4"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Complaints </w:t>
            </w:r>
            <w:r w:rsidR="00E76E74">
              <w:rPr>
                <w:rFonts w:ascii="Calibri" w:eastAsia="Times New Roman" w:hAnsi="Calibri" w:cs="Times New Roman"/>
                <w:color w:val="000000"/>
                <w:sz w:val="20"/>
                <w:szCs w:val="20"/>
              </w:rPr>
              <w:t>Withdrawn</w:t>
            </w:r>
          </w:p>
        </w:tc>
      </w:tr>
      <w:tr w:rsidR="005E33F8" w:rsidRPr="00FC47BA" w14:paraId="578A3BD4" w14:textId="1C898142" w:rsidTr="00675CE5">
        <w:trPr>
          <w:trHeight w:val="300"/>
        </w:trPr>
        <w:tc>
          <w:tcPr>
            <w:tcW w:w="2640" w:type="dxa"/>
            <w:tcBorders>
              <w:top w:val="single" w:sz="4" w:space="0" w:color="95B3D7"/>
              <w:left w:val="nil"/>
              <w:bottom w:val="nil"/>
              <w:right w:val="nil"/>
            </w:tcBorders>
            <w:shd w:val="clear" w:color="auto" w:fill="1F497D" w:themeFill="text2"/>
            <w:noWrap/>
            <w:vAlign w:val="center"/>
            <w:hideMark/>
          </w:tcPr>
          <w:p w14:paraId="655C52D4" w14:textId="77777777" w:rsidR="005E33F8" w:rsidRPr="004F6CC7" w:rsidRDefault="005E33F8" w:rsidP="004F6CC7">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1320" w:type="dxa"/>
            <w:tcBorders>
              <w:top w:val="single" w:sz="4" w:space="0" w:color="95B3D7"/>
              <w:left w:val="nil"/>
              <w:bottom w:val="nil"/>
              <w:right w:val="nil"/>
            </w:tcBorders>
            <w:shd w:val="clear" w:color="auto" w:fill="1F497D" w:themeFill="text2"/>
            <w:noWrap/>
            <w:vAlign w:val="center"/>
            <w:hideMark/>
          </w:tcPr>
          <w:p w14:paraId="21E272AC"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29</w:t>
            </w:r>
          </w:p>
        </w:tc>
        <w:tc>
          <w:tcPr>
            <w:tcW w:w="1320" w:type="dxa"/>
            <w:tcBorders>
              <w:top w:val="single" w:sz="4" w:space="0" w:color="95B3D7"/>
              <w:left w:val="nil"/>
              <w:bottom w:val="nil"/>
              <w:right w:val="nil"/>
            </w:tcBorders>
            <w:shd w:val="clear" w:color="auto" w:fill="1F497D" w:themeFill="text2"/>
            <w:noWrap/>
            <w:vAlign w:val="center"/>
            <w:hideMark/>
          </w:tcPr>
          <w:p w14:paraId="0755FA4B"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784</w:t>
            </w:r>
          </w:p>
        </w:tc>
        <w:tc>
          <w:tcPr>
            <w:tcW w:w="1320" w:type="dxa"/>
            <w:tcBorders>
              <w:top w:val="single" w:sz="4" w:space="0" w:color="95B3D7"/>
              <w:left w:val="nil"/>
              <w:bottom w:val="nil"/>
              <w:right w:val="nil"/>
            </w:tcBorders>
            <w:shd w:val="clear" w:color="auto" w:fill="1F497D" w:themeFill="text2"/>
            <w:noWrap/>
            <w:vAlign w:val="center"/>
            <w:hideMark/>
          </w:tcPr>
          <w:p w14:paraId="086FBF8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14</w:t>
            </w:r>
          </w:p>
        </w:tc>
        <w:tc>
          <w:tcPr>
            <w:tcW w:w="1320" w:type="dxa"/>
            <w:tcBorders>
              <w:top w:val="single" w:sz="4" w:space="0" w:color="95B3D7"/>
              <w:left w:val="nil"/>
              <w:bottom w:val="nil"/>
              <w:right w:val="nil"/>
            </w:tcBorders>
            <w:shd w:val="clear" w:color="auto" w:fill="1F497D" w:themeFill="text2"/>
            <w:noWrap/>
            <w:vAlign w:val="center"/>
            <w:hideMark/>
          </w:tcPr>
          <w:p w14:paraId="42126A7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827</w:t>
            </w:r>
          </w:p>
        </w:tc>
        <w:tc>
          <w:tcPr>
            <w:tcW w:w="6405" w:type="dxa"/>
            <w:tcBorders>
              <w:top w:val="single" w:sz="4" w:space="0" w:color="95B3D7"/>
              <w:left w:val="nil"/>
              <w:bottom w:val="nil"/>
              <w:right w:val="nil"/>
            </w:tcBorders>
            <w:shd w:val="clear" w:color="auto" w:fill="1F497D" w:themeFill="text2"/>
          </w:tcPr>
          <w:p w14:paraId="62308C47" w14:textId="680BA2BD"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Grand Total of Four Primary Categories</w:t>
            </w:r>
          </w:p>
        </w:tc>
      </w:tr>
    </w:tbl>
    <w:p w14:paraId="7DAEA74B" w14:textId="211D1BE9" w:rsidR="00A752BC" w:rsidRDefault="00A752BC" w:rsidP="00A752BC">
      <w:pPr>
        <w:spacing w:after="0" w:line="240" w:lineRule="auto"/>
        <w:rPr>
          <w:b/>
          <w:sz w:val="28"/>
          <w:szCs w:val="28"/>
        </w:rPr>
      </w:pPr>
    </w:p>
    <w:p w14:paraId="36F2D1EE" w14:textId="00602D76" w:rsidR="00253707" w:rsidRDefault="00253707" w:rsidP="00A752BC">
      <w:pPr>
        <w:spacing w:after="0" w:line="240" w:lineRule="auto"/>
        <w:rPr>
          <w:b/>
          <w:sz w:val="28"/>
          <w:szCs w:val="28"/>
        </w:rPr>
      </w:pPr>
    </w:p>
    <w:p w14:paraId="61F2D20A" w14:textId="5D4FD77C" w:rsidR="00AD0883" w:rsidRDefault="00AD0883" w:rsidP="00A752BC">
      <w:pPr>
        <w:spacing w:after="0" w:line="240" w:lineRule="auto"/>
        <w:rPr>
          <w:b/>
          <w:sz w:val="28"/>
          <w:szCs w:val="28"/>
        </w:rPr>
      </w:pPr>
      <w:r>
        <w:rPr>
          <w:noProof/>
        </w:rPr>
        <w:lastRenderedPageBreak/>
        <w:drawing>
          <wp:inline distT="0" distB="0" distL="0" distR="0" wp14:anchorId="5B0AA4B5" wp14:editId="0B8F25F5">
            <wp:extent cx="8982075" cy="30384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1511D5" w14:textId="77777777" w:rsidR="00A752BC" w:rsidRDefault="00A752BC" w:rsidP="00A752BC">
      <w:pPr>
        <w:spacing w:after="0" w:line="240" w:lineRule="auto"/>
        <w:rPr>
          <w:b/>
          <w:sz w:val="28"/>
          <w:szCs w:val="28"/>
        </w:rPr>
      </w:pPr>
    </w:p>
    <w:p w14:paraId="29B07CE4" w14:textId="33ED92A2" w:rsidR="00A752BC" w:rsidRPr="00665660" w:rsidRDefault="00780B43" w:rsidP="00A25DD5">
      <w:pPr>
        <w:spacing w:after="0"/>
        <w:rPr>
          <w:b/>
        </w:rPr>
      </w:pPr>
      <w:r>
        <w:rPr>
          <w:b/>
        </w:rPr>
        <w:t>Outcome Types</w:t>
      </w:r>
      <w:r w:rsidR="00A752BC" w:rsidRPr="00665660">
        <w:rPr>
          <w:b/>
        </w:rPr>
        <w:t>:</w:t>
      </w:r>
    </w:p>
    <w:p w14:paraId="118950A4" w14:textId="131D1552" w:rsidR="00A752BC" w:rsidRPr="004F6CC7" w:rsidRDefault="00A752BC" w:rsidP="00A752BC">
      <w:pPr>
        <w:pStyle w:val="ListParagraph"/>
        <w:numPr>
          <w:ilvl w:val="0"/>
          <w:numId w:val="7"/>
        </w:numPr>
        <w:spacing w:after="0"/>
        <w:rPr>
          <w:sz w:val="20"/>
          <w:szCs w:val="20"/>
        </w:rPr>
      </w:pPr>
      <w:r w:rsidRPr="004F6CC7">
        <w:rPr>
          <w:sz w:val="20"/>
          <w:szCs w:val="20"/>
          <w:u w:val="single"/>
        </w:rPr>
        <w:t>Claim Denied</w:t>
      </w:r>
      <w:r w:rsidRPr="004F6CC7">
        <w:rPr>
          <w:sz w:val="20"/>
          <w:szCs w:val="20"/>
        </w:rPr>
        <w:t xml:space="preserve"> – </w:t>
      </w:r>
      <w:r w:rsidR="009D335E" w:rsidRPr="004F6CC7">
        <w:rPr>
          <w:sz w:val="20"/>
          <w:szCs w:val="20"/>
        </w:rPr>
        <w:t xml:space="preserve">This is the result where </w:t>
      </w:r>
      <w:r w:rsidR="004A5321">
        <w:rPr>
          <w:sz w:val="20"/>
          <w:szCs w:val="20"/>
        </w:rPr>
        <w:t xml:space="preserve">the Examiner finds that </w:t>
      </w:r>
      <w:r w:rsidR="009D335E" w:rsidRPr="004F6CC7">
        <w:rPr>
          <w:sz w:val="20"/>
          <w:szCs w:val="20"/>
        </w:rPr>
        <w:t xml:space="preserve">there is no genuine issue of material fact. </w:t>
      </w:r>
      <w:r w:rsidRPr="004F6CC7">
        <w:rPr>
          <w:sz w:val="20"/>
          <w:szCs w:val="20"/>
        </w:rPr>
        <w:t>Where</w:t>
      </w:r>
      <w:r w:rsidR="004A5321">
        <w:rPr>
          <w:sz w:val="20"/>
          <w:szCs w:val="20"/>
        </w:rPr>
        <w:t>, however,</w:t>
      </w:r>
      <w:r w:rsidRPr="004F6CC7">
        <w:rPr>
          <w:sz w:val="20"/>
          <w:szCs w:val="20"/>
        </w:rPr>
        <w:t xml:space="preserve"> there is any genuine contestable issue as to whether a domain name registration and use of a trademark are in bad faith, the Complaint will be </w:t>
      </w:r>
      <w:proofErr w:type="gramStart"/>
      <w:r w:rsidRPr="004F6CC7">
        <w:rPr>
          <w:sz w:val="20"/>
          <w:szCs w:val="20"/>
        </w:rPr>
        <w:t>denied</w:t>
      </w:r>
      <w:proofErr w:type="gramEnd"/>
      <w:r w:rsidR="004A5321">
        <w:rPr>
          <w:sz w:val="20"/>
          <w:szCs w:val="20"/>
        </w:rPr>
        <w:t xml:space="preserve"> and</w:t>
      </w:r>
      <w:r w:rsidRPr="004F6CC7">
        <w:rPr>
          <w:sz w:val="20"/>
          <w:szCs w:val="20"/>
        </w:rPr>
        <w:t xml:space="preserve"> the URS proceeding will be terminated without prejudice. The URS is not intended for use in any proceedings with open questions of fact, but only clear cases of trademark abuse.</w:t>
      </w:r>
      <w:r w:rsidRPr="004F6CC7">
        <w:rPr>
          <w:rStyle w:val="FootnoteReference"/>
          <w:sz w:val="20"/>
          <w:szCs w:val="20"/>
        </w:rPr>
        <w:footnoteReference w:id="2"/>
      </w:r>
    </w:p>
    <w:p w14:paraId="6C66F8D3" w14:textId="3F2C8FE8" w:rsidR="00A752BC" w:rsidRPr="004F6CC7" w:rsidRDefault="00A752BC" w:rsidP="00A752BC">
      <w:pPr>
        <w:pStyle w:val="ListParagraph"/>
        <w:numPr>
          <w:ilvl w:val="0"/>
          <w:numId w:val="7"/>
        </w:numPr>
        <w:spacing w:after="0"/>
        <w:rPr>
          <w:sz w:val="20"/>
          <w:szCs w:val="20"/>
        </w:rPr>
      </w:pPr>
      <w:r w:rsidRPr="004F6CC7">
        <w:rPr>
          <w:sz w:val="20"/>
          <w:szCs w:val="20"/>
          <w:u w:val="single"/>
        </w:rPr>
        <w:t>Split Decision</w:t>
      </w:r>
      <w:r w:rsidRPr="004F6CC7">
        <w:rPr>
          <w:sz w:val="20"/>
          <w:szCs w:val="20"/>
        </w:rPr>
        <w:t xml:space="preserve"> – </w:t>
      </w:r>
      <w:r w:rsidR="000F5A76" w:rsidRPr="004F6CC7">
        <w:rPr>
          <w:sz w:val="20"/>
          <w:szCs w:val="20"/>
        </w:rPr>
        <w:t>This refers to the result whe</w:t>
      </w:r>
      <w:r w:rsidR="007A759D" w:rsidRPr="004F6CC7">
        <w:rPr>
          <w:sz w:val="20"/>
          <w:szCs w:val="20"/>
        </w:rPr>
        <w:t>re</w:t>
      </w:r>
      <w:r w:rsidR="000F5A76" w:rsidRPr="004F6CC7">
        <w:rPr>
          <w:sz w:val="20"/>
          <w:szCs w:val="20"/>
        </w:rPr>
        <w:t xml:space="preserve"> a 3-member </w:t>
      </w:r>
      <w:r w:rsidR="004A5321">
        <w:rPr>
          <w:sz w:val="20"/>
          <w:szCs w:val="20"/>
        </w:rPr>
        <w:t xml:space="preserve">Appeal </w:t>
      </w:r>
      <w:r w:rsidR="000F5A76" w:rsidRPr="004F6CC7">
        <w:rPr>
          <w:sz w:val="20"/>
          <w:szCs w:val="20"/>
        </w:rPr>
        <w:t xml:space="preserve">panel </w:t>
      </w:r>
      <w:r w:rsidR="007A759D" w:rsidRPr="004F6CC7">
        <w:rPr>
          <w:sz w:val="20"/>
          <w:szCs w:val="20"/>
        </w:rPr>
        <w:t>does not reach a unanimous decision.</w:t>
      </w:r>
    </w:p>
    <w:p w14:paraId="02E4839B" w14:textId="5AEB53C7" w:rsidR="00A752BC" w:rsidRPr="004F6CC7" w:rsidRDefault="00A752BC" w:rsidP="00A752BC">
      <w:pPr>
        <w:pStyle w:val="ListParagraph"/>
        <w:numPr>
          <w:ilvl w:val="0"/>
          <w:numId w:val="7"/>
        </w:numPr>
        <w:spacing w:after="0"/>
        <w:rPr>
          <w:sz w:val="20"/>
          <w:szCs w:val="20"/>
        </w:rPr>
      </w:pPr>
      <w:r w:rsidRPr="004F6CC7">
        <w:rPr>
          <w:sz w:val="20"/>
          <w:szCs w:val="20"/>
          <w:u w:val="single"/>
        </w:rPr>
        <w:t>Suspended</w:t>
      </w:r>
      <w:r w:rsidRPr="004F6CC7">
        <w:rPr>
          <w:sz w:val="20"/>
          <w:szCs w:val="20"/>
        </w:rPr>
        <w:t xml:space="preserve"> – </w:t>
      </w:r>
      <w:r w:rsidR="007A759D" w:rsidRPr="004F6CC7">
        <w:rPr>
          <w:sz w:val="20"/>
          <w:szCs w:val="20"/>
        </w:rPr>
        <w:t xml:space="preserve">This refers to a </w:t>
      </w:r>
      <w:r w:rsidR="00C93EEA" w:rsidRPr="004F6CC7">
        <w:rPr>
          <w:sz w:val="20"/>
          <w:szCs w:val="20"/>
        </w:rPr>
        <w:t xml:space="preserve">ruling in favor of the Complainant whereby the domain is suspended </w:t>
      </w:r>
      <w:r w:rsidR="005E411B" w:rsidRPr="004F6CC7">
        <w:rPr>
          <w:sz w:val="20"/>
          <w:szCs w:val="20"/>
        </w:rPr>
        <w:t xml:space="preserve">for the remainder of the registration period (note: </w:t>
      </w:r>
      <w:proofErr w:type="gramStart"/>
      <w:r w:rsidR="005E411B" w:rsidRPr="004F6CC7">
        <w:rPr>
          <w:sz w:val="20"/>
          <w:szCs w:val="20"/>
        </w:rPr>
        <w:t>the</w:t>
      </w:r>
      <w:proofErr w:type="gramEnd"/>
      <w:r w:rsidR="005E411B" w:rsidRPr="004F6CC7">
        <w:rPr>
          <w:sz w:val="20"/>
          <w:szCs w:val="20"/>
        </w:rPr>
        <w:t xml:space="preserve"> Complainant may extend this period </w:t>
      </w:r>
      <w:r w:rsidR="009F4B7E" w:rsidRPr="004F6CC7">
        <w:rPr>
          <w:sz w:val="20"/>
          <w:szCs w:val="20"/>
        </w:rPr>
        <w:t>for an additional year by paying the applicable renewal fee)</w:t>
      </w:r>
      <w:r w:rsidR="00C93EEA" w:rsidRPr="004F6CC7">
        <w:rPr>
          <w:sz w:val="20"/>
          <w:szCs w:val="20"/>
        </w:rPr>
        <w:t>.</w:t>
      </w:r>
    </w:p>
    <w:p w14:paraId="7F6D817B" w14:textId="666E0917" w:rsidR="00A752BC" w:rsidRPr="004F6CC7" w:rsidRDefault="004A5321" w:rsidP="00A752BC">
      <w:pPr>
        <w:pStyle w:val="ListParagraph"/>
        <w:numPr>
          <w:ilvl w:val="0"/>
          <w:numId w:val="7"/>
        </w:numPr>
        <w:spacing w:after="0"/>
        <w:rPr>
          <w:sz w:val="20"/>
          <w:szCs w:val="20"/>
        </w:rPr>
      </w:pPr>
      <w:r>
        <w:rPr>
          <w:sz w:val="20"/>
          <w:szCs w:val="20"/>
          <w:u w:val="single"/>
        </w:rPr>
        <w:t xml:space="preserve">Complaint </w:t>
      </w:r>
      <w:r w:rsidR="00A752BC" w:rsidRPr="004F6CC7">
        <w:rPr>
          <w:sz w:val="20"/>
          <w:szCs w:val="20"/>
          <w:u w:val="single"/>
        </w:rPr>
        <w:t>Withdrawn</w:t>
      </w:r>
      <w:r w:rsidR="00A752BC" w:rsidRPr="004F6CC7">
        <w:rPr>
          <w:sz w:val="20"/>
          <w:szCs w:val="20"/>
        </w:rPr>
        <w:t xml:space="preserve"> – </w:t>
      </w:r>
      <w:r w:rsidR="007A759D" w:rsidRPr="004F6CC7">
        <w:rPr>
          <w:sz w:val="20"/>
          <w:szCs w:val="20"/>
        </w:rPr>
        <w:t xml:space="preserve">This refers to a situation where the </w:t>
      </w:r>
      <w:r w:rsidR="008F0554" w:rsidRPr="004F6CC7">
        <w:rPr>
          <w:sz w:val="20"/>
          <w:szCs w:val="20"/>
        </w:rPr>
        <w:t xml:space="preserve">Complainant withdraws the </w:t>
      </w:r>
      <w:r w:rsidR="009F4B7E" w:rsidRPr="004F6CC7">
        <w:rPr>
          <w:sz w:val="20"/>
          <w:szCs w:val="20"/>
        </w:rPr>
        <w:t xml:space="preserve">complaint, and the </w:t>
      </w:r>
      <w:r w:rsidR="008F0554" w:rsidRPr="004F6CC7">
        <w:rPr>
          <w:sz w:val="20"/>
          <w:szCs w:val="20"/>
        </w:rPr>
        <w:t>case</w:t>
      </w:r>
      <w:r w:rsidR="009F4B7E" w:rsidRPr="004F6CC7">
        <w:rPr>
          <w:sz w:val="20"/>
          <w:szCs w:val="20"/>
        </w:rPr>
        <w:t xml:space="preserve"> does not proceed </w:t>
      </w:r>
      <w:r w:rsidR="006743A4">
        <w:rPr>
          <w:sz w:val="20"/>
          <w:szCs w:val="20"/>
        </w:rPr>
        <w:t xml:space="preserve">to a </w:t>
      </w:r>
      <w:r>
        <w:rPr>
          <w:sz w:val="20"/>
          <w:szCs w:val="20"/>
        </w:rPr>
        <w:t>D</w:t>
      </w:r>
      <w:r w:rsidR="006743A4">
        <w:rPr>
          <w:sz w:val="20"/>
          <w:szCs w:val="20"/>
        </w:rPr>
        <w:t>etermination on examination</w:t>
      </w:r>
      <w:r w:rsidR="009F4B7E" w:rsidRPr="004F6CC7">
        <w:rPr>
          <w:sz w:val="20"/>
          <w:szCs w:val="20"/>
        </w:rPr>
        <w:t>.</w:t>
      </w:r>
    </w:p>
    <w:p w14:paraId="7F95713A" w14:textId="77777777" w:rsidR="00B377A2" w:rsidRDefault="00B377A2" w:rsidP="004F6CC7">
      <w:pPr>
        <w:pStyle w:val="ListParagraph"/>
        <w:spacing w:after="0"/>
      </w:pPr>
    </w:p>
    <w:p w14:paraId="269C3F8C" w14:textId="3D434677" w:rsidR="00AD0883" w:rsidRPr="00665660" w:rsidRDefault="00AD0883" w:rsidP="00AD0883">
      <w:pPr>
        <w:spacing w:after="0"/>
        <w:rPr>
          <w:b/>
        </w:rPr>
      </w:pPr>
      <w:r>
        <w:rPr>
          <w:b/>
        </w:rPr>
        <w:t>Determination Type</w:t>
      </w:r>
      <w:r w:rsidRPr="00665660">
        <w:rPr>
          <w:b/>
        </w:rPr>
        <w:t>s:</w:t>
      </w:r>
    </w:p>
    <w:p w14:paraId="533E99CD" w14:textId="77777777" w:rsidR="00AD0883" w:rsidRPr="004F6CC7" w:rsidRDefault="00AD0883" w:rsidP="00AD0883">
      <w:pPr>
        <w:pStyle w:val="ListParagraph"/>
        <w:numPr>
          <w:ilvl w:val="0"/>
          <w:numId w:val="7"/>
        </w:numPr>
        <w:spacing w:after="0"/>
        <w:rPr>
          <w:sz w:val="20"/>
          <w:szCs w:val="20"/>
        </w:rPr>
      </w:pPr>
      <w:r w:rsidRPr="004F6CC7">
        <w:rPr>
          <w:sz w:val="20"/>
          <w:szCs w:val="20"/>
          <w:u w:val="single"/>
        </w:rPr>
        <w:t>Default</w:t>
      </w:r>
      <w:r w:rsidRPr="004F6CC7">
        <w:rPr>
          <w:sz w:val="20"/>
          <w:szCs w:val="20"/>
        </w:rPr>
        <w:t xml:space="preserve"> – Where, at the expiration of the 14-day Response period (or extended period if granted), the Respondent does not submit an answer, the Complaint proceeds to Default status. All Default cases nevertheless proceed to Examination for review on the merits of the claim.</w:t>
      </w:r>
      <w:r w:rsidRPr="004F6CC7">
        <w:rPr>
          <w:rStyle w:val="FootnoteReference"/>
          <w:sz w:val="20"/>
          <w:szCs w:val="20"/>
        </w:rPr>
        <w:footnoteReference w:id="3"/>
      </w:r>
    </w:p>
    <w:p w14:paraId="239F334D" w14:textId="51B6815B" w:rsidR="00AD0883" w:rsidRPr="004F6CC7" w:rsidRDefault="00AD0883" w:rsidP="006743A4">
      <w:pPr>
        <w:pStyle w:val="ListParagraph"/>
        <w:numPr>
          <w:ilvl w:val="0"/>
          <w:numId w:val="7"/>
        </w:numPr>
        <w:spacing w:after="0"/>
        <w:rPr>
          <w:sz w:val="20"/>
          <w:szCs w:val="20"/>
        </w:rPr>
      </w:pPr>
      <w:r w:rsidRPr="004F6CC7">
        <w:rPr>
          <w:sz w:val="20"/>
          <w:szCs w:val="20"/>
          <w:u w:val="single"/>
        </w:rPr>
        <w:t>Final</w:t>
      </w:r>
      <w:r w:rsidR="00B377A2" w:rsidRPr="00017B59">
        <w:rPr>
          <w:sz w:val="20"/>
          <w:szCs w:val="20"/>
        </w:rPr>
        <w:t xml:space="preserve"> –</w:t>
      </w:r>
      <w:r w:rsidR="00B377A2">
        <w:rPr>
          <w:sz w:val="20"/>
          <w:szCs w:val="20"/>
        </w:rPr>
        <w:t xml:space="preserve"> </w:t>
      </w:r>
      <w:r w:rsidR="00780B43">
        <w:rPr>
          <w:sz w:val="20"/>
          <w:szCs w:val="20"/>
        </w:rPr>
        <w:t xml:space="preserve">This describes the Determination that is made when a Response is filed (which can be before or after the Default period). </w:t>
      </w:r>
      <w:r w:rsidR="006743A4" w:rsidRPr="006743A4">
        <w:rPr>
          <w:sz w:val="20"/>
          <w:szCs w:val="20"/>
        </w:rPr>
        <w:t>A Final Determination that changes a Default Determination outcome for the same case replace</w:t>
      </w:r>
      <w:r w:rsidR="00780B43">
        <w:rPr>
          <w:sz w:val="20"/>
          <w:szCs w:val="20"/>
        </w:rPr>
        <w:t>s</w:t>
      </w:r>
      <w:r w:rsidR="006743A4" w:rsidRPr="006743A4">
        <w:rPr>
          <w:sz w:val="20"/>
          <w:szCs w:val="20"/>
        </w:rPr>
        <w:t xml:space="preserve"> the Default Determination on the Provider’s website, unless the Examiner determines both </w:t>
      </w:r>
      <w:r w:rsidR="00780B43">
        <w:rPr>
          <w:sz w:val="20"/>
          <w:szCs w:val="20"/>
        </w:rPr>
        <w:t xml:space="preserve">are to </w:t>
      </w:r>
      <w:r w:rsidR="006743A4" w:rsidRPr="006743A4">
        <w:rPr>
          <w:sz w:val="20"/>
          <w:szCs w:val="20"/>
        </w:rPr>
        <w:t xml:space="preserve">be made </w:t>
      </w:r>
      <w:r w:rsidR="006743A4" w:rsidRPr="006743A4">
        <w:rPr>
          <w:sz w:val="20"/>
          <w:szCs w:val="20"/>
        </w:rPr>
        <w:lastRenderedPageBreak/>
        <w:t>available and so states in its Final Determination.</w:t>
      </w:r>
      <w:r w:rsidR="00780B43">
        <w:rPr>
          <w:sz w:val="20"/>
          <w:szCs w:val="20"/>
        </w:rPr>
        <w:t xml:space="preserve"> </w:t>
      </w:r>
      <w:r w:rsidR="00780B43" w:rsidRPr="006743A4">
        <w:rPr>
          <w:sz w:val="20"/>
          <w:szCs w:val="20"/>
        </w:rPr>
        <w:t>A Final Determination that upholds a Default Determination outcome for the same case may be published together on the Provider’s website, or the Final Determination may replace the Default Determination, at the Examiner’s discretion</w:t>
      </w:r>
      <w:r w:rsidR="00780B43">
        <w:rPr>
          <w:sz w:val="20"/>
          <w:szCs w:val="20"/>
        </w:rPr>
        <w:t>.</w:t>
      </w:r>
      <w:r w:rsidR="00780B43">
        <w:rPr>
          <w:rStyle w:val="FootnoteReference"/>
          <w:sz w:val="20"/>
          <w:szCs w:val="20"/>
        </w:rPr>
        <w:footnoteReference w:id="4"/>
      </w:r>
    </w:p>
    <w:p w14:paraId="1E82A932" w14:textId="0F0243FA" w:rsidR="00AD0883" w:rsidRPr="004F6CC7" w:rsidRDefault="00AD0883" w:rsidP="006743A4">
      <w:pPr>
        <w:pStyle w:val="ListParagraph"/>
        <w:numPr>
          <w:ilvl w:val="0"/>
          <w:numId w:val="7"/>
        </w:numPr>
        <w:spacing w:after="0"/>
        <w:rPr>
          <w:sz w:val="20"/>
          <w:szCs w:val="20"/>
        </w:rPr>
      </w:pPr>
      <w:r w:rsidRPr="004F6CC7">
        <w:rPr>
          <w:sz w:val="20"/>
          <w:szCs w:val="20"/>
          <w:u w:val="single"/>
        </w:rPr>
        <w:t>Default / Final</w:t>
      </w:r>
      <w:r w:rsidR="00B377A2" w:rsidRPr="00017B59">
        <w:rPr>
          <w:sz w:val="20"/>
          <w:szCs w:val="20"/>
        </w:rPr>
        <w:t xml:space="preserve"> –</w:t>
      </w:r>
      <w:r w:rsidR="00B377A2">
        <w:rPr>
          <w:sz w:val="20"/>
          <w:szCs w:val="20"/>
        </w:rPr>
        <w:t xml:space="preserve"> </w:t>
      </w:r>
      <w:r w:rsidR="00EC5C2B">
        <w:rPr>
          <w:sz w:val="20"/>
          <w:szCs w:val="20"/>
        </w:rPr>
        <w:t>This term is used for</w:t>
      </w:r>
      <w:r w:rsidR="00780B43">
        <w:rPr>
          <w:sz w:val="20"/>
          <w:szCs w:val="20"/>
        </w:rPr>
        <w:t xml:space="preserve"> </w:t>
      </w:r>
      <w:r w:rsidR="00ED3987">
        <w:rPr>
          <w:sz w:val="20"/>
          <w:szCs w:val="20"/>
        </w:rPr>
        <w:t>specific cases where the examiner chooses to publish both the Default and Fina</w:t>
      </w:r>
      <w:r w:rsidR="00E76E74">
        <w:rPr>
          <w:sz w:val="20"/>
          <w:szCs w:val="20"/>
        </w:rPr>
        <w:t>l Determination.</w:t>
      </w:r>
    </w:p>
    <w:p w14:paraId="749B320C" w14:textId="06120A74" w:rsidR="00AD0883" w:rsidRDefault="00AD0883" w:rsidP="00882286">
      <w:pPr>
        <w:pStyle w:val="ListParagraph"/>
        <w:numPr>
          <w:ilvl w:val="0"/>
          <w:numId w:val="7"/>
        </w:numPr>
        <w:spacing w:after="0"/>
        <w:rPr>
          <w:sz w:val="20"/>
          <w:szCs w:val="20"/>
        </w:rPr>
      </w:pPr>
      <w:r w:rsidRPr="004F6CC7">
        <w:rPr>
          <w:sz w:val="20"/>
          <w:szCs w:val="20"/>
          <w:u w:val="single"/>
        </w:rPr>
        <w:t>Appeal</w:t>
      </w:r>
      <w:r w:rsidR="00B377A2" w:rsidRPr="00017B59">
        <w:rPr>
          <w:sz w:val="20"/>
          <w:szCs w:val="20"/>
        </w:rPr>
        <w:t xml:space="preserve"> –</w:t>
      </w:r>
      <w:r w:rsidR="00B377A2">
        <w:rPr>
          <w:sz w:val="20"/>
          <w:szCs w:val="20"/>
        </w:rPr>
        <w:t xml:space="preserve"> </w:t>
      </w:r>
      <w:r w:rsidR="001F727B">
        <w:rPr>
          <w:sz w:val="20"/>
          <w:szCs w:val="20"/>
        </w:rPr>
        <w:t>This refers to a case where a party files an</w:t>
      </w:r>
      <w:r w:rsidR="00882286" w:rsidRPr="00882286">
        <w:rPr>
          <w:sz w:val="20"/>
          <w:szCs w:val="20"/>
        </w:rPr>
        <w:t xml:space="preserve"> appeal </w:t>
      </w:r>
      <w:r w:rsidR="001F727B">
        <w:rPr>
          <w:sz w:val="20"/>
          <w:szCs w:val="20"/>
        </w:rPr>
        <w:t>from</w:t>
      </w:r>
      <w:r w:rsidR="00882286" w:rsidRPr="00882286">
        <w:rPr>
          <w:sz w:val="20"/>
          <w:szCs w:val="20"/>
        </w:rPr>
        <w:t xml:space="preserve"> the </w:t>
      </w:r>
      <w:r w:rsidR="001F727B">
        <w:rPr>
          <w:sz w:val="20"/>
          <w:szCs w:val="20"/>
        </w:rPr>
        <w:t xml:space="preserve">initial </w:t>
      </w:r>
      <w:r w:rsidR="00882286" w:rsidRPr="00882286">
        <w:rPr>
          <w:sz w:val="20"/>
          <w:szCs w:val="20"/>
        </w:rPr>
        <w:t>Determination</w:t>
      </w:r>
      <w:r w:rsidR="001F727B">
        <w:rPr>
          <w:rStyle w:val="FootnoteReference"/>
          <w:sz w:val="20"/>
          <w:szCs w:val="20"/>
        </w:rPr>
        <w:footnoteReference w:id="5"/>
      </w:r>
      <w:r w:rsidR="00882286" w:rsidRPr="00882286">
        <w:rPr>
          <w:sz w:val="20"/>
          <w:szCs w:val="20"/>
        </w:rPr>
        <w:t>.</w:t>
      </w:r>
    </w:p>
    <w:p w14:paraId="281E5D46" w14:textId="210B7BF5" w:rsidR="00B377A2" w:rsidRPr="004F6CC7" w:rsidRDefault="00B377A2" w:rsidP="00AD0883">
      <w:pPr>
        <w:pStyle w:val="ListParagraph"/>
        <w:numPr>
          <w:ilvl w:val="0"/>
          <w:numId w:val="7"/>
        </w:numPr>
        <w:spacing w:after="0"/>
        <w:rPr>
          <w:sz w:val="20"/>
          <w:szCs w:val="20"/>
        </w:rPr>
      </w:pPr>
      <w:r>
        <w:rPr>
          <w:sz w:val="20"/>
          <w:szCs w:val="20"/>
          <w:u w:val="single"/>
        </w:rPr>
        <w:t>(blank)</w:t>
      </w:r>
      <w:r w:rsidRPr="00017B59">
        <w:rPr>
          <w:sz w:val="20"/>
          <w:szCs w:val="20"/>
        </w:rPr>
        <w:t xml:space="preserve"> –</w:t>
      </w:r>
      <w:r>
        <w:rPr>
          <w:sz w:val="20"/>
          <w:szCs w:val="20"/>
        </w:rPr>
        <w:t xml:space="preserve"> This is only a designation result of a blank field from Excel pivot tables and not a determination type as set in the URS Rules and Procedures. </w:t>
      </w:r>
    </w:p>
    <w:p w14:paraId="3BE733C3" w14:textId="77777777" w:rsidR="002F1FA7" w:rsidRDefault="002F1FA7" w:rsidP="00665660">
      <w:pPr>
        <w:spacing w:after="0"/>
      </w:pPr>
    </w:p>
    <w:p w14:paraId="546A9C33" w14:textId="77777777" w:rsidR="00370530" w:rsidRDefault="00370530">
      <w:pPr>
        <w:rPr>
          <w:b/>
          <w:sz w:val="28"/>
          <w:szCs w:val="28"/>
        </w:rPr>
      </w:pPr>
      <w:r>
        <w:rPr>
          <w:b/>
          <w:sz w:val="28"/>
          <w:szCs w:val="28"/>
        </w:rPr>
        <w:br w:type="page"/>
      </w:r>
    </w:p>
    <w:p w14:paraId="3CF20F77" w14:textId="79C34CEA" w:rsidR="002F1FA7" w:rsidRDefault="002F1FA7" w:rsidP="002F1FA7">
      <w:pPr>
        <w:spacing w:after="0" w:line="240" w:lineRule="auto"/>
        <w:rPr>
          <w:b/>
          <w:sz w:val="28"/>
          <w:szCs w:val="28"/>
        </w:rPr>
      </w:pPr>
      <w:r>
        <w:rPr>
          <w:b/>
          <w:sz w:val="28"/>
          <w:szCs w:val="28"/>
        </w:rPr>
        <w:lastRenderedPageBreak/>
        <w:t xml:space="preserve">TABLE </w:t>
      </w:r>
      <w:r w:rsidR="00AD0883">
        <w:rPr>
          <w:b/>
          <w:sz w:val="28"/>
          <w:szCs w:val="28"/>
        </w:rPr>
        <w:t>7</w:t>
      </w:r>
      <w:r>
        <w:rPr>
          <w:b/>
          <w:sz w:val="28"/>
          <w:szCs w:val="28"/>
        </w:rPr>
        <w:t xml:space="preserve">: Average </w:t>
      </w:r>
      <w:r w:rsidR="001F727B">
        <w:rPr>
          <w:b/>
          <w:sz w:val="28"/>
          <w:szCs w:val="28"/>
        </w:rPr>
        <w:t xml:space="preserve">URS Case Duration </w:t>
      </w:r>
      <w:r w:rsidR="00766D19">
        <w:rPr>
          <w:b/>
          <w:sz w:val="28"/>
          <w:szCs w:val="28"/>
        </w:rPr>
        <w:t>in Number of Days</w:t>
      </w:r>
      <w:r w:rsidR="0063209D">
        <w:rPr>
          <w:b/>
          <w:sz w:val="28"/>
          <w:szCs w:val="28"/>
        </w:rPr>
        <w:t xml:space="preserve">, </w:t>
      </w:r>
      <w:r>
        <w:rPr>
          <w:b/>
          <w:sz w:val="28"/>
          <w:szCs w:val="28"/>
        </w:rPr>
        <w:t>by Domains within Cases:</w:t>
      </w:r>
    </w:p>
    <w:tbl>
      <w:tblPr>
        <w:tblW w:w="4300" w:type="dxa"/>
        <w:tblInd w:w="93" w:type="dxa"/>
        <w:tblLook w:val="04A0" w:firstRow="1" w:lastRow="0" w:firstColumn="1" w:lastColumn="0" w:noHBand="0" w:noVBand="1"/>
      </w:tblPr>
      <w:tblGrid>
        <w:gridCol w:w="1560"/>
        <w:gridCol w:w="2740"/>
      </w:tblGrid>
      <w:tr w:rsidR="002F1FA7" w:rsidRPr="002F1FA7" w14:paraId="4BCF5EE8" w14:textId="77777777" w:rsidTr="002F1FA7">
        <w:trPr>
          <w:trHeight w:val="300"/>
        </w:trPr>
        <w:tc>
          <w:tcPr>
            <w:tcW w:w="1560" w:type="dxa"/>
            <w:tcBorders>
              <w:top w:val="nil"/>
              <w:left w:val="nil"/>
              <w:bottom w:val="nil"/>
              <w:right w:val="nil"/>
            </w:tcBorders>
            <w:shd w:val="clear" w:color="000000" w:fill="16365C"/>
            <w:noWrap/>
            <w:vAlign w:val="bottom"/>
            <w:hideMark/>
          </w:tcPr>
          <w:p w14:paraId="62ED12ED"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p>
        </w:tc>
        <w:tc>
          <w:tcPr>
            <w:tcW w:w="2740" w:type="dxa"/>
            <w:tcBorders>
              <w:top w:val="nil"/>
              <w:left w:val="nil"/>
              <w:bottom w:val="nil"/>
              <w:right w:val="nil"/>
            </w:tcBorders>
            <w:shd w:val="clear" w:color="000000" w:fill="16365C"/>
            <w:noWrap/>
            <w:vAlign w:val="bottom"/>
            <w:hideMark/>
          </w:tcPr>
          <w:p w14:paraId="3BFBF413"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Average of Duration</w:t>
            </w:r>
          </w:p>
        </w:tc>
      </w:tr>
      <w:tr w:rsidR="002F1FA7" w:rsidRPr="002F1FA7" w14:paraId="1B16836A" w14:textId="77777777" w:rsidTr="002F1FA7">
        <w:trPr>
          <w:trHeight w:val="300"/>
        </w:trPr>
        <w:tc>
          <w:tcPr>
            <w:tcW w:w="1560" w:type="dxa"/>
            <w:tcBorders>
              <w:top w:val="nil"/>
              <w:left w:val="nil"/>
              <w:bottom w:val="nil"/>
              <w:right w:val="nil"/>
            </w:tcBorders>
            <w:shd w:val="clear" w:color="000000" w:fill="16365C"/>
            <w:noWrap/>
            <w:vAlign w:val="bottom"/>
            <w:hideMark/>
          </w:tcPr>
          <w:p w14:paraId="6D78DA9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ADNDRC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0423"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18.46</w:t>
            </w:r>
          </w:p>
        </w:tc>
      </w:tr>
      <w:tr w:rsidR="002F1FA7" w:rsidRPr="002F1FA7" w14:paraId="6A18B1A2" w14:textId="77777777" w:rsidTr="002F1FA7">
        <w:trPr>
          <w:trHeight w:val="300"/>
        </w:trPr>
        <w:tc>
          <w:tcPr>
            <w:tcW w:w="1560" w:type="dxa"/>
            <w:tcBorders>
              <w:top w:val="nil"/>
              <w:left w:val="nil"/>
              <w:bottom w:val="nil"/>
              <w:right w:val="nil"/>
            </w:tcBorders>
            <w:shd w:val="clear" w:color="000000" w:fill="16365C"/>
            <w:noWrap/>
            <w:vAlign w:val="bottom"/>
            <w:hideMark/>
          </w:tcPr>
          <w:p w14:paraId="49BC450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ADR Forum</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147B4" w14:textId="17B921B0" w:rsidR="002F1FA7" w:rsidRPr="002F1FA7" w:rsidRDefault="002F1FA7" w:rsidP="00321B9E">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17.</w:t>
            </w:r>
            <w:r w:rsidR="00321B9E">
              <w:rPr>
                <w:rFonts w:ascii="Calibri" w:eastAsia="Times New Roman" w:hAnsi="Calibri" w:cs="Times New Roman"/>
                <w:color w:val="000000"/>
              </w:rPr>
              <w:t>2</w:t>
            </w:r>
            <w:r w:rsidR="00AD0883">
              <w:rPr>
                <w:rFonts w:ascii="Calibri" w:eastAsia="Times New Roman" w:hAnsi="Calibri" w:cs="Times New Roman"/>
                <w:color w:val="000000"/>
              </w:rPr>
              <w:t>9</w:t>
            </w:r>
          </w:p>
        </w:tc>
      </w:tr>
      <w:tr w:rsidR="002F1FA7" w:rsidRPr="002F1FA7" w14:paraId="291C8F45" w14:textId="77777777" w:rsidTr="002F1FA7">
        <w:trPr>
          <w:trHeight w:val="300"/>
        </w:trPr>
        <w:tc>
          <w:tcPr>
            <w:tcW w:w="1560" w:type="dxa"/>
            <w:tcBorders>
              <w:top w:val="nil"/>
              <w:left w:val="nil"/>
              <w:bottom w:val="nil"/>
              <w:right w:val="nil"/>
            </w:tcBorders>
            <w:shd w:val="clear" w:color="000000" w:fill="16365C"/>
            <w:noWrap/>
            <w:vAlign w:val="bottom"/>
            <w:hideMark/>
          </w:tcPr>
          <w:p w14:paraId="50638D9C"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MFSD</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C79E2"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25.78</w:t>
            </w:r>
          </w:p>
        </w:tc>
      </w:tr>
      <w:tr w:rsidR="002F1FA7" w:rsidRPr="002F1FA7" w14:paraId="476FD403" w14:textId="77777777" w:rsidTr="002F1FA7">
        <w:trPr>
          <w:trHeight w:val="300"/>
        </w:trPr>
        <w:tc>
          <w:tcPr>
            <w:tcW w:w="1560" w:type="dxa"/>
            <w:tcBorders>
              <w:top w:val="nil"/>
              <w:left w:val="nil"/>
              <w:bottom w:val="nil"/>
              <w:right w:val="nil"/>
            </w:tcBorders>
            <w:shd w:val="clear" w:color="000000" w:fill="16365C"/>
            <w:noWrap/>
            <w:vAlign w:val="bottom"/>
            <w:hideMark/>
          </w:tcPr>
          <w:p w14:paraId="47B11E6F"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Total Average</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97664" w14:textId="344E229F" w:rsidR="002F1FA7" w:rsidRPr="002F1FA7" w:rsidRDefault="002F1FA7" w:rsidP="00321B9E">
            <w:pPr>
              <w:spacing w:after="0" w:line="240" w:lineRule="auto"/>
              <w:jc w:val="center"/>
              <w:rPr>
                <w:rFonts w:ascii="Calibri" w:eastAsia="Times New Roman" w:hAnsi="Calibri" w:cs="Times New Roman"/>
                <w:b/>
                <w:bCs/>
                <w:color w:val="000000"/>
              </w:rPr>
            </w:pPr>
            <w:r w:rsidRPr="002F1FA7">
              <w:rPr>
                <w:rFonts w:ascii="Calibri" w:eastAsia="Times New Roman" w:hAnsi="Calibri" w:cs="Times New Roman"/>
                <w:b/>
                <w:bCs/>
                <w:color w:val="000000"/>
              </w:rPr>
              <w:t>17.</w:t>
            </w:r>
            <w:r w:rsidR="00321B9E">
              <w:rPr>
                <w:rFonts w:ascii="Calibri" w:eastAsia="Times New Roman" w:hAnsi="Calibri" w:cs="Times New Roman"/>
                <w:b/>
                <w:bCs/>
                <w:color w:val="000000"/>
              </w:rPr>
              <w:t>39</w:t>
            </w:r>
          </w:p>
        </w:tc>
      </w:tr>
    </w:tbl>
    <w:p w14:paraId="2FB985D3" w14:textId="174AABD0" w:rsidR="006379B3" w:rsidRDefault="006379B3" w:rsidP="00665660">
      <w:pPr>
        <w:spacing w:after="0"/>
      </w:pPr>
    </w:p>
    <w:p w14:paraId="26ADF69F" w14:textId="77777777" w:rsidR="006379B3" w:rsidRDefault="006379B3">
      <w:r>
        <w:br w:type="page"/>
      </w:r>
    </w:p>
    <w:p w14:paraId="19DE9271" w14:textId="77777777" w:rsidR="00834400" w:rsidRDefault="006379B3" w:rsidP="006379B3">
      <w:pPr>
        <w:spacing w:after="0" w:line="240" w:lineRule="auto"/>
        <w:rPr>
          <w:b/>
          <w:sz w:val="28"/>
          <w:szCs w:val="28"/>
        </w:rPr>
      </w:pPr>
      <w:r>
        <w:rPr>
          <w:b/>
          <w:sz w:val="28"/>
          <w:szCs w:val="28"/>
        </w:rPr>
        <w:lastRenderedPageBreak/>
        <w:t>TABLE</w:t>
      </w:r>
      <w:r w:rsidR="0048017B">
        <w:rPr>
          <w:b/>
          <w:sz w:val="28"/>
          <w:szCs w:val="28"/>
        </w:rPr>
        <w:t xml:space="preserve">S </w:t>
      </w:r>
      <w:r w:rsidR="002615BF">
        <w:rPr>
          <w:b/>
          <w:sz w:val="28"/>
          <w:szCs w:val="28"/>
        </w:rPr>
        <w:t>8</w:t>
      </w:r>
      <w:r w:rsidR="0048017B">
        <w:rPr>
          <w:b/>
          <w:sz w:val="28"/>
          <w:szCs w:val="28"/>
        </w:rPr>
        <w:t xml:space="preserve"> &amp; </w:t>
      </w:r>
      <w:r w:rsidR="002615BF">
        <w:rPr>
          <w:b/>
          <w:sz w:val="28"/>
          <w:szCs w:val="28"/>
        </w:rPr>
        <w:t>9</w:t>
      </w:r>
      <w:r>
        <w:rPr>
          <w:b/>
          <w:sz w:val="28"/>
          <w:szCs w:val="28"/>
        </w:rPr>
        <w:t xml:space="preserve">: </w:t>
      </w:r>
      <w:r w:rsidR="0048017B">
        <w:rPr>
          <w:b/>
          <w:sz w:val="28"/>
          <w:szCs w:val="28"/>
        </w:rPr>
        <w:t>Domain Disposition of URS Cases as of May 2018</w:t>
      </w:r>
    </w:p>
    <w:p w14:paraId="698A1393" w14:textId="77777777" w:rsidR="00834400" w:rsidRDefault="00834400" w:rsidP="006379B3">
      <w:pPr>
        <w:spacing w:after="0" w:line="240" w:lineRule="auto"/>
        <w:rPr>
          <w:b/>
          <w:sz w:val="28"/>
          <w:szCs w:val="28"/>
        </w:rPr>
      </w:pPr>
    </w:p>
    <w:p w14:paraId="2468C135" w14:textId="55BD9B7A" w:rsidR="00834400" w:rsidRDefault="00647460" w:rsidP="00773972">
      <w:pPr>
        <w:pBdr>
          <w:top w:val="single" w:sz="4" w:space="1" w:color="auto"/>
          <w:left w:val="single" w:sz="4" w:space="4" w:color="auto"/>
          <w:bottom w:val="single" w:sz="4" w:space="1" w:color="auto"/>
          <w:right w:val="single" w:sz="4" w:space="4" w:color="auto"/>
        </w:pBdr>
        <w:spacing w:after="0" w:line="240" w:lineRule="auto"/>
      </w:pPr>
      <w:r>
        <w:t>SUMMARY OF INITIAL FINDINGS</w:t>
      </w:r>
    </w:p>
    <w:p w14:paraId="6B438548" w14:textId="4A3E5B4E" w:rsidR="00F846F8" w:rsidRPr="00773972" w:rsidRDefault="00F846F8" w:rsidP="00773972">
      <w:pPr>
        <w:pBdr>
          <w:top w:val="single" w:sz="4" w:space="1" w:color="auto"/>
          <w:left w:val="single" w:sz="4" w:space="4" w:color="auto"/>
          <w:bottom w:val="single" w:sz="4" w:space="1" w:color="auto"/>
          <w:right w:val="single" w:sz="4" w:space="4" w:color="auto"/>
        </w:pBdr>
        <w:spacing w:after="0" w:line="240" w:lineRule="auto"/>
      </w:pPr>
      <w:r>
        <w:t>Of the 827 URS cases decided through end-2017</w:t>
      </w:r>
      <w:r w:rsidR="00647460">
        <w:t xml:space="preserve"> (as of May 2018):</w:t>
      </w:r>
    </w:p>
    <w:p w14:paraId="0D154DAF" w14:textId="1CE5D03B"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rPr>
          <w:b/>
        </w:rPr>
      </w:pPr>
      <w:r w:rsidRPr="00773972">
        <w:rPr>
          <w:b/>
        </w:rPr>
        <w:t xml:space="preserve">28% </w:t>
      </w:r>
      <w:r w:rsidRPr="00773972">
        <w:t>of the cases (59% of domains disputed) – disposition is</w:t>
      </w:r>
      <w:r w:rsidRPr="00773972">
        <w:rPr>
          <w:b/>
        </w:rPr>
        <w:t xml:space="preserve"> “Suspended”</w:t>
      </w:r>
      <w:r w:rsidRPr="00773972">
        <w:rPr>
          <w:rStyle w:val="FootnoteReference"/>
          <w:b/>
        </w:rPr>
        <w:footnoteReference w:id="6"/>
      </w:r>
      <w:r w:rsidRPr="00773972">
        <w:rPr>
          <w:b/>
        </w:rPr>
        <w:t>.</w:t>
      </w:r>
    </w:p>
    <w:p w14:paraId="010460BC" w14:textId="2A8F593C"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27% </w:t>
      </w:r>
      <w:r w:rsidRPr="00773972">
        <w:t>of the cases (17% of the domains disputed) -</w:t>
      </w:r>
      <w:r w:rsidRPr="00773972">
        <w:rPr>
          <w:b/>
        </w:rPr>
        <w:t xml:space="preserve"> domain no longer registered </w:t>
      </w:r>
      <w:r w:rsidRPr="00773972">
        <w:t>where most were suspended after the Complainant prevailed.</w:t>
      </w:r>
    </w:p>
    <w:p w14:paraId="4318A3FB" w14:textId="2C437AA4"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30% </w:t>
      </w:r>
      <w:r w:rsidRPr="00773972">
        <w:t>of the cases (16% of the domains disputed) -</w:t>
      </w:r>
      <w:r w:rsidRPr="00773972">
        <w:rPr>
          <w:b/>
        </w:rPr>
        <w:t xml:space="preserve"> Complainant uses brand protection </w:t>
      </w:r>
      <w:r w:rsidRPr="00773972">
        <w:t xml:space="preserve">from a provider, </w:t>
      </w:r>
      <w:r w:rsidR="00647460">
        <w:t>a protected marks list</w:t>
      </w:r>
      <w:r w:rsidRPr="00773972">
        <w:t>, or</w:t>
      </w:r>
      <w:r w:rsidRPr="00773972">
        <w:rPr>
          <w:b/>
        </w:rPr>
        <w:t xml:space="preserve"> </w:t>
      </w:r>
      <w:r w:rsidR="00773972">
        <w:rPr>
          <w:b/>
        </w:rPr>
        <w:t>r</w:t>
      </w:r>
      <w:r w:rsidRPr="00773972">
        <w:rPr>
          <w:b/>
        </w:rPr>
        <w:t>eserved the name with the Registr</w:t>
      </w:r>
      <w:r>
        <w:t>y</w:t>
      </w:r>
    </w:p>
    <w:p w14:paraId="7ADB041B" w14:textId="02CD4C3C" w:rsidR="006379B3" w:rsidRDefault="006379B3" w:rsidP="006379B3">
      <w:pPr>
        <w:spacing w:after="0" w:line="240" w:lineRule="auto"/>
        <w:rPr>
          <w:b/>
          <w:sz w:val="28"/>
          <w:szCs w:val="28"/>
        </w:rPr>
      </w:pPr>
    </w:p>
    <w:tbl>
      <w:tblPr>
        <w:tblW w:w="13600" w:type="dxa"/>
        <w:tblInd w:w="93" w:type="dxa"/>
        <w:tblLook w:val="04A0" w:firstRow="1" w:lastRow="0" w:firstColumn="1" w:lastColumn="0" w:noHBand="0" w:noVBand="1"/>
      </w:tblPr>
      <w:tblGrid>
        <w:gridCol w:w="4480"/>
        <w:gridCol w:w="1840"/>
        <w:gridCol w:w="960"/>
        <w:gridCol w:w="4480"/>
        <w:gridCol w:w="1840"/>
      </w:tblGrid>
      <w:tr w:rsidR="008A2D4C" w:rsidRPr="008A2D4C" w14:paraId="38E42252" w14:textId="77777777" w:rsidTr="008A2D4C">
        <w:trPr>
          <w:trHeight w:val="300"/>
        </w:trPr>
        <w:tc>
          <w:tcPr>
            <w:tcW w:w="4480" w:type="dxa"/>
            <w:tcBorders>
              <w:top w:val="nil"/>
              <w:left w:val="nil"/>
              <w:bottom w:val="nil"/>
              <w:right w:val="nil"/>
            </w:tcBorders>
            <w:shd w:val="clear" w:color="000000" w:fill="16365C"/>
            <w:noWrap/>
            <w:vAlign w:val="bottom"/>
            <w:hideMark/>
          </w:tcPr>
          <w:p w14:paraId="47FA63E7"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6BD76BC2"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Domains</w:t>
            </w:r>
          </w:p>
        </w:tc>
        <w:tc>
          <w:tcPr>
            <w:tcW w:w="960" w:type="dxa"/>
            <w:tcBorders>
              <w:top w:val="nil"/>
              <w:left w:val="nil"/>
              <w:bottom w:val="nil"/>
              <w:right w:val="nil"/>
            </w:tcBorders>
            <w:shd w:val="clear" w:color="auto" w:fill="auto"/>
            <w:noWrap/>
            <w:vAlign w:val="bottom"/>
            <w:hideMark/>
          </w:tcPr>
          <w:p w14:paraId="424DDF5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07D3191"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1DE36D48"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Cases</w:t>
            </w:r>
          </w:p>
        </w:tc>
      </w:tr>
      <w:tr w:rsidR="008A2D4C" w:rsidRPr="008A2D4C" w14:paraId="674BF629" w14:textId="77777777" w:rsidTr="008A2D4C">
        <w:trPr>
          <w:trHeight w:val="300"/>
        </w:trPr>
        <w:tc>
          <w:tcPr>
            <w:tcW w:w="4480" w:type="dxa"/>
            <w:tcBorders>
              <w:top w:val="nil"/>
              <w:left w:val="nil"/>
              <w:bottom w:val="nil"/>
              <w:right w:val="nil"/>
            </w:tcBorders>
            <w:shd w:val="clear" w:color="000000" w:fill="16365C"/>
            <w:noWrap/>
            <w:vAlign w:val="bottom"/>
            <w:hideMark/>
          </w:tcPr>
          <w:p w14:paraId="2305825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7304"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63</w:t>
            </w:r>
          </w:p>
        </w:tc>
        <w:tc>
          <w:tcPr>
            <w:tcW w:w="960" w:type="dxa"/>
            <w:tcBorders>
              <w:top w:val="nil"/>
              <w:left w:val="nil"/>
              <w:bottom w:val="nil"/>
              <w:right w:val="nil"/>
            </w:tcBorders>
            <w:shd w:val="clear" w:color="auto" w:fill="auto"/>
            <w:noWrap/>
            <w:vAlign w:val="bottom"/>
            <w:hideMark/>
          </w:tcPr>
          <w:p w14:paraId="66571C6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6E9348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A663"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59</w:t>
            </w:r>
          </w:p>
        </w:tc>
      </w:tr>
      <w:tr w:rsidR="008A2D4C" w:rsidRPr="008A2D4C" w14:paraId="7A37A19B" w14:textId="77777777" w:rsidTr="008A2D4C">
        <w:trPr>
          <w:trHeight w:val="300"/>
        </w:trPr>
        <w:tc>
          <w:tcPr>
            <w:tcW w:w="4480" w:type="dxa"/>
            <w:tcBorders>
              <w:top w:val="nil"/>
              <w:left w:val="nil"/>
              <w:bottom w:val="nil"/>
              <w:right w:val="nil"/>
            </w:tcBorders>
            <w:shd w:val="clear" w:color="000000" w:fill="16365C"/>
            <w:noWrap/>
            <w:vAlign w:val="bottom"/>
            <w:hideMark/>
          </w:tcPr>
          <w:p w14:paraId="682F66B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83B8C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c>
          <w:tcPr>
            <w:tcW w:w="960" w:type="dxa"/>
            <w:tcBorders>
              <w:top w:val="nil"/>
              <w:left w:val="nil"/>
              <w:bottom w:val="nil"/>
              <w:right w:val="nil"/>
            </w:tcBorders>
            <w:shd w:val="clear" w:color="auto" w:fill="auto"/>
            <w:noWrap/>
            <w:vAlign w:val="bottom"/>
            <w:hideMark/>
          </w:tcPr>
          <w:p w14:paraId="41542BF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26963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5E8C4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r>
      <w:tr w:rsidR="008A2D4C" w:rsidRPr="008A2D4C" w14:paraId="3E3DEDB8" w14:textId="77777777" w:rsidTr="008A2D4C">
        <w:trPr>
          <w:trHeight w:val="300"/>
        </w:trPr>
        <w:tc>
          <w:tcPr>
            <w:tcW w:w="4480" w:type="dxa"/>
            <w:tcBorders>
              <w:top w:val="nil"/>
              <w:left w:val="nil"/>
              <w:bottom w:val="nil"/>
              <w:right w:val="nil"/>
            </w:tcBorders>
            <w:shd w:val="clear" w:color="000000" w:fill="16365C"/>
            <w:noWrap/>
            <w:vAlign w:val="bottom"/>
            <w:hideMark/>
          </w:tcPr>
          <w:p w14:paraId="433FAB2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95A3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13B219C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29377B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6405C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672118E1" w14:textId="77777777" w:rsidTr="008A2D4C">
        <w:trPr>
          <w:trHeight w:val="300"/>
        </w:trPr>
        <w:tc>
          <w:tcPr>
            <w:tcW w:w="4480" w:type="dxa"/>
            <w:tcBorders>
              <w:top w:val="nil"/>
              <w:left w:val="nil"/>
              <w:bottom w:val="nil"/>
              <w:right w:val="nil"/>
            </w:tcBorders>
            <w:shd w:val="clear" w:color="000000" w:fill="16365C"/>
            <w:noWrap/>
            <w:vAlign w:val="bottom"/>
            <w:hideMark/>
          </w:tcPr>
          <w:p w14:paraId="68D58A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3133D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14:paraId="719E992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C66ED3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A68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3248D58C" w14:textId="77777777" w:rsidTr="008A2D4C">
        <w:trPr>
          <w:trHeight w:val="300"/>
        </w:trPr>
        <w:tc>
          <w:tcPr>
            <w:tcW w:w="4480" w:type="dxa"/>
            <w:tcBorders>
              <w:top w:val="nil"/>
              <w:left w:val="nil"/>
              <w:bottom w:val="nil"/>
              <w:right w:val="nil"/>
            </w:tcBorders>
            <w:shd w:val="clear" w:color="000000" w:fill="16365C"/>
            <w:noWrap/>
            <w:vAlign w:val="bottom"/>
            <w:hideMark/>
          </w:tcPr>
          <w:p w14:paraId="7BC45A2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6C2C7D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14:paraId="6979FFF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85E682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F42F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1FC07156" w14:textId="77777777" w:rsidTr="008A2D4C">
        <w:trPr>
          <w:trHeight w:val="300"/>
        </w:trPr>
        <w:tc>
          <w:tcPr>
            <w:tcW w:w="4480" w:type="dxa"/>
            <w:tcBorders>
              <w:top w:val="nil"/>
              <w:left w:val="nil"/>
              <w:bottom w:val="nil"/>
              <w:right w:val="nil"/>
            </w:tcBorders>
            <w:shd w:val="clear" w:color="000000" w:fill="16365C"/>
            <w:noWrap/>
            <w:vAlign w:val="bottom"/>
            <w:hideMark/>
          </w:tcPr>
          <w:p w14:paraId="2F35313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AD6D7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14:paraId="664D0BF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4D153E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D8DB0B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5654A02F" w14:textId="77777777" w:rsidTr="008A2D4C">
        <w:trPr>
          <w:trHeight w:val="300"/>
        </w:trPr>
        <w:tc>
          <w:tcPr>
            <w:tcW w:w="4480" w:type="dxa"/>
            <w:tcBorders>
              <w:top w:val="nil"/>
              <w:left w:val="nil"/>
              <w:bottom w:val="nil"/>
              <w:right w:val="nil"/>
            </w:tcBorders>
            <w:shd w:val="clear" w:color="000000" w:fill="16365C"/>
            <w:noWrap/>
            <w:vAlign w:val="bottom"/>
            <w:hideMark/>
          </w:tcPr>
          <w:p w14:paraId="34C8AD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1B34AB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645B62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B68E8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AE5DE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r>
      <w:tr w:rsidR="008A2D4C" w:rsidRPr="008A2D4C" w14:paraId="48D97030" w14:textId="77777777" w:rsidTr="008A2D4C">
        <w:trPr>
          <w:trHeight w:val="300"/>
        </w:trPr>
        <w:tc>
          <w:tcPr>
            <w:tcW w:w="4480" w:type="dxa"/>
            <w:tcBorders>
              <w:top w:val="nil"/>
              <w:left w:val="nil"/>
              <w:bottom w:val="nil"/>
              <w:right w:val="nil"/>
            </w:tcBorders>
            <w:shd w:val="clear" w:color="000000" w:fill="16365C"/>
            <w:noWrap/>
            <w:vAlign w:val="bottom"/>
            <w:hideMark/>
          </w:tcPr>
          <w:p w14:paraId="0792194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E1338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81ACD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5D15B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A94C1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1FC2AD78" w14:textId="77777777" w:rsidTr="008A2D4C">
        <w:trPr>
          <w:trHeight w:val="300"/>
        </w:trPr>
        <w:tc>
          <w:tcPr>
            <w:tcW w:w="4480" w:type="dxa"/>
            <w:tcBorders>
              <w:top w:val="nil"/>
              <w:left w:val="nil"/>
              <w:bottom w:val="nil"/>
              <w:right w:val="nil"/>
            </w:tcBorders>
            <w:shd w:val="clear" w:color="000000" w:fill="16365C"/>
            <w:noWrap/>
            <w:vAlign w:val="bottom"/>
            <w:hideMark/>
          </w:tcPr>
          <w:p w14:paraId="58B1CD1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1685B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313749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C6CEC3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9AFFE7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DB7D31F" w14:textId="77777777" w:rsidTr="008A2D4C">
        <w:trPr>
          <w:trHeight w:val="300"/>
        </w:trPr>
        <w:tc>
          <w:tcPr>
            <w:tcW w:w="4480" w:type="dxa"/>
            <w:tcBorders>
              <w:top w:val="nil"/>
              <w:left w:val="nil"/>
              <w:bottom w:val="nil"/>
              <w:right w:val="nil"/>
            </w:tcBorders>
            <w:shd w:val="clear" w:color="000000" w:fill="16365C"/>
            <w:noWrap/>
            <w:vAlign w:val="bottom"/>
            <w:hideMark/>
          </w:tcPr>
          <w:p w14:paraId="0A85A6F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6236E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06E217F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ABE077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323F6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527992AB" w14:textId="77777777" w:rsidTr="008A2D4C">
        <w:trPr>
          <w:trHeight w:val="300"/>
        </w:trPr>
        <w:tc>
          <w:tcPr>
            <w:tcW w:w="4480" w:type="dxa"/>
            <w:tcBorders>
              <w:top w:val="nil"/>
              <w:left w:val="nil"/>
              <w:bottom w:val="nil"/>
              <w:right w:val="nil"/>
            </w:tcBorders>
            <w:shd w:val="clear" w:color="000000" w:fill="16365C"/>
            <w:noWrap/>
            <w:vAlign w:val="bottom"/>
            <w:hideMark/>
          </w:tcPr>
          <w:p w14:paraId="502B31A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41C313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14:paraId="68985C73"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81F89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CE46EC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4E870DF8" w14:textId="77777777" w:rsidTr="008A2D4C">
        <w:trPr>
          <w:trHeight w:val="300"/>
        </w:trPr>
        <w:tc>
          <w:tcPr>
            <w:tcW w:w="4480" w:type="dxa"/>
            <w:tcBorders>
              <w:top w:val="nil"/>
              <w:left w:val="nil"/>
              <w:bottom w:val="nil"/>
              <w:right w:val="nil"/>
            </w:tcBorders>
            <w:shd w:val="clear" w:color="000000" w:fill="16365C"/>
            <w:noWrap/>
            <w:vAlign w:val="bottom"/>
            <w:hideMark/>
          </w:tcPr>
          <w:p w14:paraId="1CFC789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AA59B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14:paraId="4E3FE7A4"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4A6609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D4247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354CC971" w14:textId="77777777" w:rsidTr="008A2D4C">
        <w:trPr>
          <w:trHeight w:val="300"/>
        </w:trPr>
        <w:tc>
          <w:tcPr>
            <w:tcW w:w="4480" w:type="dxa"/>
            <w:tcBorders>
              <w:top w:val="nil"/>
              <w:left w:val="nil"/>
              <w:bottom w:val="nil"/>
              <w:right w:val="nil"/>
            </w:tcBorders>
            <w:shd w:val="clear" w:color="000000" w:fill="16365C"/>
            <w:noWrap/>
            <w:vAlign w:val="bottom"/>
            <w:hideMark/>
          </w:tcPr>
          <w:p w14:paraId="2E2FB3C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113E4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6B8EE0D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3556B9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0DF3B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59B40E8" w14:textId="77777777" w:rsidTr="008A2D4C">
        <w:trPr>
          <w:trHeight w:val="300"/>
        </w:trPr>
        <w:tc>
          <w:tcPr>
            <w:tcW w:w="4480" w:type="dxa"/>
            <w:tcBorders>
              <w:top w:val="nil"/>
              <w:left w:val="nil"/>
              <w:bottom w:val="nil"/>
              <w:right w:val="nil"/>
            </w:tcBorders>
            <w:shd w:val="clear" w:color="000000" w:fill="16365C"/>
            <w:noWrap/>
            <w:vAlign w:val="bottom"/>
            <w:hideMark/>
          </w:tcPr>
          <w:p w14:paraId="5DD8D2D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1D2CF6"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c>
          <w:tcPr>
            <w:tcW w:w="960" w:type="dxa"/>
            <w:tcBorders>
              <w:top w:val="nil"/>
              <w:left w:val="nil"/>
              <w:bottom w:val="nil"/>
              <w:right w:val="nil"/>
            </w:tcBorders>
            <w:shd w:val="clear" w:color="auto" w:fill="auto"/>
            <w:noWrap/>
            <w:vAlign w:val="bottom"/>
            <w:hideMark/>
          </w:tcPr>
          <w:p w14:paraId="1452D5A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8DC0E7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D22A83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r>
      <w:tr w:rsidR="008A2D4C" w:rsidRPr="008A2D4C" w14:paraId="12828F9E" w14:textId="77777777" w:rsidTr="008A2D4C">
        <w:trPr>
          <w:trHeight w:val="300"/>
        </w:trPr>
        <w:tc>
          <w:tcPr>
            <w:tcW w:w="4480" w:type="dxa"/>
            <w:tcBorders>
              <w:top w:val="nil"/>
              <w:left w:val="nil"/>
              <w:bottom w:val="nil"/>
              <w:right w:val="nil"/>
            </w:tcBorders>
            <w:shd w:val="clear" w:color="000000" w:fill="16365C"/>
            <w:noWrap/>
            <w:vAlign w:val="bottom"/>
            <w:hideMark/>
          </w:tcPr>
          <w:p w14:paraId="6015EDB4"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4D02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956BF5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FF75E45"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FE86BF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41B262A0" w14:textId="77777777" w:rsidTr="008A2D4C">
        <w:trPr>
          <w:trHeight w:val="300"/>
        </w:trPr>
        <w:tc>
          <w:tcPr>
            <w:tcW w:w="4480" w:type="dxa"/>
            <w:tcBorders>
              <w:top w:val="nil"/>
              <w:left w:val="nil"/>
              <w:bottom w:val="nil"/>
              <w:right w:val="nil"/>
            </w:tcBorders>
            <w:shd w:val="clear" w:color="000000" w:fill="16365C"/>
            <w:noWrap/>
            <w:vAlign w:val="bottom"/>
            <w:hideMark/>
          </w:tcPr>
          <w:p w14:paraId="35CC4C6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B16F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4DCD6AAF"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28AC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2A78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11DB0501" w14:textId="77777777" w:rsidTr="008A2D4C">
        <w:trPr>
          <w:trHeight w:val="300"/>
        </w:trPr>
        <w:tc>
          <w:tcPr>
            <w:tcW w:w="4480" w:type="dxa"/>
            <w:tcBorders>
              <w:top w:val="nil"/>
              <w:left w:val="nil"/>
              <w:bottom w:val="nil"/>
              <w:right w:val="nil"/>
            </w:tcBorders>
            <w:shd w:val="clear" w:color="000000" w:fill="16365C"/>
            <w:noWrap/>
            <w:vAlign w:val="bottom"/>
            <w:hideMark/>
          </w:tcPr>
          <w:p w14:paraId="737E79E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1679D7"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1745</w:t>
            </w:r>
          </w:p>
        </w:tc>
        <w:tc>
          <w:tcPr>
            <w:tcW w:w="960" w:type="dxa"/>
            <w:tcBorders>
              <w:top w:val="nil"/>
              <w:left w:val="nil"/>
              <w:bottom w:val="nil"/>
              <w:right w:val="nil"/>
            </w:tcBorders>
            <w:shd w:val="clear" w:color="auto" w:fill="auto"/>
            <w:noWrap/>
            <w:vAlign w:val="bottom"/>
            <w:hideMark/>
          </w:tcPr>
          <w:p w14:paraId="374D038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08C098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756A3E9"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723</w:t>
            </w:r>
          </w:p>
        </w:tc>
      </w:tr>
      <w:tr w:rsidR="008A2D4C" w:rsidRPr="008A2D4C" w14:paraId="5D41AAF8" w14:textId="77777777" w:rsidTr="008A2D4C">
        <w:trPr>
          <w:trHeight w:val="300"/>
        </w:trPr>
        <w:tc>
          <w:tcPr>
            <w:tcW w:w="4480" w:type="dxa"/>
            <w:tcBorders>
              <w:top w:val="nil"/>
              <w:left w:val="nil"/>
              <w:bottom w:val="nil"/>
              <w:right w:val="nil"/>
            </w:tcBorders>
            <w:shd w:val="clear" w:color="000000" w:fill="16365C"/>
            <w:noWrap/>
            <w:vAlign w:val="bottom"/>
            <w:hideMark/>
          </w:tcPr>
          <w:p w14:paraId="1A5BA54C"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1155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1381</w:t>
            </w:r>
          </w:p>
        </w:tc>
        <w:tc>
          <w:tcPr>
            <w:tcW w:w="960" w:type="dxa"/>
            <w:tcBorders>
              <w:top w:val="nil"/>
              <w:left w:val="nil"/>
              <w:bottom w:val="nil"/>
              <w:right w:val="nil"/>
            </w:tcBorders>
            <w:shd w:val="clear" w:color="auto" w:fill="auto"/>
            <w:noWrap/>
            <w:vAlign w:val="bottom"/>
            <w:hideMark/>
          </w:tcPr>
          <w:p w14:paraId="7DFCCEC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6955AC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C907E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463</w:t>
            </w:r>
          </w:p>
        </w:tc>
      </w:tr>
      <w:tr w:rsidR="008A2D4C" w:rsidRPr="008A2D4C" w14:paraId="6B7371D6" w14:textId="77777777" w:rsidTr="008A2D4C">
        <w:trPr>
          <w:trHeight w:val="300"/>
        </w:trPr>
        <w:tc>
          <w:tcPr>
            <w:tcW w:w="4480" w:type="dxa"/>
            <w:tcBorders>
              <w:top w:val="nil"/>
              <w:left w:val="nil"/>
              <w:bottom w:val="nil"/>
              <w:right w:val="nil"/>
            </w:tcBorders>
            <w:shd w:val="clear" w:color="000000" w:fill="16365C"/>
            <w:noWrap/>
            <w:vAlign w:val="bottom"/>
            <w:hideMark/>
          </w:tcPr>
          <w:p w14:paraId="3B48DBD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258DB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1093</w:t>
            </w:r>
          </w:p>
        </w:tc>
        <w:tc>
          <w:tcPr>
            <w:tcW w:w="960" w:type="dxa"/>
            <w:tcBorders>
              <w:top w:val="nil"/>
              <w:left w:val="nil"/>
              <w:bottom w:val="nil"/>
              <w:right w:val="nil"/>
            </w:tcBorders>
            <w:shd w:val="clear" w:color="auto" w:fill="auto"/>
            <w:noWrap/>
            <w:vAlign w:val="bottom"/>
            <w:hideMark/>
          </w:tcPr>
          <w:p w14:paraId="3CBB309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4444C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B3997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232</w:t>
            </w:r>
          </w:p>
        </w:tc>
      </w:tr>
      <w:tr w:rsidR="008A2D4C" w:rsidRPr="008A2D4C" w14:paraId="199CFC9D" w14:textId="77777777" w:rsidTr="008A2D4C">
        <w:trPr>
          <w:trHeight w:val="300"/>
        </w:trPr>
        <w:tc>
          <w:tcPr>
            <w:tcW w:w="4480" w:type="dxa"/>
            <w:tcBorders>
              <w:top w:val="nil"/>
              <w:left w:val="nil"/>
              <w:bottom w:val="nil"/>
              <w:right w:val="nil"/>
            </w:tcBorders>
            <w:shd w:val="clear" w:color="000000" w:fill="16365C"/>
            <w:noWrap/>
            <w:vAlign w:val="bottom"/>
            <w:hideMark/>
          </w:tcPr>
          <w:p w14:paraId="46E309F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F021FE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167</w:t>
            </w:r>
          </w:p>
        </w:tc>
        <w:tc>
          <w:tcPr>
            <w:tcW w:w="960" w:type="dxa"/>
            <w:tcBorders>
              <w:top w:val="nil"/>
              <w:left w:val="nil"/>
              <w:bottom w:val="nil"/>
              <w:right w:val="nil"/>
            </w:tcBorders>
            <w:shd w:val="clear" w:color="auto" w:fill="auto"/>
            <w:noWrap/>
            <w:vAlign w:val="bottom"/>
            <w:hideMark/>
          </w:tcPr>
          <w:p w14:paraId="5F8D915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0E977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D4B12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w:t>
            </w:r>
          </w:p>
        </w:tc>
      </w:tr>
      <w:tr w:rsidR="008A2D4C" w:rsidRPr="008A2D4C" w14:paraId="6CCB8A7F" w14:textId="77777777" w:rsidTr="008A2D4C">
        <w:trPr>
          <w:trHeight w:val="300"/>
        </w:trPr>
        <w:tc>
          <w:tcPr>
            <w:tcW w:w="4480" w:type="dxa"/>
            <w:tcBorders>
              <w:top w:val="nil"/>
              <w:left w:val="nil"/>
              <w:bottom w:val="nil"/>
              <w:right w:val="nil"/>
            </w:tcBorders>
            <w:shd w:val="clear" w:color="000000" w:fill="16365C"/>
            <w:noWrap/>
            <w:vAlign w:val="bottom"/>
            <w:hideMark/>
          </w:tcPr>
          <w:p w14:paraId="3693C58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0E02F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69</w:t>
            </w:r>
          </w:p>
        </w:tc>
        <w:tc>
          <w:tcPr>
            <w:tcW w:w="960" w:type="dxa"/>
            <w:tcBorders>
              <w:top w:val="nil"/>
              <w:left w:val="nil"/>
              <w:bottom w:val="nil"/>
              <w:right w:val="nil"/>
            </w:tcBorders>
            <w:shd w:val="clear" w:color="auto" w:fill="auto"/>
            <w:noWrap/>
            <w:vAlign w:val="bottom"/>
            <w:hideMark/>
          </w:tcPr>
          <w:p w14:paraId="5A93C02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13F6185"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78D24D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50</w:t>
            </w:r>
          </w:p>
        </w:tc>
      </w:tr>
      <w:tr w:rsidR="008A2D4C" w:rsidRPr="008A2D4C" w14:paraId="1FFFAC29" w14:textId="77777777" w:rsidTr="008A2D4C">
        <w:trPr>
          <w:trHeight w:val="300"/>
        </w:trPr>
        <w:tc>
          <w:tcPr>
            <w:tcW w:w="4480" w:type="dxa"/>
            <w:tcBorders>
              <w:top w:val="nil"/>
              <w:left w:val="nil"/>
              <w:bottom w:val="nil"/>
              <w:right w:val="nil"/>
            </w:tcBorders>
            <w:shd w:val="clear" w:color="000000" w:fill="16365C"/>
            <w:noWrap/>
            <w:vAlign w:val="bottom"/>
            <w:hideMark/>
          </w:tcPr>
          <w:p w14:paraId="578D1908"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lastRenderedPageBreak/>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061B2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39</w:t>
            </w:r>
          </w:p>
        </w:tc>
        <w:tc>
          <w:tcPr>
            <w:tcW w:w="960" w:type="dxa"/>
            <w:tcBorders>
              <w:top w:val="nil"/>
              <w:left w:val="nil"/>
              <w:bottom w:val="nil"/>
              <w:right w:val="nil"/>
            </w:tcBorders>
            <w:shd w:val="clear" w:color="auto" w:fill="auto"/>
            <w:noWrap/>
            <w:vAlign w:val="bottom"/>
            <w:hideMark/>
          </w:tcPr>
          <w:p w14:paraId="144C797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4DBA8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DA8A7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34</w:t>
            </w:r>
          </w:p>
        </w:tc>
      </w:tr>
      <w:tr w:rsidR="008A2D4C" w:rsidRPr="008A2D4C" w14:paraId="1CF0D6A3" w14:textId="77777777" w:rsidTr="008A2D4C">
        <w:trPr>
          <w:trHeight w:val="300"/>
        </w:trPr>
        <w:tc>
          <w:tcPr>
            <w:tcW w:w="4480" w:type="dxa"/>
            <w:tcBorders>
              <w:top w:val="nil"/>
              <w:left w:val="nil"/>
              <w:bottom w:val="nil"/>
              <w:right w:val="nil"/>
            </w:tcBorders>
            <w:shd w:val="clear" w:color="000000" w:fill="16365C"/>
            <w:noWrap/>
            <w:vAlign w:val="bottom"/>
            <w:hideMark/>
          </w:tcPr>
          <w:p w14:paraId="2E7C771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F0764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5EF771D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D727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A0CED1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r>
      <w:tr w:rsidR="008A2D4C" w:rsidRPr="008A2D4C" w14:paraId="253AD3D9" w14:textId="77777777" w:rsidTr="008A2D4C">
        <w:trPr>
          <w:trHeight w:val="300"/>
        </w:trPr>
        <w:tc>
          <w:tcPr>
            <w:tcW w:w="4480" w:type="dxa"/>
            <w:tcBorders>
              <w:top w:val="nil"/>
              <w:left w:val="nil"/>
              <w:bottom w:val="nil"/>
              <w:right w:val="nil"/>
            </w:tcBorders>
            <w:shd w:val="clear" w:color="000000" w:fill="16365C"/>
            <w:noWrap/>
            <w:vAlign w:val="bottom"/>
            <w:hideMark/>
          </w:tcPr>
          <w:p w14:paraId="5E66FD09"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0629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776989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BC7BF2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FE0C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6B9DA859" w14:textId="77777777" w:rsidTr="008A2D4C">
        <w:trPr>
          <w:trHeight w:val="300"/>
        </w:trPr>
        <w:tc>
          <w:tcPr>
            <w:tcW w:w="4480" w:type="dxa"/>
            <w:tcBorders>
              <w:top w:val="nil"/>
              <w:left w:val="nil"/>
              <w:bottom w:val="nil"/>
              <w:right w:val="nil"/>
            </w:tcBorders>
            <w:shd w:val="clear" w:color="000000" w:fill="16365C"/>
            <w:noWrap/>
            <w:vAlign w:val="bottom"/>
            <w:hideMark/>
          </w:tcPr>
          <w:p w14:paraId="5CDDFFF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B1F2F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04C38D3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D0DE8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F341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4145C77" w14:textId="77777777" w:rsidTr="008A2D4C">
        <w:trPr>
          <w:trHeight w:val="300"/>
        </w:trPr>
        <w:tc>
          <w:tcPr>
            <w:tcW w:w="4480" w:type="dxa"/>
            <w:tcBorders>
              <w:top w:val="nil"/>
              <w:left w:val="nil"/>
              <w:bottom w:val="nil"/>
              <w:right w:val="nil"/>
            </w:tcBorders>
            <w:shd w:val="clear" w:color="000000" w:fill="16365C"/>
            <w:noWrap/>
            <w:vAlign w:val="bottom"/>
            <w:hideMark/>
          </w:tcPr>
          <w:p w14:paraId="1A504A4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53F627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364</w:t>
            </w:r>
          </w:p>
        </w:tc>
        <w:tc>
          <w:tcPr>
            <w:tcW w:w="960" w:type="dxa"/>
            <w:tcBorders>
              <w:top w:val="nil"/>
              <w:left w:val="nil"/>
              <w:bottom w:val="nil"/>
              <w:right w:val="nil"/>
            </w:tcBorders>
            <w:shd w:val="clear" w:color="auto" w:fill="auto"/>
            <w:noWrap/>
            <w:vAlign w:val="bottom"/>
            <w:hideMark/>
          </w:tcPr>
          <w:p w14:paraId="3BB01C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E4EEF6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43C61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260</w:t>
            </w:r>
          </w:p>
        </w:tc>
      </w:tr>
      <w:tr w:rsidR="008A2D4C" w:rsidRPr="008A2D4C" w14:paraId="44FA2D7F" w14:textId="77777777" w:rsidTr="008A2D4C">
        <w:trPr>
          <w:trHeight w:val="300"/>
        </w:trPr>
        <w:tc>
          <w:tcPr>
            <w:tcW w:w="4480" w:type="dxa"/>
            <w:tcBorders>
              <w:top w:val="nil"/>
              <w:left w:val="nil"/>
              <w:bottom w:val="nil"/>
              <w:right w:val="nil"/>
            </w:tcBorders>
            <w:shd w:val="clear" w:color="000000" w:fill="16365C"/>
            <w:noWrap/>
            <w:vAlign w:val="bottom"/>
            <w:hideMark/>
          </w:tcPr>
          <w:p w14:paraId="4C2C2CD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C0948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298</w:t>
            </w:r>
          </w:p>
        </w:tc>
        <w:tc>
          <w:tcPr>
            <w:tcW w:w="960" w:type="dxa"/>
            <w:tcBorders>
              <w:top w:val="nil"/>
              <w:left w:val="nil"/>
              <w:bottom w:val="nil"/>
              <w:right w:val="nil"/>
            </w:tcBorders>
            <w:shd w:val="clear" w:color="auto" w:fill="auto"/>
            <w:noWrap/>
            <w:vAlign w:val="bottom"/>
            <w:hideMark/>
          </w:tcPr>
          <w:p w14:paraId="58102018"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DAC130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D6208D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210</w:t>
            </w:r>
          </w:p>
        </w:tc>
      </w:tr>
      <w:tr w:rsidR="008A2D4C" w:rsidRPr="008A2D4C" w14:paraId="7DCF7B24" w14:textId="77777777" w:rsidTr="008A2D4C">
        <w:trPr>
          <w:trHeight w:val="300"/>
        </w:trPr>
        <w:tc>
          <w:tcPr>
            <w:tcW w:w="4480" w:type="dxa"/>
            <w:tcBorders>
              <w:top w:val="nil"/>
              <w:left w:val="nil"/>
              <w:bottom w:val="nil"/>
              <w:right w:val="nil"/>
            </w:tcBorders>
            <w:shd w:val="clear" w:color="000000" w:fill="16365C"/>
            <w:noWrap/>
            <w:vAlign w:val="bottom"/>
            <w:hideMark/>
          </w:tcPr>
          <w:p w14:paraId="4CB0319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6C0AA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58</w:t>
            </w:r>
          </w:p>
        </w:tc>
        <w:tc>
          <w:tcPr>
            <w:tcW w:w="960" w:type="dxa"/>
            <w:tcBorders>
              <w:top w:val="nil"/>
              <w:left w:val="nil"/>
              <w:bottom w:val="nil"/>
              <w:right w:val="nil"/>
            </w:tcBorders>
            <w:shd w:val="clear" w:color="auto" w:fill="auto"/>
            <w:noWrap/>
            <w:vAlign w:val="bottom"/>
            <w:hideMark/>
          </w:tcPr>
          <w:p w14:paraId="31E1B8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B7C892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A5E1A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42</w:t>
            </w:r>
          </w:p>
        </w:tc>
      </w:tr>
      <w:tr w:rsidR="008A2D4C" w:rsidRPr="008A2D4C" w14:paraId="6B4852D3" w14:textId="77777777" w:rsidTr="008A2D4C">
        <w:trPr>
          <w:trHeight w:val="300"/>
        </w:trPr>
        <w:tc>
          <w:tcPr>
            <w:tcW w:w="4480" w:type="dxa"/>
            <w:tcBorders>
              <w:top w:val="nil"/>
              <w:left w:val="nil"/>
              <w:bottom w:val="nil"/>
              <w:right w:val="nil"/>
            </w:tcBorders>
            <w:shd w:val="clear" w:color="000000" w:fill="16365C"/>
            <w:noWrap/>
            <w:vAlign w:val="bottom"/>
            <w:hideMark/>
          </w:tcPr>
          <w:p w14:paraId="1BB4175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6F0BA8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14:paraId="3C3096E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F1AB95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44539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r>
      <w:tr w:rsidR="008A2D4C" w:rsidRPr="008A2D4C" w14:paraId="464DBFB6" w14:textId="77777777" w:rsidTr="008A2D4C">
        <w:trPr>
          <w:trHeight w:val="300"/>
        </w:trPr>
        <w:tc>
          <w:tcPr>
            <w:tcW w:w="4480" w:type="dxa"/>
            <w:tcBorders>
              <w:top w:val="nil"/>
              <w:left w:val="nil"/>
              <w:bottom w:val="nil"/>
              <w:right w:val="nil"/>
            </w:tcBorders>
            <w:shd w:val="clear" w:color="000000" w:fill="16365C"/>
            <w:noWrap/>
            <w:vAlign w:val="bottom"/>
            <w:hideMark/>
          </w:tcPr>
          <w:p w14:paraId="509E499C"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7AC128"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52</w:t>
            </w:r>
          </w:p>
        </w:tc>
        <w:tc>
          <w:tcPr>
            <w:tcW w:w="960" w:type="dxa"/>
            <w:tcBorders>
              <w:top w:val="nil"/>
              <w:left w:val="nil"/>
              <w:bottom w:val="nil"/>
              <w:right w:val="nil"/>
            </w:tcBorders>
            <w:shd w:val="clear" w:color="auto" w:fill="auto"/>
            <w:noWrap/>
            <w:vAlign w:val="bottom"/>
            <w:hideMark/>
          </w:tcPr>
          <w:p w14:paraId="7751136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C62BB52"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B935B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44</w:t>
            </w:r>
          </w:p>
        </w:tc>
      </w:tr>
      <w:tr w:rsidR="008A2D4C" w:rsidRPr="008A2D4C" w14:paraId="758186C2" w14:textId="77777777" w:rsidTr="008A2D4C">
        <w:trPr>
          <w:trHeight w:val="300"/>
        </w:trPr>
        <w:tc>
          <w:tcPr>
            <w:tcW w:w="4480" w:type="dxa"/>
            <w:tcBorders>
              <w:top w:val="nil"/>
              <w:left w:val="nil"/>
              <w:bottom w:val="nil"/>
              <w:right w:val="nil"/>
            </w:tcBorders>
            <w:shd w:val="clear" w:color="000000" w:fill="16365C"/>
            <w:noWrap/>
            <w:vAlign w:val="bottom"/>
            <w:hideMark/>
          </w:tcPr>
          <w:p w14:paraId="2FC07F10"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D7496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w:t>
            </w:r>
          </w:p>
        </w:tc>
        <w:tc>
          <w:tcPr>
            <w:tcW w:w="960" w:type="dxa"/>
            <w:tcBorders>
              <w:top w:val="nil"/>
              <w:left w:val="nil"/>
              <w:bottom w:val="nil"/>
              <w:right w:val="nil"/>
            </w:tcBorders>
            <w:shd w:val="clear" w:color="auto" w:fill="auto"/>
            <w:noWrap/>
            <w:vAlign w:val="bottom"/>
            <w:hideMark/>
          </w:tcPr>
          <w:p w14:paraId="0C27BDE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BADE7D7"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A40C8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40</w:t>
            </w:r>
          </w:p>
        </w:tc>
      </w:tr>
      <w:tr w:rsidR="008A2D4C" w:rsidRPr="008A2D4C" w14:paraId="7243DB6A" w14:textId="77777777" w:rsidTr="008A2D4C">
        <w:trPr>
          <w:trHeight w:val="300"/>
        </w:trPr>
        <w:tc>
          <w:tcPr>
            <w:tcW w:w="4480" w:type="dxa"/>
            <w:tcBorders>
              <w:top w:val="nil"/>
              <w:left w:val="nil"/>
              <w:bottom w:val="nil"/>
              <w:right w:val="nil"/>
            </w:tcBorders>
            <w:shd w:val="clear" w:color="000000" w:fill="16365C"/>
            <w:noWrap/>
            <w:vAlign w:val="bottom"/>
            <w:hideMark/>
          </w:tcPr>
          <w:p w14:paraId="051BBA0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BBD06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14:paraId="27367B3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0220CF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57BEE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33</w:t>
            </w:r>
          </w:p>
        </w:tc>
      </w:tr>
      <w:tr w:rsidR="008A2D4C" w:rsidRPr="008A2D4C" w14:paraId="13B43144" w14:textId="77777777" w:rsidTr="008A2D4C">
        <w:trPr>
          <w:trHeight w:val="300"/>
        </w:trPr>
        <w:tc>
          <w:tcPr>
            <w:tcW w:w="4480" w:type="dxa"/>
            <w:tcBorders>
              <w:top w:val="nil"/>
              <w:left w:val="nil"/>
              <w:bottom w:val="nil"/>
              <w:right w:val="nil"/>
            </w:tcBorders>
            <w:shd w:val="clear" w:color="000000" w:fill="16365C"/>
            <w:noWrap/>
            <w:vAlign w:val="bottom"/>
            <w:hideMark/>
          </w:tcPr>
          <w:p w14:paraId="30456B7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398F8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14:paraId="2543DDD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7A2A3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608AA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49696688" w14:textId="77777777" w:rsidTr="008A2D4C">
        <w:trPr>
          <w:trHeight w:val="300"/>
        </w:trPr>
        <w:tc>
          <w:tcPr>
            <w:tcW w:w="4480" w:type="dxa"/>
            <w:tcBorders>
              <w:top w:val="nil"/>
              <w:left w:val="nil"/>
              <w:bottom w:val="nil"/>
              <w:right w:val="nil"/>
            </w:tcBorders>
            <w:shd w:val="clear" w:color="000000" w:fill="16365C"/>
            <w:noWrap/>
            <w:vAlign w:val="bottom"/>
            <w:hideMark/>
          </w:tcPr>
          <w:p w14:paraId="02D2B64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A77A9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16C08E"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FE6064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8C24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01991D32" w14:textId="77777777" w:rsidTr="008A2D4C">
        <w:trPr>
          <w:trHeight w:val="300"/>
        </w:trPr>
        <w:tc>
          <w:tcPr>
            <w:tcW w:w="4480" w:type="dxa"/>
            <w:tcBorders>
              <w:top w:val="nil"/>
              <w:left w:val="nil"/>
              <w:bottom w:val="nil"/>
              <w:right w:val="nil"/>
            </w:tcBorders>
            <w:shd w:val="clear" w:color="000000" w:fill="16365C"/>
            <w:noWrap/>
            <w:vAlign w:val="bottom"/>
            <w:hideMark/>
          </w:tcPr>
          <w:p w14:paraId="6B8F586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3E6D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76F9204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E572AD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1444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1AE8042" w14:textId="77777777" w:rsidTr="008A2D4C">
        <w:trPr>
          <w:trHeight w:val="300"/>
        </w:trPr>
        <w:tc>
          <w:tcPr>
            <w:tcW w:w="4480" w:type="dxa"/>
            <w:tcBorders>
              <w:top w:val="nil"/>
              <w:left w:val="nil"/>
              <w:bottom w:val="nil"/>
              <w:right w:val="nil"/>
            </w:tcBorders>
            <w:shd w:val="clear" w:color="000000" w:fill="16365C"/>
            <w:noWrap/>
            <w:vAlign w:val="bottom"/>
            <w:hideMark/>
          </w:tcPr>
          <w:p w14:paraId="6A01B8B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1746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1AE98FA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D39516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F41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2179C871" w14:textId="77777777" w:rsidTr="008A2D4C">
        <w:trPr>
          <w:trHeight w:val="300"/>
        </w:trPr>
        <w:tc>
          <w:tcPr>
            <w:tcW w:w="4480" w:type="dxa"/>
            <w:tcBorders>
              <w:top w:val="nil"/>
              <w:left w:val="nil"/>
              <w:bottom w:val="nil"/>
              <w:right w:val="nil"/>
            </w:tcBorders>
            <w:shd w:val="clear" w:color="000000" w:fill="16365C"/>
            <w:noWrap/>
            <w:vAlign w:val="bottom"/>
            <w:hideMark/>
          </w:tcPr>
          <w:p w14:paraId="0E7B41D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9A85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804B91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83CA3A1"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5E4B4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6112DCB0" w14:textId="77777777" w:rsidTr="008A2D4C">
        <w:trPr>
          <w:trHeight w:val="300"/>
        </w:trPr>
        <w:tc>
          <w:tcPr>
            <w:tcW w:w="4480" w:type="dxa"/>
            <w:tcBorders>
              <w:top w:val="nil"/>
              <w:left w:val="nil"/>
              <w:bottom w:val="nil"/>
              <w:right w:val="nil"/>
            </w:tcBorders>
            <w:shd w:val="clear" w:color="000000" w:fill="16365C"/>
            <w:noWrap/>
            <w:vAlign w:val="bottom"/>
            <w:hideMark/>
          </w:tcPr>
          <w:p w14:paraId="580B69F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E386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5F675F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B17BD6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9CEE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525C971D" w14:textId="77777777" w:rsidTr="008A2D4C">
        <w:trPr>
          <w:trHeight w:val="300"/>
        </w:trPr>
        <w:tc>
          <w:tcPr>
            <w:tcW w:w="4480" w:type="dxa"/>
            <w:tcBorders>
              <w:top w:val="nil"/>
              <w:left w:val="nil"/>
              <w:bottom w:val="nil"/>
              <w:right w:val="nil"/>
            </w:tcBorders>
            <w:shd w:val="clear" w:color="000000" w:fill="16365C"/>
            <w:noWrap/>
            <w:vAlign w:val="bottom"/>
            <w:hideMark/>
          </w:tcPr>
          <w:p w14:paraId="2BA9404D"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4A730"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1861</w:t>
            </w:r>
          </w:p>
        </w:tc>
        <w:tc>
          <w:tcPr>
            <w:tcW w:w="960" w:type="dxa"/>
            <w:tcBorders>
              <w:top w:val="nil"/>
              <w:left w:val="nil"/>
              <w:bottom w:val="nil"/>
              <w:right w:val="nil"/>
            </w:tcBorders>
            <w:shd w:val="clear" w:color="auto" w:fill="auto"/>
            <w:noWrap/>
            <w:vAlign w:val="bottom"/>
            <w:hideMark/>
          </w:tcPr>
          <w:p w14:paraId="0E5E8E6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A5844"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6907CA"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827</w:t>
            </w:r>
          </w:p>
        </w:tc>
      </w:tr>
    </w:tbl>
    <w:p w14:paraId="6852ABD3" w14:textId="77777777" w:rsidR="0048017B" w:rsidRDefault="0048017B" w:rsidP="00665660">
      <w:pPr>
        <w:spacing w:after="0"/>
      </w:pPr>
    </w:p>
    <w:p w14:paraId="180873AE" w14:textId="6E059C86" w:rsidR="002F1FA7" w:rsidRPr="0048017B" w:rsidRDefault="0048017B" w:rsidP="00665660">
      <w:pPr>
        <w:spacing w:after="0"/>
        <w:rPr>
          <w:b/>
        </w:rPr>
      </w:pPr>
      <w:r w:rsidRPr="0048017B">
        <w:rPr>
          <w:b/>
          <w:u w:val="single"/>
        </w:rPr>
        <w:t>Methodology</w:t>
      </w:r>
      <w:r w:rsidRPr="0048017B">
        <w:rPr>
          <w:b/>
        </w:rPr>
        <w:t>:</w:t>
      </w:r>
    </w:p>
    <w:p w14:paraId="35A6A026" w14:textId="6337B069" w:rsidR="00D25C89" w:rsidRDefault="007929D8" w:rsidP="00D14D76">
      <w:pPr>
        <w:pStyle w:val="ListParagraph"/>
        <w:numPr>
          <w:ilvl w:val="0"/>
          <w:numId w:val="8"/>
        </w:numPr>
        <w:spacing w:after="0"/>
      </w:pPr>
      <w:r>
        <w:t>Tables 8 &amp; 9</w:t>
      </w:r>
      <w:r w:rsidR="00D25C89">
        <w:t xml:space="preserve"> </w:t>
      </w:r>
      <w:r>
        <w:t xml:space="preserve">provide a </w:t>
      </w:r>
      <w:r w:rsidR="00D25C89">
        <w:t xml:space="preserve">snap-shot of the </w:t>
      </w:r>
      <w:r>
        <w:t xml:space="preserve">current status of all </w:t>
      </w:r>
      <w:r w:rsidR="00D25C89">
        <w:t xml:space="preserve">domains involved </w:t>
      </w:r>
      <w:r>
        <w:t xml:space="preserve">(i.e. “domain disposition”) </w:t>
      </w:r>
      <w:r w:rsidR="00D25C89">
        <w:t>in URS cases through 2017</w:t>
      </w:r>
      <w:r>
        <w:t xml:space="preserve"> at a specific point in time</w:t>
      </w:r>
      <w:r w:rsidR="00D25C89">
        <w:t xml:space="preserve">.  </w:t>
      </w:r>
      <w:r>
        <w:t xml:space="preserve">An important caveat: due to </w:t>
      </w:r>
      <w:r w:rsidR="00D25C89">
        <w:t xml:space="preserve">the dynamic nature of the domain lifecycle, results can change </w:t>
      </w:r>
      <w:r>
        <w:t>at any other point,</w:t>
      </w:r>
      <w:r w:rsidR="00D25C89">
        <w:t xml:space="preserve"> </w:t>
      </w:r>
      <w:r>
        <w:t xml:space="preserve">due to factors such as </w:t>
      </w:r>
      <w:r w:rsidR="00D25C89">
        <w:t>expir</w:t>
      </w:r>
      <w:r>
        <w:t>ing registrations</w:t>
      </w:r>
      <w:r w:rsidR="00D25C89">
        <w:t>,</w:t>
      </w:r>
      <w:r>
        <w:t xml:space="preserve"> new</w:t>
      </w:r>
      <w:r w:rsidR="00D25C89">
        <w:t xml:space="preserve"> regist</w:t>
      </w:r>
      <w:r>
        <w:t>rations</w:t>
      </w:r>
      <w:r w:rsidR="0039051F">
        <w:t xml:space="preserve">, or </w:t>
      </w:r>
      <w:r>
        <w:t xml:space="preserve">renewals </w:t>
      </w:r>
      <w:r w:rsidR="0039051F">
        <w:t xml:space="preserve">by </w:t>
      </w:r>
      <w:r>
        <w:t xml:space="preserve">either </w:t>
      </w:r>
      <w:r w:rsidR="0039051F">
        <w:t xml:space="preserve">the same </w:t>
      </w:r>
      <w:r w:rsidR="00D25C89">
        <w:t>o</w:t>
      </w:r>
      <w:r w:rsidR="0039051F">
        <w:t>r</w:t>
      </w:r>
      <w:r w:rsidR="00D25C89">
        <w:t xml:space="preserve"> </w:t>
      </w:r>
      <w:r>
        <w:t xml:space="preserve">a </w:t>
      </w:r>
      <w:r w:rsidR="00D25C89">
        <w:t xml:space="preserve">different Registrant. </w:t>
      </w:r>
      <w:r>
        <w:t>I</w:t>
      </w:r>
      <w:r w:rsidR="0039051F">
        <w:t xml:space="preserve">n some cases, </w:t>
      </w:r>
      <w:r>
        <w:t>staff found it</w:t>
      </w:r>
      <w:r w:rsidR="0039051F">
        <w:t xml:space="preserve"> difficult to </w:t>
      </w:r>
      <w:r w:rsidR="008461C5">
        <w:t xml:space="preserve">determine </w:t>
      </w:r>
      <w:r>
        <w:t xml:space="preserve">the </w:t>
      </w:r>
      <w:r w:rsidR="008461C5">
        <w:t>ultimate</w:t>
      </w:r>
      <w:r w:rsidR="0039051F">
        <w:t xml:space="preserve"> ownership and </w:t>
      </w:r>
      <w:r>
        <w:t xml:space="preserve">current </w:t>
      </w:r>
      <w:r w:rsidR="0039051F">
        <w:t xml:space="preserve">use </w:t>
      </w:r>
      <w:r>
        <w:t>of certain domains based on</w:t>
      </w:r>
      <w:r w:rsidR="008461C5">
        <w:t xml:space="preserve"> the </w:t>
      </w:r>
      <w:r w:rsidR="0039051F">
        <w:t xml:space="preserve">parties mentioned in the URS </w:t>
      </w:r>
      <w:r>
        <w:t>proceeding</w:t>
      </w:r>
      <w:r w:rsidR="0039051F">
        <w:t>.</w:t>
      </w:r>
    </w:p>
    <w:p w14:paraId="53B83AE0" w14:textId="36BC5F48" w:rsidR="00D14D76" w:rsidRDefault="007929D8" w:rsidP="00D14D76">
      <w:pPr>
        <w:pStyle w:val="ListParagraph"/>
        <w:numPr>
          <w:ilvl w:val="0"/>
          <w:numId w:val="8"/>
        </w:numPr>
        <w:spacing w:after="0"/>
      </w:pPr>
      <w:r>
        <w:t xml:space="preserve">To determine Registrant identity and the assigned name servers, a </w:t>
      </w:r>
      <w:r w:rsidR="008461C5">
        <w:t xml:space="preserve">fresh query of </w:t>
      </w:r>
      <w:proofErr w:type="spellStart"/>
      <w:r w:rsidR="002615BF">
        <w:t>W</w:t>
      </w:r>
      <w:r w:rsidR="00D14D76">
        <w:t>hois</w:t>
      </w:r>
      <w:proofErr w:type="spellEnd"/>
      <w:r w:rsidR="00D14D76">
        <w:t xml:space="preserve"> </w:t>
      </w:r>
      <w:r w:rsidR="002615BF">
        <w:t xml:space="preserve">data </w:t>
      </w:r>
      <w:r w:rsidR="000F4566">
        <w:t xml:space="preserve">was fetched </w:t>
      </w:r>
      <w:r w:rsidR="00D14D76">
        <w:t xml:space="preserve">from a 3rd-party provider </w:t>
      </w:r>
      <w:r w:rsidR="008461C5">
        <w:t xml:space="preserve">with </w:t>
      </w:r>
      <w:r w:rsidR="00D14D76">
        <w:t>execut</w:t>
      </w:r>
      <w:r w:rsidR="008461C5">
        <w:t xml:space="preserve">ion of </w:t>
      </w:r>
      <w:r w:rsidR="00D14D76">
        <w:t xml:space="preserve">a script to parse the necessary fields.  </w:t>
      </w:r>
      <w:r w:rsidR="000F4566">
        <w:t>A</w:t>
      </w:r>
      <w:r w:rsidR="003A7531">
        <w:t>nother</w:t>
      </w:r>
      <w:r w:rsidR="00D14D76">
        <w:t xml:space="preserve"> </w:t>
      </w:r>
      <w:r w:rsidR="003A7531">
        <w:t xml:space="preserve">set of </w:t>
      </w:r>
      <w:proofErr w:type="spellStart"/>
      <w:r w:rsidR="003A7531">
        <w:t>Whois</w:t>
      </w:r>
      <w:proofErr w:type="spellEnd"/>
      <w:r w:rsidR="003A7531">
        <w:t xml:space="preserve"> records for almost </w:t>
      </w:r>
      <w:r w:rsidR="00D14D76">
        <w:t xml:space="preserve">400 domains </w:t>
      </w:r>
      <w:r w:rsidR="003A7531">
        <w:t xml:space="preserve">was extracted </w:t>
      </w:r>
      <w:r w:rsidR="000F4566">
        <w:t xml:space="preserve">manually as the provider </w:t>
      </w:r>
      <w:r w:rsidR="003A7531">
        <w:t>did not have full access to</w:t>
      </w:r>
      <w:r w:rsidR="000F4566">
        <w:t xml:space="preserve"> the TLD</w:t>
      </w:r>
      <w:r w:rsidR="003A7531">
        <w:t xml:space="preserve"> information</w:t>
      </w:r>
      <w:r w:rsidR="000F4566">
        <w:t>.</w:t>
      </w:r>
    </w:p>
    <w:p w14:paraId="64DE107E" w14:textId="74816ADB" w:rsidR="00920BFC" w:rsidRDefault="00920BFC" w:rsidP="00D14D76">
      <w:pPr>
        <w:pStyle w:val="ListParagraph"/>
        <w:numPr>
          <w:ilvl w:val="0"/>
          <w:numId w:val="8"/>
        </w:numPr>
        <w:spacing w:after="0"/>
      </w:pPr>
      <w:r>
        <w:t>How the tables are arranged:</w:t>
      </w:r>
    </w:p>
    <w:p w14:paraId="2BA47449" w14:textId="22F81875" w:rsidR="00920BFC" w:rsidRDefault="00920BFC" w:rsidP="00773972">
      <w:pPr>
        <w:pStyle w:val="ListParagraph"/>
        <w:numPr>
          <w:ilvl w:val="1"/>
          <w:numId w:val="8"/>
        </w:numPr>
        <w:spacing w:after="0"/>
      </w:pPr>
      <w:r>
        <w:t>The table on the left shows domain disposition based on total number of domains involved in all 827 URS cases, with the table on the r</w:t>
      </w:r>
      <w:r w:rsidR="005A3E34">
        <w:t>ight reflecting the same data based on the number of cases.</w:t>
      </w:r>
    </w:p>
    <w:p w14:paraId="22CF0391" w14:textId="31A48523" w:rsidR="005A3E34" w:rsidRDefault="005A3E34" w:rsidP="00773972">
      <w:pPr>
        <w:pStyle w:val="ListParagraph"/>
        <w:numPr>
          <w:ilvl w:val="1"/>
          <w:numId w:val="8"/>
        </w:numPr>
        <w:spacing w:after="0"/>
      </w:pPr>
      <w:r>
        <w:t>In both tables, the data is categorized by the result in the URS proceeding (e.g. “Claim Denied”, “Split Decision” etc.)</w:t>
      </w:r>
    </w:p>
    <w:p w14:paraId="7E15FF7F" w14:textId="0D465676" w:rsidR="005A3E34" w:rsidRDefault="005A3E34" w:rsidP="00773972">
      <w:pPr>
        <w:pStyle w:val="ListParagraph"/>
        <w:numPr>
          <w:ilvl w:val="1"/>
          <w:numId w:val="8"/>
        </w:numPr>
        <w:spacing w:after="0"/>
      </w:pPr>
      <w:r>
        <w:t>In each category, the data is</w:t>
      </w:r>
      <w:r w:rsidR="00D14D76">
        <w:t xml:space="preserve"> sorted by whether the domain came back as registered; “</w:t>
      </w:r>
      <w:r w:rsidR="0039051F">
        <w:t>YES</w:t>
      </w:r>
      <w:r w:rsidR="00D14D76">
        <w:t>” or “</w:t>
      </w:r>
      <w:r w:rsidR="0039051F">
        <w:t>NO</w:t>
      </w:r>
      <w:r w:rsidR="00D14D76">
        <w:t>”</w:t>
      </w:r>
      <w:r>
        <w:t>, followed in either case by the domain</w:t>
      </w:r>
      <w:r w:rsidR="00D14D76">
        <w:t xml:space="preserve"> disposition.</w:t>
      </w:r>
    </w:p>
    <w:p w14:paraId="331BAD4F" w14:textId="58C5BEF9" w:rsidR="000F4566" w:rsidRDefault="005A3E34" w:rsidP="00773972">
      <w:pPr>
        <w:pStyle w:val="ListParagraph"/>
        <w:numPr>
          <w:ilvl w:val="1"/>
          <w:numId w:val="8"/>
        </w:numPr>
        <w:spacing w:after="0"/>
      </w:pPr>
      <w:r>
        <w:lastRenderedPageBreak/>
        <w:t xml:space="preserve">By way of </w:t>
      </w:r>
      <w:r w:rsidR="003F281E">
        <w:t xml:space="preserve">example, </w:t>
      </w:r>
      <w:r>
        <w:t xml:space="preserve">in the URS case involving </w:t>
      </w:r>
      <w:r w:rsidR="003F281E">
        <w:t xml:space="preserve">the domain </w:t>
      </w:r>
      <w:proofErr w:type="spellStart"/>
      <w:r w:rsidR="003F281E">
        <w:t>wolfram.ceo</w:t>
      </w:r>
      <w:proofErr w:type="spellEnd"/>
      <w:r>
        <w:t xml:space="preserve"> (Forum case number </w:t>
      </w:r>
      <w:r w:rsidRPr="003F281E">
        <w:t>1554143</w:t>
      </w:r>
      <w:r>
        <w:t>),</w:t>
      </w:r>
      <w:r w:rsidR="003F281E">
        <w:t xml:space="preserve"> </w:t>
      </w:r>
      <w:r>
        <w:t xml:space="preserve">the panel decided in favor of the Complainant and the domain was suspended. The tables reflect this outcome as </w:t>
      </w:r>
      <w:r w:rsidR="008461C5">
        <w:t>assigned as</w:t>
      </w:r>
      <w:r w:rsidR="003F281E">
        <w:t xml:space="preserve"> “NO”, “Claim Denied”, and its </w:t>
      </w:r>
      <w:r w:rsidR="00FA6B0D">
        <w:t xml:space="preserve">ultimate </w:t>
      </w:r>
      <w:r w:rsidR="003F281E">
        <w:t xml:space="preserve">disposition </w:t>
      </w:r>
      <w:r>
        <w:t>as</w:t>
      </w:r>
      <w:r w:rsidR="003F281E">
        <w:t xml:space="preserve"> “N</w:t>
      </w:r>
      <w:r w:rsidR="00FA6B0D">
        <w:t>ot</w:t>
      </w:r>
      <w:r w:rsidR="003F281E">
        <w:t xml:space="preserve"> Registered”. </w:t>
      </w:r>
    </w:p>
    <w:p w14:paraId="1D6B0376" w14:textId="77777777" w:rsidR="002615BF" w:rsidRDefault="002615BF" w:rsidP="00D14D76">
      <w:pPr>
        <w:pStyle w:val="ListParagraph"/>
        <w:numPr>
          <w:ilvl w:val="0"/>
          <w:numId w:val="8"/>
        </w:numPr>
        <w:spacing w:after="0"/>
      </w:pPr>
      <w:r>
        <w:t>Disposition descriptions:</w:t>
      </w:r>
    </w:p>
    <w:p w14:paraId="4FB4FCBB" w14:textId="622C78BC" w:rsidR="00D25C89" w:rsidRDefault="00D25C89" w:rsidP="002615BF">
      <w:pPr>
        <w:pStyle w:val="ListParagraph"/>
        <w:numPr>
          <w:ilvl w:val="1"/>
          <w:numId w:val="8"/>
        </w:numPr>
        <w:spacing w:after="0"/>
      </w:pPr>
      <w:r>
        <w:t>“Suspended” – the domain is assigned this category if the status of the domain, assigned name servers, and/or resolution result in the presentation of the URS Suspension page as defined in the URS</w:t>
      </w:r>
      <w:r w:rsidR="00764ECF">
        <w:t xml:space="preserve"> procedure and</w:t>
      </w:r>
      <w:r>
        <w:t xml:space="preserve"> rules.</w:t>
      </w:r>
      <w:r w:rsidR="008461C5">
        <w:t xml:space="preserve">  </w:t>
      </w:r>
      <w:r w:rsidR="00F22D98">
        <w:t xml:space="preserve">This assignment </w:t>
      </w:r>
      <w:r w:rsidR="008461C5">
        <w:t xml:space="preserve">was confirmed either by the </w:t>
      </w:r>
      <w:proofErr w:type="spellStart"/>
      <w:r w:rsidR="008461C5">
        <w:t>Whois</w:t>
      </w:r>
      <w:proofErr w:type="spellEnd"/>
      <w:r w:rsidR="008461C5">
        <w:t xml:space="preserve"> record and/or resolution of the domain via a browser.</w:t>
      </w:r>
    </w:p>
    <w:p w14:paraId="340CB37E" w14:textId="184A3C09" w:rsidR="00D25C89" w:rsidRDefault="00D25C89" w:rsidP="002615BF">
      <w:pPr>
        <w:pStyle w:val="ListParagraph"/>
        <w:numPr>
          <w:ilvl w:val="1"/>
          <w:numId w:val="8"/>
        </w:numPr>
        <w:spacing w:after="0"/>
      </w:pPr>
      <w:r>
        <w:t>“Not Registered”</w:t>
      </w:r>
      <w:r w:rsidR="0039051F">
        <w:t xml:space="preserve"> – the domain’s </w:t>
      </w:r>
      <w:proofErr w:type="spellStart"/>
      <w:r w:rsidR="0039051F">
        <w:t>Whois</w:t>
      </w:r>
      <w:proofErr w:type="spellEnd"/>
      <w:r w:rsidR="0039051F">
        <w:t xml:space="preserve"> response was returned as “NO”</w:t>
      </w:r>
      <w:r w:rsidR="008461C5">
        <w:t xml:space="preserve"> and no other </w:t>
      </w:r>
      <w:proofErr w:type="spellStart"/>
      <w:r w:rsidR="008461C5">
        <w:t>Whois</w:t>
      </w:r>
      <w:proofErr w:type="spellEnd"/>
      <w:r w:rsidR="008461C5">
        <w:t xml:space="preserve"> information was </w:t>
      </w:r>
      <w:r w:rsidR="00773972">
        <w:t>available</w:t>
      </w:r>
    </w:p>
    <w:p w14:paraId="2482B61A" w14:textId="0C8CFD14" w:rsidR="00D14D76" w:rsidRDefault="002615BF" w:rsidP="002615BF">
      <w:pPr>
        <w:pStyle w:val="ListParagraph"/>
        <w:numPr>
          <w:ilvl w:val="1"/>
          <w:numId w:val="8"/>
        </w:numPr>
        <w:spacing w:after="0"/>
      </w:pPr>
      <w:r>
        <w:t>“Brand Prot</w:t>
      </w:r>
      <w:r w:rsidR="00647460">
        <w:t>ection”, “DPML”, and “Reserved”</w:t>
      </w:r>
      <w:r w:rsidR="00D14D76">
        <w:t xml:space="preserve"> </w:t>
      </w:r>
      <w:r w:rsidR="000F4566">
        <w:t>- th</w:t>
      </w:r>
      <w:r w:rsidR="00D25C89">
        <w:t xml:space="preserve">is </w:t>
      </w:r>
      <w:r w:rsidR="003D373E">
        <w:t>terminology indicates</w:t>
      </w:r>
      <w:r w:rsidR="003F281E">
        <w:t xml:space="preserve"> that the </w:t>
      </w:r>
      <w:r w:rsidR="0039051F">
        <w:t>Complainant</w:t>
      </w:r>
      <w:r w:rsidR="003F281E">
        <w:t>/</w:t>
      </w:r>
      <w:r w:rsidR="001741F5">
        <w:t xml:space="preserve">Trademark </w:t>
      </w:r>
      <w:r w:rsidR="003F281E">
        <w:t>Owner ultimately</w:t>
      </w:r>
      <w:r w:rsidR="003D373E">
        <w:t xml:space="preserve"> </w:t>
      </w:r>
      <w:r w:rsidR="003F281E">
        <w:t>recovered</w:t>
      </w:r>
      <w:r w:rsidR="00D25C89">
        <w:t xml:space="preserve"> </w:t>
      </w:r>
      <w:r w:rsidR="0039051F">
        <w:t xml:space="preserve">the </w:t>
      </w:r>
      <w:r w:rsidR="003D373E">
        <w:t xml:space="preserve">domain, </w:t>
      </w:r>
      <w:r w:rsidR="00D25C89">
        <w:t xml:space="preserve">either by registration </w:t>
      </w:r>
      <w:r w:rsidR="0039051F">
        <w:t xml:space="preserve">via a brand protection Registrar </w:t>
      </w:r>
      <w:r w:rsidR="00D25C89">
        <w:t>or reservation</w:t>
      </w:r>
      <w:r w:rsidR="0039051F">
        <w:t xml:space="preserve"> at the Registry</w:t>
      </w:r>
      <w:r w:rsidR="00D25C89">
        <w:t>.</w:t>
      </w:r>
      <w:r w:rsidR="008461C5">
        <w:t xml:space="preserve">  </w:t>
      </w:r>
      <w:r w:rsidR="00F22D98">
        <w:t>T</w:t>
      </w:r>
      <w:r w:rsidR="008461C5">
        <w:t>his assignment was</w:t>
      </w:r>
      <w:r w:rsidR="00F22D98">
        <w:t xml:space="preserve"> mostly</w:t>
      </w:r>
      <w:r w:rsidR="008461C5">
        <w:t xml:space="preserve"> confirmed via the </w:t>
      </w:r>
      <w:proofErr w:type="spellStart"/>
      <w:r w:rsidR="008461C5">
        <w:t>Whois</w:t>
      </w:r>
      <w:proofErr w:type="spellEnd"/>
      <w:r w:rsidR="008461C5">
        <w:t xml:space="preserve"> record as to the status of the Registration or the assigned name servers.</w:t>
      </w:r>
    </w:p>
    <w:p w14:paraId="763A0AB4" w14:textId="1A8A9704" w:rsidR="000F4566" w:rsidRDefault="000F4566" w:rsidP="002615BF">
      <w:pPr>
        <w:pStyle w:val="ListParagraph"/>
        <w:numPr>
          <w:ilvl w:val="1"/>
          <w:numId w:val="8"/>
        </w:numPr>
        <w:spacing w:after="0"/>
      </w:pPr>
      <w:r>
        <w:t xml:space="preserve">“Brand Protection - UDRP” – the same definition </w:t>
      </w:r>
      <w:r w:rsidR="00F22D98">
        <w:t xml:space="preserve">as above </w:t>
      </w:r>
      <w:r>
        <w:t xml:space="preserve">applies </w:t>
      </w:r>
      <w:r w:rsidR="008461C5">
        <w:t>to</w:t>
      </w:r>
      <w:r>
        <w:t xml:space="preserve"> </w:t>
      </w:r>
      <w:r w:rsidR="00F22D98">
        <w:t xml:space="preserve">this </w:t>
      </w:r>
      <w:r w:rsidR="008461C5">
        <w:t>group</w:t>
      </w:r>
      <w:r>
        <w:t xml:space="preserve"> as it relates to the disposition of the domain</w:t>
      </w:r>
      <w:r w:rsidR="00F22D98">
        <w:t xml:space="preserve">, with the difference that </w:t>
      </w:r>
      <w:r>
        <w:t xml:space="preserve">these were </w:t>
      </w:r>
      <w:r w:rsidR="00DC0DB7">
        <w:t xml:space="preserve">ultimately </w:t>
      </w:r>
      <w:r>
        <w:t xml:space="preserve">resolved via </w:t>
      </w:r>
      <w:r w:rsidR="00DC0DB7">
        <w:t>a</w:t>
      </w:r>
      <w:r w:rsidR="00F22D98">
        <w:t xml:space="preserve"> </w:t>
      </w:r>
      <w:r>
        <w:t>UDRP</w:t>
      </w:r>
      <w:r w:rsidR="00DC0DB7">
        <w:t xml:space="preserve"> filing and decision</w:t>
      </w:r>
      <w:r>
        <w:t>.</w:t>
      </w:r>
    </w:p>
    <w:p w14:paraId="6FE18C5C" w14:textId="51D02B4D" w:rsidR="00FA6B0D" w:rsidRDefault="00D25C89" w:rsidP="00D25C89">
      <w:pPr>
        <w:pStyle w:val="ListParagraph"/>
        <w:numPr>
          <w:ilvl w:val="1"/>
          <w:numId w:val="8"/>
        </w:numPr>
        <w:spacing w:after="0"/>
      </w:pPr>
      <w:r>
        <w:t xml:space="preserve"> </w:t>
      </w:r>
      <w:r w:rsidR="00D14D76">
        <w:t>“Does Not Resolve”, “Parked”</w:t>
      </w:r>
      <w:r w:rsidR="008461C5">
        <w:t>,</w:t>
      </w:r>
      <w:r w:rsidR="00D14D76">
        <w:t xml:space="preserve"> </w:t>
      </w:r>
      <w:r w:rsidR="008461C5">
        <w:t>“Website”, and “Forwards” are</w:t>
      </w:r>
      <w:r>
        <w:t xml:space="preserve"> </w:t>
      </w:r>
      <w:r w:rsidR="00FA6B0D">
        <w:t xml:space="preserve">a group of disposition types to determine its current use.  While some </w:t>
      </w:r>
      <w:proofErr w:type="spellStart"/>
      <w:r w:rsidR="00FA6B0D">
        <w:t>Whois</w:t>
      </w:r>
      <w:proofErr w:type="spellEnd"/>
      <w:r w:rsidR="00FA6B0D">
        <w:t xml:space="preserve"> data was reviewed in determining the disposition, the browser was the tool use</w:t>
      </w:r>
      <w:r w:rsidR="00F22D98">
        <w:t>d</w:t>
      </w:r>
      <w:r w:rsidR="00FA6B0D">
        <w:t xml:space="preserve"> for final confirmation.  </w:t>
      </w:r>
    </w:p>
    <w:p w14:paraId="2CF47BB1" w14:textId="12B139D3" w:rsidR="008A2D4C" w:rsidRDefault="008A2D4C" w:rsidP="00FA6B0D">
      <w:pPr>
        <w:pStyle w:val="ListParagraph"/>
        <w:numPr>
          <w:ilvl w:val="2"/>
          <w:numId w:val="8"/>
        </w:numPr>
        <w:spacing w:after="0"/>
      </w:pPr>
      <w:r>
        <w:t xml:space="preserve">“Does Not Resolve” </w:t>
      </w:r>
      <w:r w:rsidR="00F22D98">
        <w:t>means</w:t>
      </w:r>
      <w:r>
        <w:t xml:space="preserve"> there was no resolution of the domain and the </w:t>
      </w:r>
      <w:proofErr w:type="spellStart"/>
      <w:r>
        <w:t>Whois</w:t>
      </w:r>
      <w:proofErr w:type="spellEnd"/>
      <w:r>
        <w:t xml:space="preserve"> information did not appear to reflect the Complainant/</w:t>
      </w:r>
      <w:r w:rsidR="00F22D98">
        <w:t xml:space="preserve">Trademark </w:t>
      </w:r>
      <w:r>
        <w:t>Owner.</w:t>
      </w:r>
    </w:p>
    <w:p w14:paraId="180C3102" w14:textId="3136EFE0" w:rsidR="00D25C89" w:rsidRDefault="00FA6B0D" w:rsidP="00FA6B0D">
      <w:pPr>
        <w:pStyle w:val="ListParagraph"/>
        <w:numPr>
          <w:ilvl w:val="2"/>
          <w:numId w:val="8"/>
        </w:numPr>
        <w:spacing w:after="0"/>
      </w:pPr>
      <w:r>
        <w:t xml:space="preserve">“Parked” is a somewhat loose </w:t>
      </w:r>
      <w:r w:rsidR="00F22D98">
        <w:t xml:space="preserve">term; </w:t>
      </w:r>
      <w:r>
        <w:t>it</w:t>
      </w:r>
      <w:r w:rsidR="00F22D98">
        <w:t xml:space="preserve"> i</w:t>
      </w:r>
      <w:r>
        <w:t xml:space="preserve">s </w:t>
      </w:r>
      <w:r w:rsidR="00F22D98">
        <w:t>used here to indicate</w:t>
      </w:r>
      <w:r>
        <w:t xml:space="preserve"> a Registrar landing page</w:t>
      </w:r>
      <w:r w:rsidR="00F22D98">
        <w:t>,</w:t>
      </w:r>
      <w:r>
        <w:t xml:space="preserve"> or </w:t>
      </w:r>
      <w:r w:rsidR="00F22D98">
        <w:t xml:space="preserve">that the domain </w:t>
      </w:r>
      <w:r>
        <w:t xml:space="preserve">was for sale, or the </w:t>
      </w:r>
      <w:r w:rsidR="008928AF">
        <w:t xml:space="preserve">website </w:t>
      </w:r>
      <w:r>
        <w:t xml:space="preserve">content did not appear to </w:t>
      </w:r>
      <w:r w:rsidR="008928AF">
        <w:t xml:space="preserve">reflect </w:t>
      </w:r>
      <w:r>
        <w:t>a functioning site</w:t>
      </w:r>
      <w:r w:rsidR="008A2D4C">
        <w:t xml:space="preserve"> or </w:t>
      </w:r>
      <w:r w:rsidR="008928AF">
        <w:t xml:space="preserve">be </w:t>
      </w:r>
      <w:r w:rsidR="008A2D4C">
        <w:t>related to the brand</w:t>
      </w:r>
      <w:r>
        <w:t>.</w:t>
      </w:r>
    </w:p>
    <w:p w14:paraId="4E8B9986" w14:textId="34DCBAF6" w:rsidR="00FA6B0D" w:rsidRDefault="00FA6B0D" w:rsidP="00FA6B0D">
      <w:pPr>
        <w:pStyle w:val="ListParagraph"/>
        <w:numPr>
          <w:ilvl w:val="2"/>
          <w:numId w:val="8"/>
        </w:numPr>
        <w:spacing w:after="0"/>
      </w:pPr>
      <w:r>
        <w:t xml:space="preserve">“Website” was assigned where a typical website was found, but it did not appear to be associated </w:t>
      </w:r>
      <w:r w:rsidR="008928AF">
        <w:t xml:space="preserve">with </w:t>
      </w:r>
      <w:r>
        <w:t>the Complainant/</w:t>
      </w:r>
      <w:r w:rsidR="008928AF">
        <w:t xml:space="preserve">Trademark </w:t>
      </w:r>
      <w:r>
        <w:t xml:space="preserve">Owner.  If it did appear as such, the assignment </w:t>
      </w:r>
      <w:r w:rsidR="008928AF">
        <w:t>would be</w:t>
      </w:r>
      <w:r>
        <w:t xml:space="preserve"> “Brand Protection”.</w:t>
      </w:r>
    </w:p>
    <w:p w14:paraId="4590C2D6" w14:textId="164DD1B3" w:rsidR="00D14D76" w:rsidRDefault="00FA6B0D" w:rsidP="0063594A">
      <w:pPr>
        <w:pStyle w:val="ListParagraph"/>
        <w:numPr>
          <w:ilvl w:val="2"/>
          <w:numId w:val="8"/>
        </w:numPr>
        <w:spacing w:after="0"/>
      </w:pPr>
      <w:r>
        <w:t xml:space="preserve">“Forwards” was assigned </w:t>
      </w:r>
      <w:r w:rsidR="008928AF">
        <w:t xml:space="preserve">where </w:t>
      </w:r>
      <w:r>
        <w:t>the domain resolution forwarded to a different URL that did not appear to be associated with the Complainant/</w:t>
      </w:r>
      <w:r w:rsidR="008928AF">
        <w:t xml:space="preserve">Trademark </w:t>
      </w:r>
      <w:r>
        <w:t>Owner.</w:t>
      </w:r>
    </w:p>
    <w:p w14:paraId="3478BC4E" w14:textId="77777777" w:rsidR="00BC63BF" w:rsidRDefault="00BC63BF" w:rsidP="00773972">
      <w:pPr>
        <w:spacing w:after="0"/>
        <w:ind w:left="360"/>
      </w:pPr>
    </w:p>
    <w:p w14:paraId="6CB8A487" w14:textId="0B26E37D" w:rsidR="003F281E" w:rsidRDefault="003F281E" w:rsidP="00773972"/>
    <w:p w14:paraId="47BA147E" w14:textId="77777777" w:rsidR="002615BF" w:rsidRDefault="002615BF" w:rsidP="002615BF">
      <w:pPr>
        <w:spacing w:after="0"/>
      </w:pPr>
    </w:p>
    <w:p w14:paraId="1B61E041" w14:textId="14E4D6B6" w:rsidR="002615BF" w:rsidRDefault="002615BF">
      <w:r>
        <w:br w:type="page"/>
      </w:r>
    </w:p>
    <w:p w14:paraId="6DA4B8BB" w14:textId="6DF1E7FB" w:rsidR="002615BF" w:rsidRDefault="002615BF" w:rsidP="002615BF">
      <w:pPr>
        <w:spacing w:after="0" w:line="240" w:lineRule="auto"/>
        <w:rPr>
          <w:b/>
          <w:sz w:val="28"/>
          <w:szCs w:val="28"/>
        </w:rPr>
      </w:pPr>
      <w:r>
        <w:rPr>
          <w:b/>
          <w:sz w:val="28"/>
          <w:szCs w:val="28"/>
        </w:rPr>
        <w:lastRenderedPageBreak/>
        <w:t xml:space="preserve">TABLE 10: Multiple URS Cases Against the </w:t>
      </w:r>
      <w:r w:rsidR="0086375E">
        <w:rPr>
          <w:b/>
          <w:sz w:val="28"/>
          <w:szCs w:val="28"/>
        </w:rPr>
        <w:t>S</w:t>
      </w:r>
      <w:r w:rsidR="00BC63BF">
        <w:rPr>
          <w:b/>
          <w:sz w:val="28"/>
          <w:szCs w:val="28"/>
        </w:rPr>
        <w:t xml:space="preserve">ame </w:t>
      </w:r>
      <w:r>
        <w:rPr>
          <w:b/>
          <w:sz w:val="28"/>
          <w:szCs w:val="28"/>
        </w:rPr>
        <w:t>Domain:</w:t>
      </w:r>
    </w:p>
    <w:tbl>
      <w:tblPr>
        <w:tblW w:w="14505" w:type="dxa"/>
        <w:tblInd w:w="93" w:type="dxa"/>
        <w:tblLook w:val="04A0" w:firstRow="1" w:lastRow="0" w:firstColumn="1" w:lastColumn="0" w:noHBand="0" w:noVBand="1"/>
      </w:tblPr>
      <w:tblGrid>
        <w:gridCol w:w="2805"/>
        <w:gridCol w:w="1530"/>
        <w:gridCol w:w="2070"/>
        <w:gridCol w:w="1710"/>
        <w:gridCol w:w="6390"/>
      </w:tblGrid>
      <w:tr w:rsidR="002615BF" w:rsidRPr="002F1FA7" w14:paraId="6958E526" w14:textId="6A942A4D" w:rsidTr="00CF2E4C">
        <w:trPr>
          <w:trHeight w:val="300"/>
        </w:trPr>
        <w:tc>
          <w:tcPr>
            <w:tcW w:w="2805" w:type="dxa"/>
            <w:tcBorders>
              <w:top w:val="nil"/>
              <w:left w:val="nil"/>
              <w:bottom w:val="nil"/>
              <w:right w:val="nil"/>
            </w:tcBorders>
            <w:shd w:val="clear" w:color="000000" w:fill="16365C"/>
            <w:noWrap/>
            <w:vAlign w:val="bottom"/>
            <w:hideMark/>
          </w:tcPr>
          <w:p w14:paraId="634FC841" w14:textId="499E406E" w:rsidR="002615BF" w:rsidRPr="002F1FA7" w:rsidRDefault="002615BF" w:rsidP="000F4566">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r>
              <w:rPr>
                <w:rFonts w:ascii="Calibri" w:eastAsia="Times New Roman" w:hAnsi="Calibri" w:cs="Times New Roman"/>
                <w:color w:val="FFFFFF"/>
              </w:rPr>
              <w:t>Domain</w:t>
            </w:r>
          </w:p>
        </w:tc>
        <w:tc>
          <w:tcPr>
            <w:tcW w:w="1530" w:type="dxa"/>
            <w:tcBorders>
              <w:top w:val="nil"/>
              <w:left w:val="nil"/>
              <w:bottom w:val="nil"/>
              <w:right w:val="nil"/>
            </w:tcBorders>
            <w:shd w:val="clear" w:color="000000" w:fill="16365C"/>
            <w:noWrap/>
            <w:vAlign w:val="bottom"/>
            <w:hideMark/>
          </w:tcPr>
          <w:p w14:paraId="06C25C3B" w14:textId="0BDD43E0" w:rsidR="002615BF" w:rsidRPr="002F1FA7"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Case #</w:t>
            </w:r>
          </w:p>
        </w:tc>
        <w:tc>
          <w:tcPr>
            <w:tcW w:w="2070" w:type="dxa"/>
            <w:tcBorders>
              <w:top w:val="nil"/>
              <w:left w:val="nil"/>
              <w:bottom w:val="nil"/>
              <w:right w:val="nil"/>
            </w:tcBorders>
            <w:shd w:val="clear" w:color="000000" w:fill="16365C"/>
          </w:tcPr>
          <w:p w14:paraId="5AFF4E01" w14:textId="3372726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Outcome</w:t>
            </w:r>
          </w:p>
        </w:tc>
        <w:tc>
          <w:tcPr>
            <w:tcW w:w="1710" w:type="dxa"/>
            <w:tcBorders>
              <w:top w:val="nil"/>
              <w:left w:val="nil"/>
              <w:bottom w:val="nil"/>
              <w:right w:val="nil"/>
            </w:tcBorders>
            <w:shd w:val="clear" w:color="000000" w:fill="16365C"/>
          </w:tcPr>
          <w:p w14:paraId="2656F3C9" w14:textId="489B9CC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Date</w:t>
            </w:r>
          </w:p>
        </w:tc>
        <w:tc>
          <w:tcPr>
            <w:tcW w:w="6390" w:type="dxa"/>
            <w:tcBorders>
              <w:top w:val="nil"/>
              <w:left w:val="nil"/>
              <w:bottom w:val="nil"/>
              <w:right w:val="nil"/>
            </w:tcBorders>
            <w:shd w:val="clear" w:color="000000" w:fill="16365C"/>
          </w:tcPr>
          <w:p w14:paraId="5127BA6B" w14:textId="29FD51D9" w:rsidR="002615BF"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Comments</w:t>
            </w:r>
          </w:p>
        </w:tc>
      </w:tr>
      <w:tr w:rsidR="004D39A2" w:rsidRPr="002F1FA7" w14:paraId="5BCD4746" w14:textId="77777777" w:rsidTr="00CF2E4C">
        <w:trPr>
          <w:trHeight w:val="300"/>
        </w:trPr>
        <w:tc>
          <w:tcPr>
            <w:tcW w:w="2805" w:type="dxa"/>
            <w:vMerge w:val="restart"/>
            <w:tcBorders>
              <w:top w:val="nil"/>
              <w:left w:val="nil"/>
              <w:right w:val="nil"/>
            </w:tcBorders>
            <w:shd w:val="clear" w:color="000000" w:fill="16365C"/>
            <w:noWrap/>
            <w:vAlign w:val="center"/>
          </w:tcPr>
          <w:p w14:paraId="20D4ABAF" w14:textId="77777777" w:rsidR="004D39A2" w:rsidRPr="004D39A2" w:rsidRDefault="004D39A2" w:rsidP="001E2DA8">
            <w:pPr>
              <w:spacing w:after="0" w:line="240" w:lineRule="auto"/>
              <w:rPr>
                <w:rFonts w:ascii="Calibri" w:eastAsia="Times New Roman" w:hAnsi="Calibri" w:cs="Times New Roman"/>
                <w:b/>
                <w:bCs/>
                <w:color w:val="FFFFFF"/>
              </w:rPr>
            </w:pPr>
            <w:proofErr w:type="spellStart"/>
            <w:r w:rsidRPr="004D39A2">
              <w:rPr>
                <w:rFonts w:ascii="Calibri" w:eastAsia="Times New Roman" w:hAnsi="Calibri" w:cs="Times New Roman"/>
                <w:b/>
                <w:bCs/>
                <w:color w:val="FFFFFF"/>
              </w:rPr>
              <w:t>wolfram.ceo</w:t>
            </w:r>
            <w:proofErr w:type="spellEnd"/>
          </w:p>
          <w:p w14:paraId="22CCFA41" w14:textId="68A238B7" w:rsidR="004D39A2" w:rsidRPr="004D39A2" w:rsidRDefault="001E2DA8" w:rsidP="001E2DA8">
            <w:pPr>
              <w:spacing w:after="0" w:line="240" w:lineRule="auto"/>
              <w:rPr>
                <w:rFonts w:ascii="Calibri" w:eastAsia="Times New Roman" w:hAnsi="Calibri" w:cs="Times New Roman"/>
                <w:b/>
                <w:bCs/>
                <w:color w:val="FFFFFF"/>
              </w:rPr>
            </w:pPr>
            <w:proofErr w:type="spellStart"/>
            <w:r w:rsidRPr="004D39A2">
              <w:rPr>
                <w:rFonts w:ascii="Calibri" w:eastAsia="Times New Roman" w:hAnsi="Calibri" w:cs="Times New Roman"/>
                <w:b/>
                <w:bCs/>
                <w:color w:val="FFFFFF"/>
              </w:rPr>
              <w:t>wolfram.ceo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6329" w14:textId="0A88D13D"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1553139</w:t>
            </w:r>
          </w:p>
        </w:tc>
        <w:tc>
          <w:tcPr>
            <w:tcW w:w="2070" w:type="dxa"/>
            <w:tcBorders>
              <w:top w:val="single" w:sz="4" w:space="0" w:color="auto"/>
              <w:left w:val="single" w:sz="4" w:space="0" w:color="auto"/>
              <w:bottom w:val="single" w:sz="4" w:space="0" w:color="auto"/>
              <w:right w:val="single" w:sz="4" w:space="0" w:color="auto"/>
            </w:tcBorders>
            <w:vAlign w:val="center"/>
          </w:tcPr>
          <w:p w14:paraId="794DE3AC" w14:textId="1E6908F6"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Claim Denied</w:t>
            </w:r>
          </w:p>
        </w:tc>
        <w:tc>
          <w:tcPr>
            <w:tcW w:w="1710" w:type="dxa"/>
            <w:tcBorders>
              <w:top w:val="single" w:sz="4" w:space="0" w:color="auto"/>
              <w:left w:val="single" w:sz="4" w:space="0" w:color="auto"/>
              <w:bottom w:val="single" w:sz="4" w:space="0" w:color="auto"/>
              <w:right w:val="single" w:sz="4" w:space="0" w:color="auto"/>
            </w:tcBorders>
            <w:vAlign w:val="center"/>
          </w:tcPr>
          <w:p w14:paraId="3C243E23" w14:textId="472AFEE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557099E8" w14:textId="653F003F" w:rsidR="004D39A2"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Wolfram Group LLC</w:t>
            </w:r>
          </w:p>
        </w:tc>
      </w:tr>
      <w:tr w:rsidR="004D39A2" w:rsidRPr="002F1FA7" w14:paraId="4634D618" w14:textId="7C276AAB" w:rsidTr="00CF2E4C">
        <w:trPr>
          <w:trHeight w:val="300"/>
        </w:trPr>
        <w:tc>
          <w:tcPr>
            <w:tcW w:w="2805" w:type="dxa"/>
            <w:vMerge/>
            <w:tcBorders>
              <w:left w:val="nil"/>
              <w:bottom w:val="nil"/>
              <w:right w:val="nil"/>
            </w:tcBorders>
            <w:shd w:val="clear" w:color="000000" w:fill="16365C"/>
            <w:noWrap/>
            <w:vAlign w:val="center"/>
            <w:hideMark/>
          </w:tcPr>
          <w:p w14:paraId="125BD8F8" w14:textId="6E828928" w:rsidR="004D39A2" w:rsidRPr="002F1FA7" w:rsidRDefault="004D39A2" w:rsidP="001E2DA8">
            <w:pPr>
              <w:spacing w:after="0" w:line="240" w:lineRule="auto"/>
              <w:rPr>
                <w:rFonts w:ascii="Calibri" w:eastAsia="Times New Roman" w:hAnsi="Calibri" w:cs="Times New Roman"/>
                <w:b/>
                <w:bCs/>
                <w:color w:val="FFFFFF"/>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66BA" w14:textId="65326051"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1554143</w:t>
            </w:r>
          </w:p>
        </w:tc>
        <w:tc>
          <w:tcPr>
            <w:tcW w:w="2070" w:type="dxa"/>
            <w:tcBorders>
              <w:top w:val="single" w:sz="4" w:space="0" w:color="auto"/>
              <w:left w:val="single" w:sz="4" w:space="0" w:color="auto"/>
              <w:bottom w:val="single" w:sz="4" w:space="0" w:color="auto"/>
              <w:right w:val="single" w:sz="4" w:space="0" w:color="auto"/>
            </w:tcBorders>
            <w:vAlign w:val="center"/>
          </w:tcPr>
          <w:p w14:paraId="7FE02327" w14:textId="1C7B62B5"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1E2DA8">
              <w:rPr>
                <w:rFonts w:ascii="Calibri" w:eastAsia="Times New Roman" w:hAnsi="Calibri" w:cs="Times New Roman"/>
                <w:color w:val="000000"/>
              </w:rPr>
              <w:t>Suspended</w:t>
            </w:r>
          </w:p>
        </w:tc>
        <w:tc>
          <w:tcPr>
            <w:tcW w:w="1710" w:type="dxa"/>
            <w:tcBorders>
              <w:top w:val="single" w:sz="4" w:space="0" w:color="auto"/>
              <w:left w:val="single" w:sz="4" w:space="0" w:color="auto"/>
              <w:bottom w:val="single" w:sz="4" w:space="0" w:color="auto"/>
              <w:right w:val="single" w:sz="4" w:space="0" w:color="auto"/>
            </w:tcBorders>
            <w:vAlign w:val="center"/>
          </w:tcPr>
          <w:p w14:paraId="7168820F" w14:textId="1E8EC93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0F340D1F" w14:textId="2F69F0A7" w:rsidR="004D39A2" w:rsidRPr="001E2DA8" w:rsidRDefault="001E2DA8" w:rsidP="001E2DA8">
            <w:pPr>
              <w:spacing w:after="0" w:line="240" w:lineRule="auto"/>
              <w:rPr>
                <w:rFonts w:ascii="Calibri" w:eastAsia="Times New Roman" w:hAnsi="Calibri" w:cs="Times New Roman"/>
                <w:color w:val="000000"/>
                <w:sz w:val="18"/>
                <w:szCs w:val="18"/>
              </w:rPr>
            </w:pPr>
            <w:r w:rsidRPr="001E2DA8">
              <w:rPr>
                <w:rFonts w:ascii="Calibri" w:eastAsia="Times New Roman" w:hAnsi="Calibri" w:cs="Times New Roman"/>
                <w:color w:val="000000"/>
                <w:sz w:val="18"/>
                <w:szCs w:val="18"/>
              </w:rPr>
              <w:t>same Registrant; Case appealed w/ Complainant prevailing; no longer registered</w:t>
            </w:r>
          </w:p>
        </w:tc>
      </w:tr>
      <w:tr w:rsidR="001E2DA8" w:rsidRPr="002F1FA7" w14:paraId="0385B293" w14:textId="77777777" w:rsidTr="00CF2E4C">
        <w:trPr>
          <w:trHeight w:val="300"/>
        </w:trPr>
        <w:tc>
          <w:tcPr>
            <w:tcW w:w="2805" w:type="dxa"/>
            <w:tcBorders>
              <w:top w:val="nil"/>
              <w:left w:val="nil"/>
              <w:bottom w:val="nil"/>
              <w:right w:val="nil"/>
            </w:tcBorders>
            <w:shd w:val="clear" w:color="000000" w:fill="16365C"/>
            <w:noWrap/>
            <w:vAlign w:val="center"/>
          </w:tcPr>
          <w:p w14:paraId="37D7143D" w14:textId="031DDA0C" w:rsidR="001E2DA8" w:rsidRPr="002F1FA7" w:rsidRDefault="00845B8D" w:rsidP="001E2DA8">
            <w:pPr>
              <w:spacing w:after="0" w:line="240" w:lineRule="auto"/>
              <w:rPr>
                <w:rFonts w:ascii="Calibri" w:eastAsia="Times New Roman" w:hAnsi="Calibri" w:cs="Times New Roman"/>
                <w:b/>
                <w:bCs/>
                <w:color w:val="FFFFFF"/>
              </w:rPr>
            </w:pPr>
            <w:proofErr w:type="spellStart"/>
            <w:proofErr w:type="gramStart"/>
            <w:r w:rsidRPr="00845B8D">
              <w:rPr>
                <w:rFonts w:ascii="Calibri" w:eastAsia="Times New Roman" w:hAnsi="Calibri" w:cs="Times New Roman"/>
                <w:b/>
                <w:bCs/>
                <w:color w:val="FFFFFF"/>
              </w:rPr>
              <w:t>staralliance.flights</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1303EED" w14:textId="3490E534"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1562639</w:t>
            </w:r>
          </w:p>
        </w:tc>
        <w:tc>
          <w:tcPr>
            <w:tcW w:w="2070" w:type="dxa"/>
            <w:tcBorders>
              <w:top w:val="nil"/>
              <w:left w:val="single" w:sz="4" w:space="0" w:color="auto"/>
              <w:bottom w:val="single" w:sz="4" w:space="0" w:color="auto"/>
              <w:right w:val="single" w:sz="4" w:space="0" w:color="auto"/>
            </w:tcBorders>
            <w:vAlign w:val="center"/>
          </w:tcPr>
          <w:p w14:paraId="42EAF0F9" w14:textId="35F36B8F" w:rsidR="001E2DA8" w:rsidRPr="002F1FA7" w:rsidRDefault="00845B8D"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Final /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A2B695B" w14:textId="745B2E7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June 2014</w:t>
            </w:r>
          </w:p>
        </w:tc>
        <w:tc>
          <w:tcPr>
            <w:tcW w:w="6390" w:type="dxa"/>
            <w:tcBorders>
              <w:top w:val="nil"/>
              <w:left w:val="single" w:sz="4" w:space="0" w:color="auto"/>
              <w:bottom w:val="single" w:sz="4" w:space="0" w:color="auto"/>
              <w:right w:val="single" w:sz="4" w:space="0" w:color="auto"/>
            </w:tcBorders>
            <w:vAlign w:val="center"/>
          </w:tcPr>
          <w:p w14:paraId="7E75AD49" w14:textId="1755300D" w:rsidR="001E2DA8" w:rsidRPr="001E2DA8" w:rsidRDefault="00D42A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1E2DA8" w:rsidRPr="002F1FA7" w14:paraId="60DB1B95" w14:textId="77777777" w:rsidTr="00CF2E4C">
        <w:trPr>
          <w:trHeight w:val="300"/>
        </w:trPr>
        <w:tc>
          <w:tcPr>
            <w:tcW w:w="2805" w:type="dxa"/>
            <w:tcBorders>
              <w:top w:val="nil"/>
              <w:left w:val="nil"/>
              <w:bottom w:val="nil"/>
              <w:right w:val="nil"/>
            </w:tcBorders>
            <w:shd w:val="clear" w:color="000000" w:fill="16365C"/>
            <w:noWrap/>
            <w:vAlign w:val="center"/>
          </w:tcPr>
          <w:p w14:paraId="3B2057D7" w14:textId="66C9EB94" w:rsidR="001E2DA8" w:rsidRPr="002F1FA7" w:rsidRDefault="00845B8D" w:rsidP="001E2DA8">
            <w:pPr>
              <w:spacing w:after="0" w:line="240" w:lineRule="auto"/>
              <w:rPr>
                <w:rFonts w:ascii="Calibri" w:eastAsia="Times New Roman" w:hAnsi="Calibri" w:cs="Times New Roman"/>
                <w:b/>
                <w:bCs/>
                <w:color w:val="FFFFFF"/>
              </w:rPr>
            </w:pPr>
            <w:proofErr w:type="spellStart"/>
            <w:proofErr w:type="gramStart"/>
            <w:r w:rsidRPr="00845B8D">
              <w:rPr>
                <w:rFonts w:ascii="Calibri" w:eastAsia="Times New Roman" w:hAnsi="Calibri" w:cs="Times New Roman"/>
                <w:b/>
                <w:bCs/>
                <w:color w:val="FFFFFF"/>
              </w:rPr>
              <w:t>staralliance.flights</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2D6B3E9" w14:textId="5260F635"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1665072</w:t>
            </w:r>
          </w:p>
        </w:tc>
        <w:tc>
          <w:tcPr>
            <w:tcW w:w="2070" w:type="dxa"/>
            <w:tcBorders>
              <w:top w:val="nil"/>
              <w:left w:val="single" w:sz="4" w:space="0" w:color="auto"/>
              <w:bottom w:val="single" w:sz="4" w:space="0" w:color="auto"/>
              <w:right w:val="single" w:sz="4" w:space="0" w:color="auto"/>
            </w:tcBorders>
            <w:vAlign w:val="center"/>
          </w:tcPr>
          <w:p w14:paraId="61C0E58F" w14:textId="7F0BB3A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03378B7" w14:textId="778C08C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March 2016</w:t>
            </w:r>
          </w:p>
        </w:tc>
        <w:tc>
          <w:tcPr>
            <w:tcW w:w="6390" w:type="dxa"/>
            <w:tcBorders>
              <w:top w:val="nil"/>
              <w:left w:val="single" w:sz="4" w:space="0" w:color="auto"/>
              <w:bottom w:val="single" w:sz="4" w:space="0" w:color="auto"/>
              <w:right w:val="single" w:sz="4" w:space="0" w:color="auto"/>
            </w:tcBorders>
            <w:vAlign w:val="center"/>
          </w:tcPr>
          <w:p w14:paraId="11AACF30" w14:textId="5F84D8BD" w:rsidR="001E2DA8" w:rsidRPr="001E2DA8" w:rsidRDefault="00C014A0" w:rsidP="007823D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845B8D" w:rsidRPr="00845B8D">
              <w:rPr>
                <w:rFonts w:ascii="Calibri" w:eastAsia="Times New Roman" w:hAnsi="Calibri" w:cs="Times New Roman"/>
                <w:color w:val="000000"/>
                <w:sz w:val="18"/>
                <w:szCs w:val="18"/>
              </w:rPr>
              <w:t xml:space="preserve">ifferent </w:t>
            </w:r>
            <w:proofErr w:type="spellStart"/>
            <w:r w:rsidR="00845B8D" w:rsidRPr="00845B8D">
              <w:rPr>
                <w:rFonts w:ascii="Calibri" w:eastAsia="Times New Roman" w:hAnsi="Calibri" w:cs="Times New Roman"/>
                <w:color w:val="000000"/>
                <w:sz w:val="18"/>
                <w:szCs w:val="18"/>
              </w:rPr>
              <w:t>Rt</w:t>
            </w:r>
            <w:proofErr w:type="spellEnd"/>
            <w:r>
              <w:rPr>
                <w:rFonts w:ascii="Calibri" w:eastAsia="Times New Roman" w:hAnsi="Calibri" w:cs="Times New Roman"/>
                <w:color w:val="000000"/>
                <w:sz w:val="18"/>
                <w:szCs w:val="18"/>
              </w:rPr>
              <w:t xml:space="preserve"> Mar. 2016</w:t>
            </w:r>
            <w:r w:rsidR="00845B8D" w:rsidRPr="00845B8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Suspended then deleted; </w:t>
            </w:r>
            <w:r w:rsidR="007823D6">
              <w:rPr>
                <w:rFonts w:ascii="Calibri" w:eastAsia="Times New Roman" w:hAnsi="Calibri" w:cs="Times New Roman"/>
                <w:color w:val="000000"/>
                <w:sz w:val="18"/>
                <w:szCs w:val="18"/>
              </w:rPr>
              <w:t>Registered new by Brand</w:t>
            </w:r>
          </w:p>
        </w:tc>
      </w:tr>
      <w:tr w:rsidR="001E2DA8" w:rsidRPr="002F1FA7" w14:paraId="183145AB" w14:textId="77777777" w:rsidTr="00CF2E4C">
        <w:trPr>
          <w:trHeight w:val="300"/>
        </w:trPr>
        <w:tc>
          <w:tcPr>
            <w:tcW w:w="2805" w:type="dxa"/>
            <w:tcBorders>
              <w:top w:val="nil"/>
              <w:left w:val="nil"/>
              <w:bottom w:val="nil"/>
              <w:right w:val="nil"/>
            </w:tcBorders>
            <w:shd w:val="clear" w:color="000000" w:fill="16365C"/>
            <w:noWrap/>
            <w:vAlign w:val="center"/>
          </w:tcPr>
          <w:p w14:paraId="50BE1758" w14:textId="376F6700" w:rsidR="001E2DA8" w:rsidRPr="002F1FA7" w:rsidRDefault="00845B8D" w:rsidP="001E2DA8">
            <w:pPr>
              <w:spacing w:after="0" w:line="240" w:lineRule="auto"/>
              <w:rPr>
                <w:rFonts w:ascii="Calibri" w:eastAsia="Times New Roman" w:hAnsi="Calibri" w:cs="Times New Roman"/>
                <w:b/>
                <w:bCs/>
                <w:color w:val="FFFFFF"/>
              </w:rPr>
            </w:pPr>
            <w:proofErr w:type="spellStart"/>
            <w:proofErr w:type="gramStart"/>
            <w:r w:rsidRPr="00845B8D">
              <w:rPr>
                <w:rFonts w:ascii="Calibri" w:eastAsia="Times New Roman" w:hAnsi="Calibri" w:cs="Times New Roman"/>
                <w:b/>
                <w:bCs/>
                <w:color w:val="FFFFFF"/>
              </w:rPr>
              <w:t>astonmartin.parts</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7925A3F" w14:textId="0F9BBA3E"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1571374</w:t>
            </w:r>
          </w:p>
        </w:tc>
        <w:tc>
          <w:tcPr>
            <w:tcW w:w="2070" w:type="dxa"/>
            <w:tcBorders>
              <w:top w:val="nil"/>
              <w:left w:val="single" w:sz="4" w:space="0" w:color="auto"/>
              <w:bottom w:val="single" w:sz="4" w:space="0" w:color="auto"/>
              <w:right w:val="single" w:sz="4" w:space="0" w:color="auto"/>
            </w:tcBorders>
            <w:vAlign w:val="center"/>
          </w:tcPr>
          <w:p w14:paraId="349CDD1B" w14:textId="2FB341B1"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0DB33D2" w14:textId="6B825CD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July 2014</w:t>
            </w:r>
          </w:p>
        </w:tc>
        <w:tc>
          <w:tcPr>
            <w:tcW w:w="6390" w:type="dxa"/>
            <w:tcBorders>
              <w:top w:val="nil"/>
              <w:left w:val="single" w:sz="4" w:space="0" w:color="auto"/>
              <w:bottom w:val="single" w:sz="4" w:space="0" w:color="auto"/>
              <w:right w:val="single" w:sz="4" w:space="0" w:color="auto"/>
            </w:tcBorders>
            <w:vAlign w:val="center"/>
          </w:tcPr>
          <w:p w14:paraId="745FBF0D" w14:textId="3CF950CC" w:rsidR="001E2DA8"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69BCEF3" w14:textId="77777777" w:rsidTr="00CF2E4C">
        <w:trPr>
          <w:trHeight w:val="300"/>
        </w:trPr>
        <w:tc>
          <w:tcPr>
            <w:tcW w:w="2805" w:type="dxa"/>
            <w:tcBorders>
              <w:top w:val="nil"/>
              <w:left w:val="nil"/>
              <w:bottom w:val="nil"/>
              <w:right w:val="nil"/>
            </w:tcBorders>
            <w:shd w:val="clear" w:color="000000" w:fill="16365C"/>
            <w:noWrap/>
            <w:vAlign w:val="center"/>
          </w:tcPr>
          <w:p w14:paraId="65EF31D6" w14:textId="1005021A" w:rsidR="001E2DA8" w:rsidRPr="002F1FA7" w:rsidRDefault="00845B8D" w:rsidP="001E2DA8">
            <w:pPr>
              <w:spacing w:after="0" w:line="240" w:lineRule="auto"/>
              <w:rPr>
                <w:rFonts w:ascii="Calibri" w:eastAsia="Times New Roman" w:hAnsi="Calibri" w:cs="Times New Roman"/>
                <w:b/>
                <w:bCs/>
                <w:color w:val="FFFFFF"/>
              </w:rPr>
            </w:pPr>
            <w:proofErr w:type="spellStart"/>
            <w:proofErr w:type="gramStart"/>
            <w:r w:rsidRPr="00845B8D">
              <w:rPr>
                <w:rFonts w:ascii="Calibri" w:eastAsia="Times New Roman" w:hAnsi="Calibri" w:cs="Times New Roman"/>
                <w:b/>
                <w:bCs/>
                <w:color w:val="FFFFFF"/>
              </w:rPr>
              <w:t>astonmartin.parts</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457BBF4" w14:textId="060EE62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1577822</w:t>
            </w:r>
          </w:p>
        </w:tc>
        <w:tc>
          <w:tcPr>
            <w:tcW w:w="2070" w:type="dxa"/>
            <w:tcBorders>
              <w:top w:val="nil"/>
              <w:left w:val="single" w:sz="4" w:space="0" w:color="auto"/>
              <w:bottom w:val="single" w:sz="4" w:space="0" w:color="auto"/>
              <w:right w:val="single" w:sz="4" w:space="0" w:color="auto"/>
            </w:tcBorders>
            <w:vAlign w:val="center"/>
          </w:tcPr>
          <w:p w14:paraId="54D257FB" w14:textId="762EAB7D"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248617F2" w14:textId="678AE72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475157A2" w14:textId="06AD17CD" w:rsidR="001E2DA8" w:rsidRPr="001E2DA8" w:rsidRDefault="00845B8D" w:rsidP="0024562D">
            <w:pPr>
              <w:spacing w:after="0" w:line="240" w:lineRule="auto"/>
              <w:rPr>
                <w:rFonts w:ascii="Calibri" w:eastAsia="Times New Roman" w:hAnsi="Calibri" w:cs="Times New Roman"/>
                <w:color w:val="000000"/>
                <w:sz w:val="18"/>
                <w:szCs w:val="18"/>
              </w:rPr>
            </w:pPr>
            <w:r w:rsidRPr="00845B8D">
              <w:rPr>
                <w:rFonts w:ascii="Calibri" w:eastAsia="Times New Roman" w:hAnsi="Calibri" w:cs="Times New Roman"/>
                <w:color w:val="000000"/>
                <w:sz w:val="18"/>
                <w:szCs w:val="18"/>
              </w:rPr>
              <w:t xml:space="preserve">Brand Protection </w:t>
            </w:r>
            <w:r w:rsidR="0024562D">
              <w:rPr>
                <w:rFonts w:ascii="Calibri" w:eastAsia="Times New Roman" w:hAnsi="Calibri" w:cs="Times New Roman"/>
                <w:color w:val="000000"/>
                <w:sz w:val="18"/>
                <w:szCs w:val="18"/>
              </w:rPr>
              <w:t>October 2014</w:t>
            </w:r>
          </w:p>
        </w:tc>
      </w:tr>
      <w:tr w:rsidR="00794064" w:rsidRPr="002F1FA7" w14:paraId="1A35096F" w14:textId="77777777" w:rsidTr="00CF2E4C">
        <w:trPr>
          <w:trHeight w:val="300"/>
        </w:trPr>
        <w:tc>
          <w:tcPr>
            <w:tcW w:w="2805" w:type="dxa"/>
            <w:tcBorders>
              <w:top w:val="nil"/>
              <w:left w:val="nil"/>
              <w:bottom w:val="nil"/>
              <w:right w:val="nil"/>
            </w:tcBorders>
            <w:shd w:val="clear" w:color="000000" w:fill="16365C"/>
            <w:noWrap/>
            <w:vAlign w:val="center"/>
          </w:tcPr>
          <w:p w14:paraId="4524A753" w14:textId="3FBB53A2" w:rsidR="00794064" w:rsidRPr="002F1FA7" w:rsidRDefault="00794064" w:rsidP="001E2DA8">
            <w:pPr>
              <w:spacing w:after="0" w:line="240" w:lineRule="auto"/>
              <w:rPr>
                <w:rFonts w:ascii="Calibri" w:eastAsia="Times New Roman" w:hAnsi="Calibri" w:cs="Times New Roman"/>
                <w:b/>
                <w:bCs/>
                <w:color w:val="FFFFFF"/>
              </w:rPr>
            </w:pPr>
            <w:proofErr w:type="spellStart"/>
            <w:proofErr w:type="gramStart"/>
            <w:r w:rsidRPr="00794064">
              <w:rPr>
                <w:rFonts w:ascii="Calibri" w:eastAsia="Times New Roman" w:hAnsi="Calibri" w:cs="Times New Roman"/>
                <w:b/>
                <w:bCs/>
                <w:color w:val="FFFFFF"/>
              </w:rPr>
              <w:t>oliverwyman.consulting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A33E70E" w14:textId="16FF55CD"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1573916</w:t>
            </w:r>
          </w:p>
        </w:tc>
        <w:tc>
          <w:tcPr>
            <w:tcW w:w="2070" w:type="dxa"/>
            <w:tcBorders>
              <w:top w:val="nil"/>
              <w:left w:val="single" w:sz="4" w:space="0" w:color="auto"/>
              <w:bottom w:val="single" w:sz="4" w:space="0" w:color="auto"/>
              <w:right w:val="single" w:sz="4" w:space="0" w:color="auto"/>
            </w:tcBorders>
            <w:vAlign w:val="center"/>
          </w:tcPr>
          <w:p w14:paraId="2433DE00" w14:textId="33B5067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94064">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4D87EA3" w14:textId="63B54ECE"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August 2014</w:t>
            </w:r>
          </w:p>
        </w:tc>
        <w:tc>
          <w:tcPr>
            <w:tcW w:w="6390" w:type="dxa"/>
            <w:tcBorders>
              <w:top w:val="nil"/>
              <w:left w:val="single" w:sz="4" w:space="0" w:color="auto"/>
              <w:bottom w:val="single" w:sz="4" w:space="0" w:color="auto"/>
              <w:right w:val="single" w:sz="4" w:space="0" w:color="auto"/>
            </w:tcBorders>
            <w:vAlign w:val="center"/>
          </w:tcPr>
          <w:p w14:paraId="307F2ED9" w14:textId="66722A5B"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renewed to 2016 then deleted</w:t>
            </w:r>
          </w:p>
        </w:tc>
      </w:tr>
      <w:tr w:rsidR="00794064" w:rsidRPr="002F1FA7" w14:paraId="0E4D8614" w14:textId="77777777" w:rsidTr="00CF2E4C">
        <w:trPr>
          <w:trHeight w:val="300"/>
        </w:trPr>
        <w:tc>
          <w:tcPr>
            <w:tcW w:w="2805" w:type="dxa"/>
            <w:tcBorders>
              <w:top w:val="nil"/>
              <w:left w:val="nil"/>
              <w:bottom w:val="nil"/>
              <w:right w:val="nil"/>
            </w:tcBorders>
            <w:shd w:val="clear" w:color="000000" w:fill="16365C"/>
            <w:noWrap/>
            <w:vAlign w:val="center"/>
          </w:tcPr>
          <w:p w14:paraId="7FB7AF8D" w14:textId="51202470" w:rsidR="00794064" w:rsidRPr="002F1FA7" w:rsidRDefault="00794064" w:rsidP="001E2DA8">
            <w:pPr>
              <w:spacing w:after="0" w:line="240" w:lineRule="auto"/>
              <w:rPr>
                <w:rFonts w:ascii="Calibri" w:eastAsia="Times New Roman" w:hAnsi="Calibri" w:cs="Times New Roman"/>
                <w:b/>
                <w:bCs/>
                <w:color w:val="FFFFFF"/>
              </w:rPr>
            </w:pPr>
            <w:proofErr w:type="spellStart"/>
            <w:proofErr w:type="gramStart"/>
            <w:r w:rsidRPr="00794064">
              <w:rPr>
                <w:rFonts w:ascii="Calibri" w:eastAsia="Times New Roman" w:hAnsi="Calibri" w:cs="Times New Roman"/>
                <w:b/>
                <w:bCs/>
                <w:color w:val="FFFFFF"/>
              </w:rPr>
              <w:t>oliverwyman.consulting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4D6B852" w14:textId="4A047F3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1725066</w:t>
            </w:r>
          </w:p>
        </w:tc>
        <w:tc>
          <w:tcPr>
            <w:tcW w:w="2070" w:type="dxa"/>
            <w:tcBorders>
              <w:top w:val="nil"/>
              <w:left w:val="single" w:sz="4" w:space="0" w:color="auto"/>
              <w:bottom w:val="single" w:sz="4" w:space="0" w:color="auto"/>
              <w:right w:val="single" w:sz="4" w:space="0" w:color="auto"/>
            </w:tcBorders>
            <w:vAlign w:val="center"/>
          </w:tcPr>
          <w:p w14:paraId="7C6A049E" w14:textId="39E67FA8"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A4011A5" w14:textId="34C41AC7"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56F19E2A" w14:textId="53B8B778"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Different </w:t>
            </w:r>
            <w:proofErr w:type="spellStart"/>
            <w:r>
              <w:rPr>
                <w:rFonts w:ascii="Calibri" w:eastAsia="Times New Roman" w:hAnsi="Calibri" w:cs="Times New Roman"/>
                <w:color w:val="000000"/>
                <w:sz w:val="18"/>
                <w:szCs w:val="18"/>
              </w:rPr>
              <w:t>Rt</w:t>
            </w:r>
            <w:proofErr w:type="spellEnd"/>
            <w:r>
              <w:rPr>
                <w:rFonts w:ascii="Calibri" w:eastAsia="Times New Roman" w:hAnsi="Calibri" w:cs="Times New Roman"/>
                <w:color w:val="000000"/>
                <w:sz w:val="18"/>
                <w:szCs w:val="18"/>
              </w:rPr>
              <w:t xml:space="preserve"> Mar. 2017; Brand Protection May 2017</w:t>
            </w:r>
          </w:p>
        </w:tc>
      </w:tr>
      <w:tr w:rsidR="00794064" w:rsidRPr="002F1FA7" w14:paraId="0BF8A358" w14:textId="77777777" w:rsidTr="00CF2E4C">
        <w:trPr>
          <w:trHeight w:val="300"/>
        </w:trPr>
        <w:tc>
          <w:tcPr>
            <w:tcW w:w="2805" w:type="dxa"/>
            <w:tcBorders>
              <w:top w:val="nil"/>
              <w:left w:val="nil"/>
              <w:bottom w:val="nil"/>
              <w:right w:val="nil"/>
            </w:tcBorders>
            <w:shd w:val="clear" w:color="000000" w:fill="16365C"/>
            <w:noWrap/>
            <w:vAlign w:val="center"/>
          </w:tcPr>
          <w:p w14:paraId="4F1D786B" w14:textId="6EB61718" w:rsidR="00794064" w:rsidRPr="002F1FA7" w:rsidRDefault="007823D6" w:rsidP="001E2DA8">
            <w:pPr>
              <w:spacing w:after="0" w:line="240" w:lineRule="auto"/>
              <w:rPr>
                <w:rFonts w:ascii="Calibri" w:eastAsia="Times New Roman" w:hAnsi="Calibri" w:cs="Times New Roman"/>
                <w:b/>
                <w:bCs/>
                <w:color w:val="FFFFFF"/>
              </w:rPr>
            </w:pPr>
            <w:proofErr w:type="spellStart"/>
            <w:r w:rsidRPr="007823D6">
              <w:rPr>
                <w:rFonts w:ascii="Calibri" w:eastAsia="Times New Roman" w:hAnsi="Calibri" w:cs="Times New Roman"/>
                <w:b/>
                <w:bCs/>
                <w:color w:val="FFFFFF"/>
              </w:rPr>
              <w:t>morganstanley.top</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8A181D4" w14:textId="773599EB"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1591049</w:t>
            </w:r>
          </w:p>
        </w:tc>
        <w:tc>
          <w:tcPr>
            <w:tcW w:w="2070" w:type="dxa"/>
            <w:tcBorders>
              <w:top w:val="nil"/>
              <w:left w:val="single" w:sz="4" w:space="0" w:color="auto"/>
              <w:bottom w:val="single" w:sz="4" w:space="0" w:color="auto"/>
              <w:right w:val="single" w:sz="4" w:space="0" w:color="auto"/>
            </w:tcBorders>
            <w:vAlign w:val="center"/>
          </w:tcPr>
          <w:p w14:paraId="26FE7D81" w14:textId="1E981029"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C218F64" w14:textId="13728AB8"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December 2014</w:t>
            </w:r>
          </w:p>
        </w:tc>
        <w:tc>
          <w:tcPr>
            <w:tcW w:w="6390" w:type="dxa"/>
            <w:tcBorders>
              <w:top w:val="nil"/>
              <w:left w:val="single" w:sz="4" w:space="0" w:color="auto"/>
              <w:bottom w:val="single" w:sz="4" w:space="0" w:color="auto"/>
              <w:right w:val="single" w:sz="4" w:space="0" w:color="auto"/>
            </w:tcBorders>
            <w:vAlign w:val="center"/>
          </w:tcPr>
          <w:p w14:paraId="7E86946A" w14:textId="23C3EC3B" w:rsidR="00794064" w:rsidRPr="001E2DA8" w:rsidRDefault="00D835FD" w:rsidP="00D835F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w:t>
            </w:r>
            <w:r w:rsidR="007823D6">
              <w:rPr>
                <w:rFonts w:ascii="Calibri" w:eastAsia="Times New Roman" w:hAnsi="Calibri" w:cs="Times New Roman"/>
                <w:color w:val="000000"/>
                <w:sz w:val="18"/>
                <w:szCs w:val="18"/>
              </w:rPr>
              <w:t xml:space="preserve"> to determine if name was </w:t>
            </w:r>
            <w:r>
              <w:rPr>
                <w:rFonts w:ascii="Calibri" w:eastAsia="Times New Roman" w:hAnsi="Calibri" w:cs="Times New Roman"/>
                <w:color w:val="000000"/>
                <w:sz w:val="18"/>
                <w:szCs w:val="18"/>
              </w:rPr>
              <w:t>suspended</w:t>
            </w:r>
            <w:r w:rsidR="007823D6">
              <w:rPr>
                <w:rFonts w:ascii="Calibri" w:eastAsia="Times New Roman" w:hAnsi="Calibri" w:cs="Times New Roman"/>
                <w:color w:val="000000"/>
                <w:sz w:val="18"/>
                <w:szCs w:val="18"/>
              </w:rPr>
              <w:t>; renewed in 2015; deleted in 2016</w:t>
            </w:r>
          </w:p>
        </w:tc>
      </w:tr>
      <w:tr w:rsidR="00794064" w:rsidRPr="002F1FA7" w14:paraId="60776911" w14:textId="77777777" w:rsidTr="00CF2E4C">
        <w:trPr>
          <w:trHeight w:val="300"/>
        </w:trPr>
        <w:tc>
          <w:tcPr>
            <w:tcW w:w="2805" w:type="dxa"/>
            <w:tcBorders>
              <w:top w:val="nil"/>
              <w:left w:val="nil"/>
              <w:bottom w:val="nil"/>
              <w:right w:val="nil"/>
            </w:tcBorders>
            <w:shd w:val="clear" w:color="000000" w:fill="16365C"/>
            <w:noWrap/>
            <w:vAlign w:val="center"/>
          </w:tcPr>
          <w:p w14:paraId="5C9F0B9B" w14:textId="0F2DD0B7" w:rsidR="00794064" w:rsidRPr="002F1FA7" w:rsidRDefault="007823D6" w:rsidP="001E2DA8">
            <w:pPr>
              <w:spacing w:after="0" w:line="240" w:lineRule="auto"/>
              <w:rPr>
                <w:rFonts w:ascii="Calibri" w:eastAsia="Times New Roman" w:hAnsi="Calibri" w:cs="Times New Roman"/>
                <w:b/>
                <w:bCs/>
                <w:color w:val="FFFFFF"/>
              </w:rPr>
            </w:pPr>
            <w:proofErr w:type="spellStart"/>
            <w:r w:rsidRPr="007823D6">
              <w:rPr>
                <w:rFonts w:ascii="Calibri" w:eastAsia="Times New Roman" w:hAnsi="Calibri" w:cs="Times New Roman"/>
                <w:b/>
                <w:bCs/>
                <w:color w:val="FFFFFF"/>
              </w:rPr>
              <w:t>morganstanley.top</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C8D32B1" w14:textId="5CA275AC"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1734288</w:t>
            </w:r>
          </w:p>
        </w:tc>
        <w:tc>
          <w:tcPr>
            <w:tcW w:w="2070" w:type="dxa"/>
            <w:tcBorders>
              <w:top w:val="nil"/>
              <w:left w:val="single" w:sz="4" w:space="0" w:color="auto"/>
              <w:bottom w:val="single" w:sz="4" w:space="0" w:color="auto"/>
              <w:right w:val="single" w:sz="4" w:space="0" w:color="auto"/>
            </w:tcBorders>
            <w:vAlign w:val="center"/>
          </w:tcPr>
          <w:p w14:paraId="2FDE9408" w14:textId="744233D5"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E1C7AF" w14:textId="18348F84"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58B630B5" w14:textId="77D79BF8" w:rsidR="00794064" w:rsidRPr="001E2DA8" w:rsidRDefault="007823D6"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Different Rt. May 2017; </w:t>
            </w:r>
            <w:r w:rsidR="00D835FD">
              <w:rPr>
                <w:rFonts w:ascii="Calibri" w:eastAsia="Times New Roman" w:hAnsi="Calibri" w:cs="Times New Roman"/>
                <w:color w:val="000000"/>
                <w:sz w:val="18"/>
                <w:szCs w:val="18"/>
              </w:rPr>
              <w:t>Unable to determine if name was suspended; Pending Del</w:t>
            </w:r>
          </w:p>
        </w:tc>
      </w:tr>
      <w:tr w:rsidR="00794064" w:rsidRPr="002F1FA7" w14:paraId="29F500E7" w14:textId="77777777" w:rsidTr="00CF2E4C">
        <w:trPr>
          <w:trHeight w:val="300"/>
        </w:trPr>
        <w:tc>
          <w:tcPr>
            <w:tcW w:w="2805" w:type="dxa"/>
            <w:tcBorders>
              <w:top w:val="nil"/>
              <w:left w:val="nil"/>
              <w:bottom w:val="nil"/>
              <w:right w:val="nil"/>
            </w:tcBorders>
            <w:shd w:val="clear" w:color="000000" w:fill="16365C"/>
            <w:noWrap/>
            <w:vAlign w:val="center"/>
          </w:tcPr>
          <w:p w14:paraId="60069ECB" w14:textId="62029A78" w:rsidR="00794064" w:rsidRPr="002F1FA7" w:rsidRDefault="00D835FD" w:rsidP="001E2DA8">
            <w:pPr>
              <w:spacing w:after="0" w:line="240" w:lineRule="auto"/>
              <w:rPr>
                <w:rFonts w:ascii="Calibri" w:eastAsia="Times New Roman" w:hAnsi="Calibri" w:cs="Times New Roman"/>
                <w:b/>
                <w:bCs/>
                <w:color w:val="FFFFFF"/>
              </w:rPr>
            </w:pPr>
            <w:proofErr w:type="spellStart"/>
            <w:proofErr w:type="gramStart"/>
            <w:r w:rsidRPr="00D835FD">
              <w:rPr>
                <w:rFonts w:ascii="Calibri" w:eastAsia="Times New Roman" w:hAnsi="Calibri" w:cs="Times New Roman"/>
                <w:b/>
                <w:bCs/>
                <w:color w:val="FFFFFF"/>
              </w:rPr>
              <w:t>skx.science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906C7FB" w14:textId="5418D9AB"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1609616</w:t>
            </w:r>
          </w:p>
        </w:tc>
        <w:tc>
          <w:tcPr>
            <w:tcW w:w="2070" w:type="dxa"/>
            <w:tcBorders>
              <w:top w:val="nil"/>
              <w:left w:val="single" w:sz="4" w:space="0" w:color="auto"/>
              <w:bottom w:val="single" w:sz="4" w:space="0" w:color="auto"/>
              <w:right w:val="single" w:sz="4" w:space="0" w:color="auto"/>
            </w:tcBorders>
            <w:vAlign w:val="center"/>
          </w:tcPr>
          <w:p w14:paraId="1432DA27" w14:textId="4F73EBBD"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DE7C848" w14:textId="20E16C3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3FFB6240" w14:textId="4FCDE69F" w:rsidR="00794064" w:rsidRPr="001E2DA8" w:rsidRDefault="00A84C2A" w:rsidP="001E2DA8">
            <w:pPr>
              <w:spacing w:after="0" w:line="240" w:lineRule="auto"/>
              <w:rPr>
                <w:rFonts w:ascii="Calibri" w:eastAsia="Times New Roman" w:hAnsi="Calibri" w:cs="Times New Roman"/>
                <w:color w:val="000000"/>
                <w:sz w:val="18"/>
                <w:szCs w:val="18"/>
              </w:rPr>
            </w:pPr>
            <w:r w:rsidRPr="00A84C2A">
              <w:rPr>
                <w:rFonts w:ascii="Calibri" w:eastAsia="Times New Roman" w:hAnsi="Calibri" w:cs="Times New Roman"/>
                <w:color w:val="000000"/>
                <w:sz w:val="18"/>
                <w:szCs w:val="18"/>
              </w:rPr>
              <w:t>Lack of evidence to demonstrate why Rt. does not have legitimate right or interest</w:t>
            </w:r>
          </w:p>
        </w:tc>
      </w:tr>
      <w:tr w:rsidR="00794064" w:rsidRPr="002F1FA7" w14:paraId="11B0B87D" w14:textId="77777777" w:rsidTr="00CF2E4C">
        <w:trPr>
          <w:trHeight w:val="300"/>
        </w:trPr>
        <w:tc>
          <w:tcPr>
            <w:tcW w:w="2805" w:type="dxa"/>
            <w:tcBorders>
              <w:top w:val="nil"/>
              <w:left w:val="nil"/>
              <w:bottom w:val="nil"/>
              <w:right w:val="nil"/>
            </w:tcBorders>
            <w:shd w:val="clear" w:color="000000" w:fill="16365C"/>
            <w:noWrap/>
            <w:vAlign w:val="center"/>
          </w:tcPr>
          <w:p w14:paraId="3730549E" w14:textId="76985286" w:rsidR="00794064" w:rsidRPr="002F1FA7" w:rsidRDefault="00D835FD" w:rsidP="001E2DA8">
            <w:pPr>
              <w:spacing w:after="0" w:line="240" w:lineRule="auto"/>
              <w:rPr>
                <w:rFonts w:ascii="Calibri" w:eastAsia="Times New Roman" w:hAnsi="Calibri" w:cs="Times New Roman"/>
                <w:b/>
                <w:bCs/>
                <w:color w:val="FFFFFF"/>
              </w:rPr>
            </w:pPr>
            <w:proofErr w:type="spellStart"/>
            <w:proofErr w:type="gramStart"/>
            <w:r w:rsidRPr="00D835FD">
              <w:rPr>
                <w:rFonts w:ascii="Calibri" w:eastAsia="Times New Roman" w:hAnsi="Calibri" w:cs="Times New Roman"/>
                <w:b/>
                <w:bCs/>
                <w:color w:val="FFFFFF"/>
              </w:rPr>
              <w:t>skx.science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42AFBCD" w14:textId="4832B7F0"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1614750</w:t>
            </w:r>
          </w:p>
        </w:tc>
        <w:tc>
          <w:tcPr>
            <w:tcW w:w="2070" w:type="dxa"/>
            <w:tcBorders>
              <w:top w:val="nil"/>
              <w:left w:val="single" w:sz="4" w:space="0" w:color="auto"/>
              <w:bottom w:val="single" w:sz="4" w:space="0" w:color="auto"/>
              <w:right w:val="single" w:sz="4" w:space="0" w:color="auto"/>
            </w:tcBorders>
            <w:vAlign w:val="center"/>
          </w:tcPr>
          <w:p w14:paraId="100ACF7A" w14:textId="77140AF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D835F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9C6334C" w14:textId="63A79BF7"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13AA9206" w14:textId="2F7E61B0" w:rsidR="00794064" w:rsidRPr="001E2DA8" w:rsidRDefault="003F3DE2"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Same Respondent, Suspended &amp; deleted</w:t>
            </w:r>
            <w:r w:rsidR="00D835FD" w:rsidRPr="00D835F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R</w:t>
            </w:r>
            <w:r w:rsidR="00D835FD" w:rsidRPr="00D835FD">
              <w:rPr>
                <w:rFonts w:ascii="Calibri" w:eastAsia="Times New Roman" w:hAnsi="Calibri" w:cs="Times New Roman"/>
                <w:color w:val="000000"/>
                <w:sz w:val="18"/>
                <w:szCs w:val="18"/>
              </w:rPr>
              <w:t>egistered new</w:t>
            </w:r>
            <w:r>
              <w:rPr>
                <w:rFonts w:ascii="Calibri" w:eastAsia="Times New Roman" w:hAnsi="Calibri" w:cs="Times New Roman"/>
                <w:color w:val="000000"/>
                <w:sz w:val="18"/>
                <w:szCs w:val="18"/>
              </w:rPr>
              <w:t xml:space="preserve"> 2018</w:t>
            </w:r>
            <w:r w:rsidR="00D835FD" w:rsidRPr="00D835FD">
              <w:rPr>
                <w:rFonts w:ascii="Calibri" w:eastAsia="Times New Roman" w:hAnsi="Calibri" w:cs="Times New Roman"/>
                <w:color w:val="000000"/>
                <w:sz w:val="18"/>
                <w:szCs w:val="18"/>
              </w:rPr>
              <w:t>, appears legit use</w:t>
            </w:r>
          </w:p>
        </w:tc>
      </w:tr>
      <w:tr w:rsidR="00D835FD" w:rsidRPr="002F1FA7" w14:paraId="0D3206F4" w14:textId="77777777" w:rsidTr="00CF2E4C">
        <w:trPr>
          <w:trHeight w:val="300"/>
        </w:trPr>
        <w:tc>
          <w:tcPr>
            <w:tcW w:w="2805" w:type="dxa"/>
            <w:tcBorders>
              <w:top w:val="nil"/>
              <w:left w:val="nil"/>
              <w:bottom w:val="nil"/>
              <w:right w:val="nil"/>
            </w:tcBorders>
            <w:shd w:val="clear" w:color="000000" w:fill="16365C"/>
            <w:noWrap/>
            <w:vAlign w:val="center"/>
          </w:tcPr>
          <w:p w14:paraId="356D92C4" w14:textId="742C1973"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C6EF5">
              <w:rPr>
                <w:rFonts w:ascii="Calibri" w:eastAsia="Times New Roman" w:hAnsi="Calibri" w:cs="Times New Roman"/>
                <w:b/>
                <w:bCs/>
                <w:color w:val="FFFFFF"/>
              </w:rPr>
              <w:t>meguiars.cleaning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7A42D17" w14:textId="5E9F1E7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1611647</w:t>
            </w:r>
          </w:p>
        </w:tc>
        <w:tc>
          <w:tcPr>
            <w:tcW w:w="2070" w:type="dxa"/>
            <w:tcBorders>
              <w:top w:val="nil"/>
              <w:left w:val="single" w:sz="4" w:space="0" w:color="auto"/>
              <w:bottom w:val="single" w:sz="4" w:space="0" w:color="auto"/>
              <w:right w:val="single" w:sz="4" w:space="0" w:color="auto"/>
            </w:tcBorders>
            <w:vAlign w:val="center"/>
          </w:tcPr>
          <w:p w14:paraId="00629491" w14:textId="545FEE3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EA1D8B" w14:textId="4F74ADC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107C5769" w14:textId="6AA621EC" w:rsidR="00D835FD"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w:t>
            </w:r>
            <w:proofErr w:type="spellStart"/>
            <w:r w:rsidRPr="00A84C2A">
              <w:rPr>
                <w:rFonts w:ascii="Calibri" w:eastAsia="Times New Roman" w:hAnsi="Calibri" w:cs="Times New Roman"/>
                <w:color w:val="000000"/>
                <w:sz w:val="18"/>
                <w:szCs w:val="18"/>
              </w:rPr>
              <w:t>Meguiar's</w:t>
            </w:r>
            <w:proofErr w:type="spellEnd"/>
            <w:r w:rsidRPr="00A84C2A">
              <w:rPr>
                <w:rFonts w:ascii="Calibri" w:eastAsia="Times New Roman" w:hAnsi="Calibri" w:cs="Times New Roman"/>
                <w:color w:val="000000"/>
                <w:sz w:val="18"/>
                <w:szCs w:val="18"/>
              </w:rPr>
              <w:t xml:space="preserve"> </w:t>
            </w:r>
            <w:proofErr w:type="spellStart"/>
            <w:r w:rsidRPr="00A84C2A">
              <w:rPr>
                <w:rFonts w:ascii="Calibri" w:eastAsia="Times New Roman" w:hAnsi="Calibri" w:cs="Times New Roman"/>
                <w:color w:val="000000"/>
                <w:sz w:val="18"/>
                <w:szCs w:val="18"/>
              </w:rPr>
              <w:t>Inc</w:t>
            </w:r>
            <w:proofErr w:type="spellEnd"/>
          </w:p>
        </w:tc>
      </w:tr>
      <w:tr w:rsidR="00D835FD" w:rsidRPr="002F1FA7" w14:paraId="47F97A34" w14:textId="77777777" w:rsidTr="00CF2E4C">
        <w:trPr>
          <w:trHeight w:val="300"/>
        </w:trPr>
        <w:tc>
          <w:tcPr>
            <w:tcW w:w="2805" w:type="dxa"/>
            <w:tcBorders>
              <w:top w:val="nil"/>
              <w:left w:val="nil"/>
              <w:bottom w:val="nil"/>
              <w:right w:val="nil"/>
            </w:tcBorders>
            <w:shd w:val="clear" w:color="000000" w:fill="16365C"/>
            <w:noWrap/>
            <w:vAlign w:val="center"/>
          </w:tcPr>
          <w:p w14:paraId="53416DC5" w14:textId="3E2D57CA"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C6EF5">
              <w:rPr>
                <w:rFonts w:ascii="Calibri" w:eastAsia="Times New Roman" w:hAnsi="Calibri" w:cs="Times New Roman"/>
                <w:b/>
                <w:bCs/>
                <w:color w:val="FFFFFF"/>
              </w:rPr>
              <w:t>meguiars.cleaning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D0213" w14:textId="250E71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1614952</w:t>
            </w:r>
          </w:p>
        </w:tc>
        <w:tc>
          <w:tcPr>
            <w:tcW w:w="2070" w:type="dxa"/>
            <w:tcBorders>
              <w:top w:val="nil"/>
              <w:left w:val="single" w:sz="4" w:space="0" w:color="auto"/>
              <w:bottom w:val="single" w:sz="4" w:space="0" w:color="auto"/>
              <w:right w:val="single" w:sz="4" w:space="0" w:color="auto"/>
            </w:tcBorders>
            <w:vAlign w:val="center"/>
          </w:tcPr>
          <w:p w14:paraId="43E54EC5" w14:textId="20440BBB"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F0BBA6D" w14:textId="3723789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0FFBBFCB" w14:textId="19AD7546" w:rsidR="00D835FD" w:rsidRPr="001E2DA8" w:rsidRDefault="00AC6EF5" w:rsidP="00AC6EF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Same Respondent, Renewed Apr 2016 &amp; 2017 &amp; 2018 </w:t>
            </w:r>
          </w:p>
        </w:tc>
      </w:tr>
      <w:tr w:rsidR="00D835FD" w:rsidRPr="002F1FA7" w14:paraId="0EEFBF4A" w14:textId="77777777" w:rsidTr="00CF2E4C">
        <w:trPr>
          <w:trHeight w:val="300"/>
        </w:trPr>
        <w:tc>
          <w:tcPr>
            <w:tcW w:w="2805" w:type="dxa"/>
            <w:tcBorders>
              <w:top w:val="nil"/>
              <w:left w:val="nil"/>
              <w:bottom w:val="nil"/>
              <w:right w:val="nil"/>
            </w:tcBorders>
            <w:shd w:val="clear" w:color="000000" w:fill="16365C"/>
            <w:noWrap/>
            <w:vAlign w:val="center"/>
          </w:tcPr>
          <w:p w14:paraId="48D20437" w14:textId="748582CD"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C6EF5">
              <w:rPr>
                <w:rFonts w:ascii="Calibri" w:eastAsia="Times New Roman" w:hAnsi="Calibri" w:cs="Times New Roman"/>
                <w:b/>
                <w:bCs/>
                <w:color w:val="FFFFFF"/>
              </w:rPr>
              <w:t>sanofi.space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89E54" w14:textId="28B2C25C" w:rsidR="00D835FD" w:rsidRPr="002F1FA7" w:rsidRDefault="00AC6EF5" w:rsidP="001E2DA8">
            <w:pPr>
              <w:spacing w:after="0" w:line="240" w:lineRule="auto"/>
              <w:rPr>
                <w:rFonts w:ascii="Calibri" w:eastAsia="Times New Roman" w:hAnsi="Calibri" w:cs="Times New Roman"/>
                <w:color w:val="000000"/>
              </w:rPr>
            </w:pPr>
            <w:r w:rsidRPr="008C165B">
              <w:rPr>
                <w:rFonts w:ascii="Calibri" w:eastAsia="Times New Roman" w:hAnsi="Calibri" w:cs="Times New Roman"/>
                <w:color w:val="000000" w:themeColor="text1"/>
              </w:rPr>
              <w:t>1631734</w:t>
            </w:r>
          </w:p>
        </w:tc>
        <w:tc>
          <w:tcPr>
            <w:tcW w:w="2070" w:type="dxa"/>
            <w:tcBorders>
              <w:top w:val="nil"/>
              <w:left w:val="single" w:sz="4" w:space="0" w:color="auto"/>
              <w:bottom w:val="single" w:sz="4" w:space="0" w:color="auto"/>
              <w:right w:val="single" w:sz="4" w:space="0" w:color="auto"/>
            </w:tcBorders>
            <w:vAlign w:val="center"/>
          </w:tcPr>
          <w:p w14:paraId="4BDEC904" w14:textId="7C9CE0C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CD289C0" w14:textId="32AD963F"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73FB68C8" w14:textId="125940B2"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5787DA7C" w14:textId="77777777" w:rsidTr="00CF2E4C">
        <w:trPr>
          <w:trHeight w:val="300"/>
        </w:trPr>
        <w:tc>
          <w:tcPr>
            <w:tcW w:w="2805" w:type="dxa"/>
            <w:tcBorders>
              <w:top w:val="nil"/>
              <w:left w:val="nil"/>
              <w:bottom w:val="nil"/>
              <w:right w:val="nil"/>
            </w:tcBorders>
            <w:shd w:val="clear" w:color="000000" w:fill="16365C"/>
            <w:noWrap/>
            <w:vAlign w:val="center"/>
          </w:tcPr>
          <w:p w14:paraId="1E8A2C50" w14:textId="44E8FC5C"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C6EF5">
              <w:rPr>
                <w:rFonts w:ascii="Calibri" w:eastAsia="Times New Roman" w:hAnsi="Calibri" w:cs="Times New Roman"/>
                <w:b/>
                <w:bCs/>
                <w:color w:val="FFFFFF"/>
              </w:rPr>
              <w:t>sanofi.space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5D2B5E8" w14:textId="62E446E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1710313</w:t>
            </w:r>
          </w:p>
        </w:tc>
        <w:tc>
          <w:tcPr>
            <w:tcW w:w="2070" w:type="dxa"/>
            <w:tcBorders>
              <w:top w:val="nil"/>
              <w:left w:val="single" w:sz="4" w:space="0" w:color="auto"/>
              <w:bottom w:val="single" w:sz="4" w:space="0" w:color="auto"/>
              <w:right w:val="single" w:sz="4" w:space="0" w:color="auto"/>
            </w:tcBorders>
            <w:vAlign w:val="center"/>
          </w:tcPr>
          <w:p w14:paraId="6F994BA3" w14:textId="4C597EB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6F79B8E" w14:textId="115A331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441793A4" w14:textId="5C585FBF"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Nov. 2016; Suspended and then deleted</w:t>
            </w:r>
          </w:p>
        </w:tc>
      </w:tr>
      <w:tr w:rsidR="00D835FD" w:rsidRPr="002F1FA7" w14:paraId="25D58335" w14:textId="77777777" w:rsidTr="00CF2E4C">
        <w:trPr>
          <w:trHeight w:val="300"/>
        </w:trPr>
        <w:tc>
          <w:tcPr>
            <w:tcW w:w="2805" w:type="dxa"/>
            <w:tcBorders>
              <w:top w:val="nil"/>
              <w:left w:val="nil"/>
              <w:bottom w:val="nil"/>
              <w:right w:val="nil"/>
            </w:tcBorders>
            <w:shd w:val="clear" w:color="000000" w:fill="16365C"/>
            <w:noWrap/>
            <w:vAlign w:val="center"/>
          </w:tcPr>
          <w:p w14:paraId="11D5B412" w14:textId="2156FD72" w:rsidR="00D835FD" w:rsidRPr="002F1FA7" w:rsidRDefault="00AC6EF5" w:rsidP="001E2DA8">
            <w:pPr>
              <w:spacing w:after="0" w:line="240" w:lineRule="auto"/>
              <w:rPr>
                <w:rFonts w:ascii="Calibri" w:eastAsia="Times New Roman" w:hAnsi="Calibri" w:cs="Times New Roman"/>
                <w:b/>
                <w:bCs/>
                <w:color w:val="FFFFFF"/>
              </w:rPr>
            </w:pPr>
            <w:proofErr w:type="spellStart"/>
            <w:r w:rsidRPr="00AC6EF5">
              <w:rPr>
                <w:rFonts w:ascii="Calibri" w:eastAsia="Times New Roman" w:hAnsi="Calibri" w:cs="Times New Roman"/>
                <w:b/>
                <w:bCs/>
                <w:color w:val="FFFFFF"/>
              </w:rPr>
              <w:t>balenciaga.xyz</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E69D507" w14:textId="344917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1635443</w:t>
            </w:r>
          </w:p>
        </w:tc>
        <w:tc>
          <w:tcPr>
            <w:tcW w:w="2070" w:type="dxa"/>
            <w:tcBorders>
              <w:top w:val="nil"/>
              <w:left w:val="single" w:sz="4" w:space="0" w:color="auto"/>
              <w:bottom w:val="single" w:sz="4" w:space="0" w:color="auto"/>
              <w:right w:val="single" w:sz="4" w:space="0" w:color="auto"/>
            </w:tcBorders>
            <w:vAlign w:val="center"/>
          </w:tcPr>
          <w:p w14:paraId="4D1E5A1D" w14:textId="029599E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2073EBF2" w14:textId="648B3D2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1A2F5B7D" w14:textId="2F9F606E"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Registered 2014, Renewed 2015; Suspended &amp; deleted</w:t>
            </w:r>
          </w:p>
        </w:tc>
      </w:tr>
      <w:tr w:rsidR="00D835FD" w:rsidRPr="002F1FA7" w14:paraId="41A50E61" w14:textId="77777777" w:rsidTr="00CF2E4C">
        <w:trPr>
          <w:trHeight w:val="300"/>
        </w:trPr>
        <w:tc>
          <w:tcPr>
            <w:tcW w:w="2805" w:type="dxa"/>
            <w:tcBorders>
              <w:top w:val="nil"/>
              <w:left w:val="nil"/>
              <w:bottom w:val="nil"/>
              <w:right w:val="nil"/>
            </w:tcBorders>
            <w:shd w:val="clear" w:color="000000" w:fill="16365C"/>
            <w:noWrap/>
            <w:vAlign w:val="center"/>
          </w:tcPr>
          <w:p w14:paraId="0B1755F5" w14:textId="2023A9E4" w:rsidR="00D835FD" w:rsidRPr="002F1FA7" w:rsidRDefault="00AC6EF5" w:rsidP="001E2DA8">
            <w:pPr>
              <w:spacing w:after="0" w:line="240" w:lineRule="auto"/>
              <w:rPr>
                <w:rFonts w:ascii="Calibri" w:eastAsia="Times New Roman" w:hAnsi="Calibri" w:cs="Times New Roman"/>
                <w:b/>
                <w:bCs/>
                <w:color w:val="FFFFFF"/>
              </w:rPr>
            </w:pPr>
            <w:proofErr w:type="spellStart"/>
            <w:r w:rsidRPr="00AC6EF5">
              <w:rPr>
                <w:rFonts w:ascii="Calibri" w:eastAsia="Times New Roman" w:hAnsi="Calibri" w:cs="Times New Roman"/>
                <w:b/>
                <w:bCs/>
                <w:color w:val="FFFFFF"/>
              </w:rPr>
              <w:t>balenciaga.xyz</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9495958" w14:textId="4D50A313"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1676548</w:t>
            </w:r>
          </w:p>
        </w:tc>
        <w:tc>
          <w:tcPr>
            <w:tcW w:w="2070" w:type="dxa"/>
            <w:tcBorders>
              <w:top w:val="nil"/>
              <w:left w:val="single" w:sz="4" w:space="0" w:color="auto"/>
              <w:bottom w:val="single" w:sz="4" w:space="0" w:color="auto"/>
              <w:right w:val="single" w:sz="4" w:space="0" w:color="auto"/>
            </w:tcBorders>
            <w:vAlign w:val="center"/>
          </w:tcPr>
          <w:p w14:paraId="2DF5476E" w14:textId="64D6AB2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5C22539" w14:textId="76A994BD"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41AC283" w14:textId="556EAEB0"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May 2016; Suspended &amp; deleted; Brand Protection Jul. 2017</w:t>
            </w:r>
          </w:p>
        </w:tc>
      </w:tr>
      <w:tr w:rsidR="00D835FD" w:rsidRPr="002F1FA7" w14:paraId="607C536C" w14:textId="77777777" w:rsidTr="00CF2E4C">
        <w:trPr>
          <w:trHeight w:val="300"/>
        </w:trPr>
        <w:tc>
          <w:tcPr>
            <w:tcW w:w="2805" w:type="dxa"/>
            <w:tcBorders>
              <w:top w:val="nil"/>
              <w:left w:val="nil"/>
              <w:bottom w:val="nil"/>
              <w:right w:val="nil"/>
            </w:tcBorders>
            <w:shd w:val="clear" w:color="000000" w:fill="16365C"/>
            <w:noWrap/>
            <w:vAlign w:val="center"/>
          </w:tcPr>
          <w:p w14:paraId="74258390" w14:textId="3DF7179C"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E3533D5" w14:textId="004AD13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1635446</w:t>
            </w:r>
          </w:p>
        </w:tc>
        <w:tc>
          <w:tcPr>
            <w:tcW w:w="2070" w:type="dxa"/>
            <w:tcBorders>
              <w:top w:val="nil"/>
              <w:left w:val="single" w:sz="4" w:space="0" w:color="auto"/>
              <w:bottom w:val="single" w:sz="4" w:space="0" w:color="auto"/>
              <w:right w:val="single" w:sz="4" w:space="0" w:color="auto"/>
            </w:tcBorders>
            <w:vAlign w:val="center"/>
          </w:tcPr>
          <w:p w14:paraId="3A124A45" w14:textId="5FE7B82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AB81560" w14:textId="5EAE1055"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3318FBB0" w14:textId="5E91CBB5" w:rsidR="00D835FD" w:rsidRPr="001E2DA8" w:rsidRDefault="008236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2A6407A9" w14:textId="77777777" w:rsidTr="00CF2E4C">
        <w:trPr>
          <w:trHeight w:val="300"/>
        </w:trPr>
        <w:tc>
          <w:tcPr>
            <w:tcW w:w="2805" w:type="dxa"/>
            <w:tcBorders>
              <w:top w:val="nil"/>
              <w:left w:val="nil"/>
              <w:bottom w:val="nil"/>
              <w:right w:val="nil"/>
            </w:tcBorders>
            <w:shd w:val="clear" w:color="000000" w:fill="16365C"/>
            <w:noWrap/>
            <w:vAlign w:val="center"/>
          </w:tcPr>
          <w:p w14:paraId="1C9930D3" w14:textId="3503D784"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2D948" w14:textId="11EA02AC"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1676556</w:t>
            </w:r>
          </w:p>
        </w:tc>
        <w:tc>
          <w:tcPr>
            <w:tcW w:w="2070" w:type="dxa"/>
            <w:tcBorders>
              <w:top w:val="nil"/>
              <w:left w:val="single" w:sz="4" w:space="0" w:color="auto"/>
              <w:bottom w:val="single" w:sz="4" w:space="0" w:color="auto"/>
              <w:right w:val="single" w:sz="4" w:space="0" w:color="auto"/>
            </w:tcBorders>
            <w:vAlign w:val="center"/>
          </w:tcPr>
          <w:p w14:paraId="6E8675B2" w14:textId="64544F87"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375E2600" w14:textId="3CF2536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31E49CE7" w14:textId="2C4EA824" w:rsidR="00D835FD" w:rsidRPr="001E2DA8" w:rsidRDefault="00823650" w:rsidP="0082365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Re</w:t>
            </w:r>
            <w:r>
              <w:rPr>
                <w:rFonts w:ascii="Calibri" w:eastAsia="Times New Roman" w:hAnsi="Calibri" w:cs="Times New Roman"/>
                <w:color w:val="000000"/>
                <w:sz w:val="18"/>
                <w:szCs w:val="18"/>
              </w:rPr>
              <w:t>sponde</w:t>
            </w:r>
            <w:r w:rsidR="00AC6EF5" w:rsidRPr="00AC6EF5">
              <w:rPr>
                <w:rFonts w:ascii="Calibri" w:eastAsia="Times New Roman" w:hAnsi="Calibri" w:cs="Times New Roman"/>
                <w:color w:val="000000"/>
                <w:sz w:val="18"/>
                <w:szCs w:val="18"/>
              </w:rPr>
              <w:t>nt</w:t>
            </w:r>
            <w:r>
              <w:rPr>
                <w:rFonts w:ascii="Calibri" w:eastAsia="Times New Roman" w:hAnsi="Calibri" w:cs="Times New Roman"/>
                <w:color w:val="000000"/>
                <w:sz w:val="18"/>
                <w:szCs w:val="18"/>
              </w:rPr>
              <w:t>; Brand Protection Jul. 2016</w:t>
            </w:r>
          </w:p>
        </w:tc>
      </w:tr>
      <w:tr w:rsidR="00D835FD" w:rsidRPr="002F1FA7" w14:paraId="7B531628" w14:textId="77777777" w:rsidTr="00CF2E4C">
        <w:trPr>
          <w:trHeight w:val="300"/>
        </w:trPr>
        <w:tc>
          <w:tcPr>
            <w:tcW w:w="2805" w:type="dxa"/>
            <w:tcBorders>
              <w:top w:val="nil"/>
              <w:left w:val="nil"/>
              <w:bottom w:val="nil"/>
              <w:right w:val="nil"/>
            </w:tcBorders>
            <w:shd w:val="clear" w:color="000000" w:fill="16365C"/>
            <w:noWrap/>
            <w:vAlign w:val="center"/>
          </w:tcPr>
          <w:p w14:paraId="5A86ABA5" w14:textId="44A478DF"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84C2A">
              <w:rPr>
                <w:rFonts w:ascii="Calibri" w:eastAsia="Times New Roman" w:hAnsi="Calibri" w:cs="Times New Roman"/>
                <w:b/>
                <w:bCs/>
                <w:color w:val="FFFFFF" w:themeColor="background1"/>
              </w:rPr>
              <w:t>virginmedia.site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B73BD31" w14:textId="2547099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1649592</w:t>
            </w:r>
          </w:p>
        </w:tc>
        <w:tc>
          <w:tcPr>
            <w:tcW w:w="2070" w:type="dxa"/>
            <w:tcBorders>
              <w:top w:val="nil"/>
              <w:left w:val="single" w:sz="4" w:space="0" w:color="auto"/>
              <w:bottom w:val="single" w:sz="4" w:space="0" w:color="auto"/>
              <w:right w:val="single" w:sz="4" w:space="0" w:color="auto"/>
            </w:tcBorders>
            <w:vAlign w:val="center"/>
          </w:tcPr>
          <w:p w14:paraId="222E025B" w14:textId="0FA7AD8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A1D12C8" w14:textId="0F30D5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November 2015</w:t>
            </w:r>
          </w:p>
        </w:tc>
        <w:tc>
          <w:tcPr>
            <w:tcW w:w="6390" w:type="dxa"/>
            <w:tcBorders>
              <w:top w:val="nil"/>
              <w:left w:val="single" w:sz="4" w:space="0" w:color="auto"/>
              <w:bottom w:val="single" w:sz="4" w:space="0" w:color="auto"/>
              <w:right w:val="single" w:sz="4" w:space="0" w:color="auto"/>
            </w:tcBorders>
            <w:vAlign w:val="center"/>
          </w:tcPr>
          <w:p w14:paraId="28666590" w14:textId="48D7CD7D" w:rsidR="00D835FD" w:rsidRPr="001E2DA8" w:rsidRDefault="0040766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(under WHOIS Guard)</w:t>
            </w:r>
          </w:p>
        </w:tc>
      </w:tr>
      <w:tr w:rsidR="00D835FD" w:rsidRPr="002F1FA7" w14:paraId="51C9B085" w14:textId="77777777" w:rsidTr="00CF2E4C">
        <w:trPr>
          <w:trHeight w:val="300"/>
        </w:trPr>
        <w:tc>
          <w:tcPr>
            <w:tcW w:w="2805" w:type="dxa"/>
            <w:tcBorders>
              <w:top w:val="nil"/>
              <w:left w:val="nil"/>
              <w:bottom w:val="nil"/>
              <w:right w:val="nil"/>
            </w:tcBorders>
            <w:shd w:val="clear" w:color="000000" w:fill="16365C"/>
            <w:noWrap/>
            <w:vAlign w:val="center"/>
          </w:tcPr>
          <w:p w14:paraId="3D85FC5C" w14:textId="37C50590" w:rsidR="00D835FD" w:rsidRPr="002F1FA7" w:rsidRDefault="00AC6EF5" w:rsidP="001E2DA8">
            <w:pPr>
              <w:spacing w:after="0" w:line="240" w:lineRule="auto"/>
              <w:rPr>
                <w:rFonts w:ascii="Calibri" w:eastAsia="Times New Roman" w:hAnsi="Calibri" w:cs="Times New Roman"/>
                <w:b/>
                <w:bCs/>
                <w:color w:val="FFFFFF"/>
              </w:rPr>
            </w:pPr>
            <w:proofErr w:type="spellStart"/>
            <w:proofErr w:type="gramStart"/>
            <w:r w:rsidRPr="00AC6EF5">
              <w:rPr>
                <w:rFonts w:ascii="Calibri" w:eastAsia="Times New Roman" w:hAnsi="Calibri" w:cs="Times New Roman"/>
                <w:b/>
                <w:bCs/>
                <w:color w:val="FFFFFF"/>
              </w:rPr>
              <w:t>virginmedia.site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2F2A9D" w14:textId="2830B0B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1741569</w:t>
            </w:r>
          </w:p>
        </w:tc>
        <w:tc>
          <w:tcPr>
            <w:tcW w:w="2070" w:type="dxa"/>
            <w:tcBorders>
              <w:top w:val="nil"/>
              <w:left w:val="single" w:sz="4" w:space="0" w:color="auto"/>
              <w:bottom w:val="single" w:sz="4" w:space="0" w:color="auto"/>
              <w:right w:val="single" w:sz="4" w:space="0" w:color="auto"/>
            </w:tcBorders>
            <w:vAlign w:val="center"/>
          </w:tcPr>
          <w:p w14:paraId="2482B708" w14:textId="2EB93D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5B47A42" w14:textId="1CC7133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37C31357" w14:textId="1A0E7654" w:rsidR="00D835FD" w:rsidRPr="001E2DA8" w:rsidRDefault="00407665" w:rsidP="0040766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xml:space="preserve">. Mar. 2017; No avail. </w:t>
            </w:r>
            <w:proofErr w:type="spellStart"/>
            <w:r>
              <w:rPr>
                <w:rFonts w:ascii="Calibri" w:eastAsia="Times New Roman" w:hAnsi="Calibri" w:cs="Times New Roman"/>
                <w:color w:val="000000"/>
                <w:sz w:val="18"/>
                <w:szCs w:val="18"/>
              </w:rPr>
              <w:t>WhoWas</w:t>
            </w:r>
            <w:proofErr w:type="spellEnd"/>
            <w:r>
              <w:rPr>
                <w:rFonts w:ascii="Calibri" w:eastAsia="Times New Roman" w:hAnsi="Calibri" w:cs="Times New Roman"/>
                <w:color w:val="000000"/>
                <w:sz w:val="18"/>
                <w:szCs w:val="18"/>
              </w:rPr>
              <w:t>; Domain available for registration</w:t>
            </w:r>
          </w:p>
        </w:tc>
      </w:tr>
      <w:tr w:rsidR="00794064" w:rsidRPr="002F1FA7" w14:paraId="79DC2E96" w14:textId="77777777" w:rsidTr="00CF2E4C">
        <w:trPr>
          <w:trHeight w:val="300"/>
        </w:trPr>
        <w:tc>
          <w:tcPr>
            <w:tcW w:w="2805" w:type="dxa"/>
            <w:tcBorders>
              <w:top w:val="nil"/>
              <w:left w:val="nil"/>
              <w:bottom w:val="nil"/>
              <w:right w:val="nil"/>
            </w:tcBorders>
            <w:shd w:val="clear" w:color="000000" w:fill="16365C"/>
            <w:noWrap/>
            <w:vAlign w:val="center"/>
          </w:tcPr>
          <w:p w14:paraId="43A251C0" w14:textId="2E3DFA9F" w:rsidR="00794064" w:rsidRPr="002F1FA7" w:rsidRDefault="00CA318A" w:rsidP="001E2DA8">
            <w:pPr>
              <w:spacing w:after="0" w:line="240" w:lineRule="auto"/>
              <w:rPr>
                <w:rFonts w:ascii="Calibri" w:eastAsia="Times New Roman" w:hAnsi="Calibri" w:cs="Times New Roman"/>
                <w:b/>
                <w:bCs/>
                <w:color w:val="FFFFFF"/>
              </w:rPr>
            </w:pPr>
            <w:proofErr w:type="spellStart"/>
            <w:r w:rsidRPr="00CA318A">
              <w:rPr>
                <w:rFonts w:ascii="Calibri" w:eastAsia="Times New Roman" w:hAnsi="Calibri" w:cs="Times New Roman"/>
                <w:b/>
                <w:bCs/>
                <w:color w:val="FFFFFF"/>
              </w:rPr>
              <w:t>lufthansa.vip</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5271162" w14:textId="355E13D2"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1676147</w:t>
            </w:r>
          </w:p>
        </w:tc>
        <w:tc>
          <w:tcPr>
            <w:tcW w:w="2070" w:type="dxa"/>
            <w:tcBorders>
              <w:top w:val="nil"/>
              <w:left w:val="single" w:sz="4" w:space="0" w:color="auto"/>
              <w:bottom w:val="single" w:sz="4" w:space="0" w:color="auto"/>
              <w:right w:val="single" w:sz="4" w:space="0" w:color="auto"/>
            </w:tcBorders>
            <w:vAlign w:val="center"/>
          </w:tcPr>
          <w:p w14:paraId="06D2C641" w14:textId="05906275"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F0C636F" w14:textId="3E0C1C40"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94F7F86" w14:textId="582ADC20" w:rsidR="00794064" w:rsidRPr="001E2DA8" w:rsidRDefault="00B61D2E"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790A6ABC" w14:textId="77777777" w:rsidTr="00CF2E4C">
        <w:trPr>
          <w:trHeight w:val="300"/>
        </w:trPr>
        <w:tc>
          <w:tcPr>
            <w:tcW w:w="2805" w:type="dxa"/>
            <w:tcBorders>
              <w:top w:val="nil"/>
              <w:left w:val="nil"/>
              <w:bottom w:val="nil"/>
              <w:right w:val="nil"/>
            </w:tcBorders>
            <w:shd w:val="clear" w:color="000000" w:fill="16365C"/>
            <w:noWrap/>
            <w:vAlign w:val="center"/>
          </w:tcPr>
          <w:p w14:paraId="16E34C46" w14:textId="3CA49B1E" w:rsidR="00794064" w:rsidRPr="002F1FA7" w:rsidRDefault="00CA318A" w:rsidP="001E2DA8">
            <w:pPr>
              <w:spacing w:after="0" w:line="240" w:lineRule="auto"/>
              <w:rPr>
                <w:rFonts w:ascii="Calibri" w:eastAsia="Times New Roman" w:hAnsi="Calibri" w:cs="Times New Roman"/>
                <w:b/>
                <w:bCs/>
                <w:color w:val="FFFFFF"/>
              </w:rPr>
            </w:pPr>
            <w:proofErr w:type="spellStart"/>
            <w:r w:rsidRPr="00CA318A">
              <w:rPr>
                <w:rFonts w:ascii="Calibri" w:eastAsia="Times New Roman" w:hAnsi="Calibri" w:cs="Times New Roman"/>
                <w:b/>
                <w:bCs/>
                <w:color w:val="FFFFFF"/>
              </w:rPr>
              <w:t>lufthansa.vip</w:t>
            </w:r>
            <w:proofErr w:type="spell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8F1DAD8" w14:textId="49D4749E"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1750675</w:t>
            </w:r>
          </w:p>
        </w:tc>
        <w:tc>
          <w:tcPr>
            <w:tcW w:w="2070" w:type="dxa"/>
            <w:tcBorders>
              <w:top w:val="nil"/>
              <w:left w:val="single" w:sz="4" w:space="0" w:color="auto"/>
              <w:bottom w:val="single" w:sz="4" w:space="0" w:color="auto"/>
              <w:right w:val="single" w:sz="4" w:space="0" w:color="auto"/>
            </w:tcBorders>
            <w:vAlign w:val="center"/>
          </w:tcPr>
          <w:p w14:paraId="616559E6" w14:textId="0010F8C6"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36A6B2" w14:textId="237E6027"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September 2017</w:t>
            </w:r>
          </w:p>
        </w:tc>
        <w:tc>
          <w:tcPr>
            <w:tcW w:w="6390" w:type="dxa"/>
            <w:tcBorders>
              <w:top w:val="nil"/>
              <w:left w:val="single" w:sz="4" w:space="0" w:color="auto"/>
              <w:bottom w:val="single" w:sz="4" w:space="0" w:color="auto"/>
              <w:right w:val="single" w:sz="4" w:space="0" w:color="auto"/>
            </w:tcBorders>
            <w:vAlign w:val="center"/>
          </w:tcPr>
          <w:p w14:paraId="33A5C1D9" w14:textId="4E0F68DE" w:rsidR="00794064" w:rsidRPr="001E2DA8" w:rsidRDefault="00B61D2E" w:rsidP="00B61D2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Sep. 2017; domain remains Suspended</w:t>
            </w:r>
          </w:p>
        </w:tc>
      </w:tr>
      <w:tr w:rsidR="00794064" w:rsidRPr="002F1FA7" w14:paraId="2A621902" w14:textId="77777777" w:rsidTr="00CF2E4C">
        <w:trPr>
          <w:trHeight w:val="300"/>
        </w:trPr>
        <w:tc>
          <w:tcPr>
            <w:tcW w:w="2805" w:type="dxa"/>
            <w:tcBorders>
              <w:top w:val="nil"/>
              <w:left w:val="nil"/>
              <w:bottom w:val="nil"/>
              <w:right w:val="nil"/>
            </w:tcBorders>
            <w:shd w:val="clear" w:color="000000" w:fill="16365C"/>
            <w:noWrap/>
            <w:vAlign w:val="center"/>
          </w:tcPr>
          <w:p w14:paraId="1FADA463" w14:textId="634D39F4" w:rsidR="00794064" w:rsidRPr="002F1FA7" w:rsidRDefault="00CA318A" w:rsidP="001E2DA8">
            <w:pPr>
              <w:spacing w:after="0" w:line="240" w:lineRule="auto"/>
              <w:rPr>
                <w:rFonts w:ascii="Calibri" w:eastAsia="Times New Roman" w:hAnsi="Calibri" w:cs="Times New Roman"/>
                <w:b/>
                <w:bCs/>
                <w:color w:val="FFFFFF"/>
              </w:rPr>
            </w:pPr>
            <w:proofErr w:type="spellStart"/>
            <w:proofErr w:type="gramStart"/>
            <w:r w:rsidRPr="00CA318A">
              <w:rPr>
                <w:rFonts w:ascii="Calibri" w:eastAsia="Times New Roman" w:hAnsi="Calibri" w:cs="Times New Roman"/>
                <w:b/>
                <w:bCs/>
                <w:color w:val="FFFFFF"/>
              </w:rPr>
              <w:t>lufthansa.store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38827A1" w14:textId="1F5F1E6A"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1679906</w:t>
            </w:r>
          </w:p>
        </w:tc>
        <w:tc>
          <w:tcPr>
            <w:tcW w:w="2070" w:type="dxa"/>
            <w:tcBorders>
              <w:top w:val="nil"/>
              <w:left w:val="single" w:sz="4" w:space="0" w:color="auto"/>
              <w:bottom w:val="single" w:sz="4" w:space="0" w:color="auto"/>
              <w:right w:val="single" w:sz="4" w:space="0" w:color="auto"/>
            </w:tcBorders>
            <w:vAlign w:val="center"/>
          </w:tcPr>
          <w:p w14:paraId="79653822" w14:textId="18E85190"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B2758BA" w14:textId="5A5E24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2016</w:t>
            </w:r>
          </w:p>
        </w:tc>
        <w:tc>
          <w:tcPr>
            <w:tcW w:w="6390" w:type="dxa"/>
            <w:tcBorders>
              <w:top w:val="nil"/>
              <w:left w:val="single" w:sz="4" w:space="0" w:color="auto"/>
              <w:bottom w:val="single" w:sz="4" w:space="0" w:color="auto"/>
              <w:right w:val="single" w:sz="4" w:space="0" w:color="auto"/>
            </w:tcBorders>
            <w:vAlign w:val="center"/>
          </w:tcPr>
          <w:p w14:paraId="6F83B275" w14:textId="0B1D1B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43D896F1" w14:textId="77777777" w:rsidTr="00CF2E4C">
        <w:trPr>
          <w:trHeight w:val="300"/>
        </w:trPr>
        <w:tc>
          <w:tcPr>
            <w:tcW w:w="2805" w:type="dxa"/>
            <w:tcBorders>
              <w:top w:val="nil"/>
              <w:left w:val="nil"/>
              <w:bottom w:val="nil"/>
              <w:right w:val="nil"/>
            </w:tcBorders>
            <w:shd w:val="clear" w:color="000000" w:fill="16365C"/>
            <w:noWrap/>
            <w:vAlign w:val="center"/>
          </w:tcPr>
          <w:p w14:paraId="106627CA" w14:textId="3D7E9B82" w:rsidR="00794064" w:rsidRPr="002F1FA7" w:rsidRDefault="00CA318A" w:rsidP="001E2DA8">
            <w:pPr>
              <w:spacing w:after="0" w:line="240" w:lineRule="auto"/>
              <w:rPr>
                <w:rFonts w:ascii="Calibri" w:eastAsia="Times New Roman" w:hAnsi="Calibri" w:cs="Times New Roman"/>
                <w:b/>
                <w:bCs/>
                <w:color w:val="FFFFFF"/>
              </w:rPr>
            </w:pPr>
            <w:proofErr w:type="spellStart"/>
            <w:proofErr w:type="gramStart"/>
            <w:r w:rsidRPr="00CA318A">
              <w:rPr>
                <w:rFonts w:ascii="Calibri" w:eastAsia="Times New Roman" w:hAnsi="Calibri" w:cs="Times New Roman"/>
                <w:b/>
                <w:bCs/>
                <w:color w:val="FFFFFF"/>
              </w:rPr>
              <w:t>lufthansa.store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111D7E" w14:textId="3331D4A1"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1755570</w:t>
            </w:r>
          </w:p>
        </w:tc>
        <w:tc>
          <w:tcPr>
            <w:tcW w:w="2070" w:type="dxa"/>
            <w:tcBorders>
              <w:top w:val="nil"/>
              <w:left w:val="single" w:sz="4" w:space="0" w:color="auto"/>
              <w:bottom w:val="single" w:sz="4" w:space="0" w:color="auto"/>
              <w:right w:val="single" w:sz="4" w:space="0" w:color="auto"/>
            </w:tcBorders>
            <w:vAlign w:val="center"/>
          </w:tcPr>
          <w:p w14:paraId="3DA52B96" w14:textId="238DCCD8"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485F7E8" w14:textId="6FCB2B7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2017</w:t>
            </w:r>
          </w:p>
        </w:tc>
        <w:tc>
          <w:tcPr>
            <w:tcW w:w="6390" w:type="dxa"/>
            <w:tcBorders>
              <w:top w:val="nil"/>
              <w:left w:val="single" w:sz="4" w:space="0" w:color="auto"/>
              <w:bottom w:val="single" w:sz="4" w:space="0" w:color="auto"/>
              <w:right w:val="single" w:sz="4" w:space="0" w:color="auto"/>
            </w:tcBorders>
            <w:vAlign w:val="center"/>
          </w:tcPr>
          <w:p w14:paraId="22842DAA" w14:textId="2FF14830" w:rsidR="00794064" w:rsidRPr="001E2DA8" w:rsidRDefault="006635F2" w:rsidP="006635F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Oct. 2017; domain remains Suspended</w:t>
            </w:r>
          </w:p>
        </w:tc>
      </w:tr>
      <w:tr w:rsidR="00794064" w:rsidRPr="002F1FA7" w14:paraId="7D48469F" w14:textId="77777777" w:rsidTr="00CF2E4C">
        <w:trPr>
          <w:trHeight w:val="300"/>
        </w:trPr>
        <w:tc>
          <w:tcPr>
            <w:tcW w:w="2805" w:type="dxa"/>
            <w:tcBorders>
              <w:top w:val="nil"/>
              <w:left w:val="nil"/>
              <w:bottom w:val="nil"/>
              <w:right w:val="nil"/>
            </w:tcBorders>
            <w:shd w:val="clear" w:color="000000" w:fill="16365C"/>
            <w:noWrap/>
            <w:vAlign w:val="center"/>
          </w:tcPr>
          <w:p w14:paraId="672380A1" w14:textId="610F725A" w:rsidR="00794064"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bnpparibasfortis.expert</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0A7B9A" w14:textId="2C929D8E"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1721891</w:t>
            </w:r>
          </w:p>
        </w:tc>
        <w:tc>
          <w:tcPr>
            <w:tcW w:w="2070" w:type="dxa"/>
            <w:tcBorders>
              <w:top w:val="nil"/>
              <w:left w:val="single" w:sz="4" w:space="0" w:color="auto"/>
              <w:bottom w:val="single" w:sz="4" w:space="0" w:color="auto"/>
              <w:right w:val="single" w:sz="4" w:space="0" w:color="auto"/>
            </w:tcBorders>
            <w:vAlign w:val="center"/>
          </w:tcPr>
          <w:p w14:paraId="253497FE" w14:textId="476AEE7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6DB7A4F7" w14:textId="46AD94B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March 2017</w:t>
            </w:r>
          </w:p>
        </w:tc>
        <w:tc>
          <w:tcPr>
            <w:tcW w:w="6390" w:type="dxa"/>
            <w:tcBorders>
              <w:top w:val="nil"/>
              <w:left w:val="single" w:sz="4" w:space="0" w:color="auto"/>
              <w:bottom w:val="single" w:sz="4" w:space="0" w:color="auto"/>
              <w:right w:val="single" w:sz="4" w:space="0" w:color="auto"/>
            </w:tcBorders>
            <w:vAlign w:val="center"/>
          </w:tcPr>
          <w:p w14:paraId="394092B0" w14:textId="646BF9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794064" w:rsidRPr="002F1FA7" w14:paraId="2E6DBC7F" w14:textId="77777777" w:rsidTr="00CF2E4C">
        <w:trPr>
          <w:trHeight w:val="300"/>
        </w:trPr>
        <w:tc>
          <w:tcPr>
            <w:tcW w:w="2805" w:type="dxa"/>
            <w:tcBorders>
              <w:top w:val="nil"/>
              <w:left w:val="nil"/>
              <w:bottom w:val="nil"/>
              <w:right w:val="nil"/>
            </w:tcBorders>
            <w:shd w:val="clear" w:color="000000" w:fill="16365C"/>
            <w:noWrap/>
            <w:vAlign w:val="center"/>
          </w:tcPr>
          <w:p w14:paraId="58CA360D" w14:textId="0D115539" w:rsidR="00794064"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bnpparibasfortis.expert</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08866F7" w14:textId="1F0F694F"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1726997</w:t>
            </w:r>
          </w:p>
        </w:tc>
        <w:tc>
          <w:tcPr>
            <w:tcW w:w="2070" w:type="dxa"/>
            <w:tcBorders>
              <w:top w:val="nil"/>
              <w:left w:val="single" w:sz="4" w:space="0" w:color="auto"/>
              <w:bottom w:val="single" w:sz="4" w:space="0" w:color="auto"/>
              <w:right w:val="single" w:sz="4" w:space="0" w:color="auto"/>
            </w:tcBorders>
            <w:vAlign w:val="center"/>
          </w:tcPr>
          <w:p w14:paraId="6BE2EE31" w14:textId="71585C3D"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BD8AD2E" w14:textId="661C811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4278C6C1" w14:textId="5A047600"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Domain available for registration</w:t>
            </w:r>
          </w:p>
        </w:tc>
      </w:tr>
      <w:tr w:rsidR="00794064" w:rsidRPr="002F1FA7" w14:paraId="13C16CAF" w14:textId="77777777" w:rsidTr="00CF2E4C">
        <w:trPr>
          <w:trHeight w:val="300"/>
        </w:trPr>
        <w:tc>
          <w:tcPr>
            <w:tcW w:w="2805" w:type="dxa"/>
            <w:tcBorders>
              <w:top w:val="nil"/>
              <w:left w:val="nil"/>
              <w:bottom w:val="nil"/>
              <w:right w:val="nil"/>
            </w:tcBorders>
            <w:shd w:val="clear" w:color="000000" w:fill="16365C"/>
            <w:noWrap/>
            <w:vAlign w:val="center"/>
          </w:tcPr>
          <w:p w14:paraId="42E51A92" w14:textId="6533AACA" w:rsidR="00794064"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genzyme.online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A3922FC" w14:textId="7F0EAF8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1737246</w:t>
            </w:r>
          </w:p>
        </w:tc>
        <w:tc>
          <w:tcPr>
            <w:tcW w:w="2070" w:type="dxa"/>
            <w:tcBorders>
              <w:top w:val="nil"/>
              <w:left w:val="single" w:sz="4" w:space="0" w:color="auto"/>
              <w:bottom w:val="single" w:sz="4" w:space="0" w:color="auto"/>
              <w:right w:val="single" w:sz="4" w:space="0" w:color="auto"/>
            </w:tcBorders>
            <w:vAlign w:val="center"/>
          </w:tcPr>
          <w:p w14:paraId="2D00167C" w14:textId="5CE1513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76B4CF7" w14:textId="6BA58BC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6A74893A" w14:textId="5D279CAF"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w:t>
            </w:r>
            <w:r w:rsidR="00CF2E4C" w:rsidRPr="00CF2E4C">
              <w:rPr>
                <w:rFonts w:ascii="Calibri" w:eastAsia="Times New Roman" w:hAnsi="Calibri" w:cs="Times New Roman"/>
                <w:color w:val="000000"/>
                <w:sz w:val="18"/>
                <w:szCs w:val="18"/>
              </w:rPr>
              <w:t>nsufficient evidence of a word trademark</w:t>
            </w:r>
          </w:p>
        </w:tc>
      </w:tr>
      <w:tr w:rsidR="00794064" w:rsidRPr="002F1FA7" w14:paraId="7D1AB183" w14:textId="77777777" w:rsidTr="00CF2E4C">
        <w:trPr>
          <w:trHeight w:val="300"/>
        </w:trPr>
        <w:tc>
          <w:tcPr>
            <w:tcW w:w="2805" w:type="dxa"/>
            <w:tcBorders>
              <w:top w:val="nil"/>
              <w:left w:val="nil"/>
              <w:bottom w:val="nil"/>
              <w:right w:val="nil"/>
            </w:tcBorders>
            <w:shd w:val="clear" w:color="000000" w:fill="16365C"/>
            <w:noWrap/>
            <w:vAlign w:val="center"/>
          </w:tcPr>
          <w:p w14:paraId="7E733DA7" w14:textId="0F181A83" w:rsidR="00794064"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genzyme.online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61125D5" w14:textId="790B18F4"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1739824</w:t>
            </w:r>
          </w:p>
        </w:tc>
        <w:tc>
          <w:tcPr>
            <w:tcW w:w="2070" w:type="dxa"/>
            <w:tcBorders>
              <w:top w:val="nil"/>
              <w:left w:val="single" w:sz="4" w:space="0" w:color="auto"/>
              <w:bottom w:val="single" w:sz="4" w:space="0" w:color="auto"/>
              <w:right w:val="single" w:sz="4" w:space="0" w:color="auto"/>
            </w:tcBorders>
            <w:vAlign w:val="center"/>
          </w:tcPr>
          <w:p w14:paraId="7AE52116" w14:textId="0E3730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4333387C" w14:textId="64DA398D"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1F0AD1AE" w14:textId="0F59E9A9"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 - two different examiners</w:t>
            </w:r>
          </w:p>
        </w:tc>
      </w:tr>
      <w:tr w:rsidR="001E2DA8" w:rsidRPr="002F1FA7" w14:paraId="0852143B" w14:textId="77777777" w:rsidTr="00CF2E4C">
        <w:trPr>
          <w:trHeight w:val="300"/>
        </w:trPr>
        <w:tc>
          <w:tcPr>
            <w:tcW w:w="2805" w:type="dxa"/>
            <w:tcBorders>
              <w:top w:val="nil"/>
              <w:left w:val="nil"/>
              <w:bottom w:val="nil"/>
              <w:right w:val="nil"/>
            </w:tcBorders>
            <w:shd w:val="clear" w:color="000000" w:fill="16365C"/>
            <w:noWrap/>
            <w:vAlign w:val="center"/>
          </w:tcPr>
          <w:p w14:paraId="725F05BC" w14:textId="0F9BD457"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raywhite.property</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26BE5BF" w14:textId="4677AA93"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HKS-1500027</w:t>
            </w:r>
          </w:p>
        </w:tc>
        <w:tc>
          <w:tcPr>
            <w:tcW w:w="2070" w:type="dxa"/>
            <w:tcBorders>
              <w:top w:val="nil"/>
              <w:left w:val="single" w:sz="4" w:space="0" w:color="auto"/>
              <w:bottom w:val="single" w:sz="4" w:space="0" w:color="auto"/>
              <w:right w:val="single" w:sz="4" w:space="0" w:color="auto"/>
            </w:tcBorders>
            <w:vAlign w:val="center"/>
          </w:tcPr>
          <w:p w14:paraId="4059B22B" w14:textId="435BAC8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4C14F708" w14:textId="5EDA235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5B55DED2" w14:textId="57281A6F"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5F98D64" w14:textId="77777777" w:rsidTr="00CF2E4C">
        <w:trPr>
          <w:trHeight w:val="300"/>
        </w:trPr>
        <w:tc>
          <w:tcPr>
            <w:tcW w:w="2805" w:type="dxa"/>
            <w:tcBorders>
              <w:top w:val="nil"/>
              <w:left w:val="nil"/>
              <w:bottom w:val="nil"/>
              <w:right w:val="nil"/>
            </w:tcBorders>
            <w:shd w:val="clear" w:color="000000" w:fill="16365C"/>
            <w:noWrap/>
            <w:vAlign w:val="center"/>
          </w:tcPr>
          <w:p w14:paraId="4FDECB2A" w14:textId="557031DF"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lastRenderedPageBreak/>
              <w:t>raywhite.property</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124D8C9" w14:textId="1E8D76A7"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HKS-1500028</w:t>
            </w:r>
          </w:p>
        </w:tc>
        <w:tc>
          <w:tcPr>
            <w:tcW w:w="2070" w:type="dxa"/>
            <w:tcBorders>
              <w:top w:val="nil"/>
              <w:left w:val="single" w:sz="4" w:space="0" w:color="auto"/>
              <w:bottom w:val="single" w:sz="4" w:space="0" w:color="auto"/>
              <w:right w:val="single" w:sz="4" w:space="0" w:color="auto"/>
            </w:tcBorders>
            <w:vAlign w:val="center"/>
          </w:tcPr>
          <w:p w14:paraId="6D9D5848" w14:textId="02A45B5A" w:rsidR="001E2DA8"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850A403" w14:textId="31E8B28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May 2015</w:t>
            </w:r>
          </w:p>
        </w:tc>
        <w:tc>
          <w:tcPr>
            <w:tcW w:w="6390" w:type="dxa"/>
            <w:tcBorders>
              <w:top w:val="nil"/>
              <w:left w:val="single" w:sz="4" w:space="0" w:color="auto"/>
              <w:bottom w:val="single" w:sz="4" w:space="0" w:color="auto"/>
              <w:right w:val="single" w:sz="4" w:space="0" w:color="auto"/>
            </w:tcBorders>
            <w:vAlign w:val="center"/>
          </w:tcPr>
          <w:p w14:paraId="58B0E978" w14:textId="0B18FCA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Brand Protection May 2016</w:t>
            </w:r>
          </w:p>
        </w:tc>
      </w:tr>
      <w:tr w:rsidR="001E2DA8" w:rsidRPr="002F1FA7" w14:paraId="1F03F5B9" w14:textId="77777777" w:rsidTr="00CF2E4C">
        <w:trPr>
          <w:trHeight w:val="300"/>
        </w:trPr>
        <w:tc>
          <w:tcPr>
            <w:tcW w:w="2805" w:type="dxa"/>
            <w:tcBorders>
              <w:top w:val="nil"/>
              <w:left w:val="nil"/>
              <w:bottom w:val="nil"/>
              <w:right w:val="nil"/>
            </w:tcBorders>
            <w:shd w:val="clear" w:color="000000" w:fill="16365C"/>
            <w:noWrap/>
            <w:vAlign w:val="center"/>
          </w:tcPr>
          <w:p w14:paraId="0182C082" w14:textId="7472C8FD"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alibaba.website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FF6CC" w14:textId="6C66F43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HKS-1500020</w:t>
            </w:r>
          </w:p>
        </w:tc>
        <w:tc>
          <w:tcPr>
            <w:tcW w:w="2070" w:type="dxa"/>
            <w:tcBorders>
              <w:top w:val="nil"/>
              <w:left w:val="single" w:sz="4" w:space="0" w:color="auto"/>
              <w:bottom w:val="single" w:sz="4" w:space="0" w:color="auto"/>
              <w:right w:val="single" w:sz="4" w:space="0" w:color="auto"/>
            </w:tcBorders>
            <w:vAlign w:val="center"/>
          </w:tcPr>
          <w:p w14:paraId="354BB319" w14:textId="6B2C77E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2293E5" w14:textId="1054AB6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November 2014</w:t>
            </w:r>
          </w:p>
        </w:tc>
        <w:tc>
          <w:tcPr>
            <w:tcW w:w="6390" w:type="dxa"/>
            <w:tcBorders>
              <w:top w:val="nil"/>
              <w:left w:val="single" w:sz="4" w:space="0" w:color="auto"/>
              <w:bottom w:val="single" w:sz="4" w:space="0" w:color="auto"/>
              <w:right w:val="single" w:sz="4" w:space="0" w:color="auto"/>
            </w:tcBorders>
            <w:vAlign w:val="center"/>
          </w:tcPr>
          <w:p w14:paraId="2D90972A" w14:textId="388AF1C3"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3E83D32" w14:textId="77777777" w:rsidTr="00CF2E4C">
        <w:trPr>
          <w:trHeight w:val="300"/>
        </w:trPr>
        <w:tc>
          <w:tcPr>
            <w:tcW w:w="2805" w:type="dxa"/>
            <w:tcBorders>
              <w:top w:val="nil"/>
              <w:left w:val="nil"/>
              <w:bottom w:val="nil"/>
              <w:right w:val="nil"/>
            </w:tcBorders>
            <w:shd w:val="clear" w:color="000000" w:fill="16365C"/>
            <w:noWrap/>
            <w:vAlign w:val="center"/>
          </w:tcPr>
          <w:p w14:paraId="75F672AA" w14:textId="0BB0FE48"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alibaba.website</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A99CBA6" w14:textId="4A98094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HKS-1500021</w:t>
            </w:r>
          </w:p>
        </w:tc>
        <w:tc>
          <w:tcPr>
            <w:tcW w:w="2070" w:type="dxa"/>
            <w:tcBorders>
              <w:top w:val="nil"/>
              <w:left w:val="single" w:sz="4" w:space="0" w:color="auto"/>
              <w:bottom w:val="single" w:sz="4" w:space="0" w:color="auto"/>
              <w:right w:val="single" w:sz="4" w:space="0" w:color="auto"/>
            </w:tcBorders>
            <w:vAlign w:val="center"/>
          </w:tcPr>
          <w:p w14:paraId="49265FF8" w14:textId="2FA02549"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3C7D91" w14:textId="2D070EE6" w:rsidR="001E2DA8" w:rsidRPr="002F1FA7" w:rsidRDefault="002F6D25"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July 2015</w:t>
            </w:r>
          </w:p>
        </w:tc>
        <w:tc>
          <w:tcPr>
            <w:tcW w:w="6390" w:type="dxa"/>
            <w:tcBorders>
              <w:top w:val="nil"/>
              <w:left w:val="single" w:sz="4" w:space="0" w:color="auto"/>
              <w:bottom w:val="single" w:sz="4" w:space="0" w:color="auto"/>
              <w:right w:val="single" w:sz="4" w:space="0" w:color="auto"/>
            </w:tcBorders>
            <w:vAlign w:val="center"/>
          </w:tcPr>
          <w:p w14:paraId="0BAA00AA" w14:textId="00BCDBB1"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w:t>
            </w:r>
            <w:r>
              <w:rPr>
                <w:rFonts w:ascii="Calibri" w:eastAsia="Times New Roman" w:hAnsi="Calibri" w:cs="Times New Roman"/>
                <w:color w:val="000000"/>
                <w:sz w:val="18"/>
                <w:szCs w:val="18"/>
              </w:rPr>
              <w:t>; UDRP filed and prevailed Jul 2015</w:t>
            </w:r>
          </w:p>
        </w:tc>
      </w:tr>
      <w:tr w:rsidR="001E2DA8" w:rsidRPr="002F1FA7" w14:paraId="7AB01400" w14:textId="77777777" w:rsidTr="00CF2E4C">
        <w:trPr>
          <w:trHeight w:val="300"/>
        </w:trPr>
        <w:tc>
          <w:tcPr>
            <w:tcW w:w="2805" w:type="dxa"/>
            <w:tcBorders>
              <w:top w:val="nil"/>
              <w:left w:val="nil"/>
              <w:bottom w:val="nil"/>
              <w:right w:val="nil"/>
            </w:tcBorders>
            <w:shd w:val="clear" w:color="000000" w:fill="16365C"/>
            <w:noWrap/>
            <w:vAlign w:val="center"/>
          </w:tcPr>
          <w:p w14:paraId="4F806CEC" w14:textId="60ABDE05"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juhuasuan.wang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CDF77B3" w14:textId="624DD4A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HKS-1400015</w:t>
            </w:r>
          </w:p>
        </w:tc>
        <w:tc>
          <w:tcPr>
            <w:tcW w:w="2070" w:type="dxa"/>
            <w:tcBorders>
              <w:top w:val="nil"/>
              <w:left w:val="single" w:sz="4" w:space="0" w:color="auto"/>
              <w:bottom w:val="single" w:sz="4" w:space="0" w:color="auto"/>
              <w:right w:val="single" w:sz="4" w:space="0" w:color="auto"/>
            </w:tcBorders>
            <w:vAlign w:val="center"/>
          </w:tcPr>
          <w:p w14:paraId="73FFB8F5" w14:textId="2DED9F60"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679248" w14:textId="0A69C16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046390A1" w14:textId="5DE1BC2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2615BF" w:rsidRPr="002F1FA7" w14:paraId="3EF79078" w14:textId="5AE8206C" w:rsidTr="00CF2E4C">
        <w:trPr>
          <w:trHeight w:val="300"/>
        </w:trPr>
        <w:tc>
          <w:tcPr>
            <w:tcW w:w="2805" w:type="dxa"/>
            <w:tcBorders>
              <w:top w:val="nil"/>
              <w:left w:val="nil"/>
              <w:bottom w:val="nil"/>
              <w:right w:val="nil"/>
            </w:tcBorders>
            <w:shd w:val="clear" w:color="000000" w:fill="16365C"/>
            <w:noWrap/>
            <w:vAlign w:val="center"/>
          </w:tcPr>
          <w:p w14:paraId="74063F77" w14:textId="6DEAE4B4" w:rsidR="002615BF"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juhuasuan.wang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EBDB5E3" w14:textId="294DC8E4" w:rsidR="002615BF" w:rsidRPr="002F1FA7" w:rsidRDefault="00CF2E4C"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HKS-1400016</w:t>
            </w:r>
          </w:p>
        </w:tc>
        <w:tc>
          <w:tcPr>
            <w:tcW w:w="2070" w:type="dxa"/>
            <w:tcBorders>
              <w:top w:val="nil"/>
              <w:left w:val="single" w:sz="4" w:space="0" w:color="auto"/>
              <w:bottom w:val="single" w:sz="4" w:space="0" w:color="auto"/>
              <w:right w:val="single" w:sz="4" w:space="0" w:color="auto"/>
            </w:tcBorders>
            <w:vAlign w:val="center"/>
          </w:tcPr>
          <w:p w14:paraId="38383F51" w14:textId="5033EFC1" w:rsidR="002615BF"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3095950" w14:textId="1803389E"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1630B7FD" w14:textId="6CE22F48" w:rsidR="002615BF" w:rsidRPr="001E2DA8" w:rsidRDefault="00CF362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r w:rsidR="002615BF" w:rsidRPr="002F1FA7" w14:paraId="6DBC3FF9" w14:textId="660F15D6" w:rsidTr="00CF2E4C">
        <w:trPr>
          <w:trHeight w:val="300"/>
        </w:trPr>
        <w:tc>
          <w:tcPr>
            <w:tcW w:w="2805" w:type="dxa"/>
            <w:tcBorders>
              <w:top w:val="nil"/>
              <w:left w:val="nil"/>
              <w:bottom w:val="nil"/>
              <w:right w:val="nil"/>
            </w:tcBorders>
            <w:shd w:val="clear" w:color="000000" w:fill="16365C"/>
            <w:noWrap/>
            <w:vAlign w:val="center"/>
          </w:tcPr>
          <w:p w14:paraId="3A6E1E9D" w14:textId="339206B3" w:rsidR="002615BF"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tmall.wang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D9950C4" w14:textId="28A36AF2"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HKS-1400011</w:t>
            </w:r>
          </w:p>
        </w:tc>
        <w:tc>
          <w:tcPr>
            <w:tcW w:w="2070" w:type="dxa"/>
            <w:tcBorders>
              <w:top w:val="nil"/>
              <w:left w:val="single" w:sz="4" w:space="0" w:color="auto"/>
              <w:bottom w:val="single" w:sz="4" w:space="0" w:color="auto"/>
              <w:right w:val="single" w:sz="4" w:space="0" w:color="auto"/>
            </w:tcBorders>
            <w:vAlign w:val="center"/>
          </w:tcPr>
          <w:p w14:paraId="547F4136" w14:textId="0E7B307A"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352AB19" w14:textId="23ACE27B"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6BC5A408" w14:textId="37FC06B3" w:rsidR="002615BF"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7FD0BAF1" w14:textId="77777777" w:rsidTr="00CF2E4C">
        <w:trPr>
          <w:trHeight w:val="300"/>
        </w:trPr>
        <w:tc>
          <w:tcPr>
            <w:tcW w:w="2805" w:type="dxa"/>
            <w:tcBorders>
              <w:top w:val="nil"/>
              <w:left w:val="nil"/>
              <w:bottom w:val="nil"/>
              <w:right w:val="nil"/>
            </w:tcBorders>
            <w:shd w:val="clear" w:color="000000" w:fill="16365C"/>
            <w:noWrap/>
            <w:vAlign w:val="center"/>
          </w:tcPr>
          <w:p w14:paraId="642D5AB3" w14:textId="66418FD2" w:rsidR="001E2DA8" w:rsidRPr="002F1FA7" w:rsidRDefault="00CF2E4C" w:rsidP="001E2DA8">
            <w:pPr>
              <w:spacing w:after="0" w:line="240" w:lineRule="auto"/>
              <w:rPr>
                <w:rFonts w:ascii="Calibri" w:eastAsia="Times New Roman" w:hAnsi="Calibri" w:cs="Times New Roman"/>
                <w:b/>
                <w:bCs/>
                <w:color w:val="FFFFFF"/>
              </w:rPr>
            </w:pPr>
            <w:proofErr w:type="spellStart"/>
            <w:proofErr w:type="gramStart"/>
            <w:r w:rsidRPr="00CF2E4C">
              <w:rPr>
                <w:rFonts w:ascii="Calibri" w:eastAsia="Times New Roman" w:hAnsi="Calibri" w:cs="Times New Roman"/>
                <w:b/>
                <w:bCs/>
                <w:color w:val="FFFFFF"/>
              </w:rPr>
              <w:t>tmall.wang</w:t>
            </w:r>
            <w:proofErr w:type="spellEnd"/>
            <w:proofErr w:type="gramEnd"/>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FD6696" w14:textId="0FA922E4"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HKS-1400014</w:t>
            </w:r>
          </w:p>
        </w:tc>
        <w:tc>
          <w:tcPr>
            <w:tcW w:w="2070" w:type="dxa"/>
            <w:tcBorders>
              <w:top w:val="nil"/>
              <w:left w:val="single" w:sz="4" w:space="0" w:color="auto"/>
              <w:bottom w:val="single" w:sz="4" w:space="0" w:color="auto"/>
              <w:right w:val="single" w:sz="4" w:space="0" w:color="auto"/>
            </w:tcBorders>
            <w:vAlign w:val="center"/>
          </w:tcPr>
          <w:p w14:paraId="26554F00" w14:textId="17A8FA9C" w:rsidR="001E2DA8" w:rsidRPr="00CF2E4C" w:rsidRDefault="00CF2E4C" w:rsidP="001E2DA8">
            <w:pPr>
              <w:spacing w:after="0" w:line="240" w:lineRule="auto"/>
              <w:rPr>
                <w:rFonts w:ascii="Calibri" w:eastAsia="Times New Roman" w:hAnsi="Calibri" w:cs="Times New Roman"/>
                <w:bCs/>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1C489EB" w14:textId="6FC7D3D9"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5BEBCAD2" w14:textId="3461C147" w:rsidR="001E2DA8" w:rsidRPr="00CF2E4C" w:rsidRDefault="00CF3624" w:rsidP="001E2DA8">
            <w:pPr>
              <w:spacing w:after="0" w:line="240" w:lineRule="auto"/>
              <w:rPr>
                <w:rFonts w:ascii="Calibri" w:eastAsia="Times New Roman" w:hAnsi="Calibri" w:cs="Times New Roman"/>
                <w:bCs/>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bl>
    <w:p w14:paraId="2A0DC754" w14:textId="77777777" w:rsidR="002615BF" w:rsidRDefault="002615BF" w:rsidP="002615BF">
      <w:pPr>
        <w:spacing w:after="0"/>
      </w:pPr>
    </w:p>
    <w:p w14:paraId="0BF85A85" w14:textId="51B56147" w:rsidR="00940225" w:rsidRDefault="00940225">
      <w:r>
        <w:br w:type="page"/>
      </w:r>
    </w:p>
    <w:p w14:paraId="51945839" w14:textId="77777777" w:rsidR="00834400" w:rsidRDefault="00940225" w:rsidP="00940225">
      <w:pPr>
        <w:spacing w:after="0" w:line="240" w:lineRule="auto"/>
        <w:rPr>
          <w:b/>
          <w:sz w:val="28"/>
          <w:szCs w:val="28"/>
        </w:rPr>
      </w:pPr>
      <w:r>
        <w:rPr>
          <w:b/>
          <w:sz w:val="28"/>
          <w:szCs w:val="28"/>
        </w:rPr>
        <w:lastRenderedPageBreak/>
        <w:t>TABLE 11: URS Case Response Analysis</w:t>
      </w:r>
    </w:p>
    <w:p w14:paraId="586FA132" w14:textId="77777777" w:rsidR="00834400" w:rsidRDefault="00834400" w:rsidP="00940225">
      <w:pPr>
        <w:spacing w:after="0" w:line="240" w:lineRule="auto"/>
        <w:rPr>
          <w:b/>
          <w:sz w:val="28"/>
          <w:szCs w:val="28"/>
        </w:rPr>
      </w:pPr>
    </w:p>
    <w:p w14:paraId="42164F64" w14:textId="273D53A2" w:rsidR="00834400" w:rsidRPr="00773972" w:rsidRDefault="00834400" w:rsidP="00773972">
      <w:pPr>
        <w:pBdr>
          <w:top w:val="single" w:sz="4" w:space="1" w:color="auto"/>
          <w:left w:val="single" w:sz="4" w:space="4" w:color="auto"/>
          <w:bottom w:val="single" w:sz="4" w:space="1" w:color="auto"/>
          <w:right w:val="single" w:sz="4" w:space="4" w:color="auto"/>
        </w:pBdr>
        <w:spacing w:after="0"/>
        <w:rPr>
          <w:u w:val="single"/>
        </w:rPr>
      </w:pPr>
      <w:r w:rsidRPr="00773972">
        <w:rPr>
          <w:u w:val="single"/>
        </w:rPr>
        <w:t>SUMMARY OF INITIAL FINDINGS:</w:t>
      </w:r>
    </w:p>
    <w:p w14:paraId="6CF093A8" w14:textId="599074E4" w:rsidR="00834400" w:rsidRDefault="00834400" w:rsidP="00773972">
      <w:pPr>
        <w:pBdr>
          <w:top w:val="single" w:sz="4" w:space="1" w:color="auto"/>
          <w:left w:val="single" w:sz="4" w:space="4" w:color="auto"/>
          <w:bottom w:val="single" w:sz="4" w:space="1" w:color="auto"/>
          <w:right w:val="single" w:sz="4" w:space="4" w:color="auto"/>
        </w:pBdr>
        <w:spacing w:after="0"/>
      </w:pPr>
      <w:r>
        <w:t>Of the 827 cases decided through end-2017:</w:t>
      </w:r>
    </w:p>
    <w:p w14:paraId="0F2E96D0" w14:textId="7777777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27% of the cases saw a Response filed</w:t>
      </w:r>
      <w:r w:rsidRPr="00773972">
        <w:t xml:space="preserve"> to the Complaint</w:t>
      </w:r>
    </w:p>
    <w:p w14:paraId="095C6CC7" w14:textId="639B572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23% of the cases saw a Re</w:t>
      </w:r>
      <w:r w:rsidR="00647460">
        <w:rPr>
          <w:b/>
        </w:rPr>
        <w:t xml:space="preserve">sponse filed within the </w:t>
      </w:r>
      <w:bookmarkStart w:id="1" w:name="_GoBack"/>
      <w:bookmarkEnd w:id="1"/>
      <w:r w:rsidRPr="00773972">
        <w:rPr>
          <w:b/>
        </w:rPr>
        <w:t>14-day period</w:t>
      </w:r>
      <w:r w:rsidRPr="00773972">
        <w:t xml:space="preserve"> specified in the URS procedure and rules</w:t>
      </w:r>
    </w:p>
    <w:p w14:paraId="39C5BF26" w14:textId="5737E46B" w:rsidR="00773972" w:rsidRPr="00773972" w:rsidRDefault="00773972" w:rsidP="00773972">
      <w:pPr>
        <w:pBdr>
          <w:top w:val="single" w:sz="4" w:space="1" w:color="auto"/>
          <w:left w:val="single" w:sz="4" w:space="4" w:color="auto"/>
          <w:bottom w:val="single" w:sz="4" w:space="1" w:color="auto"/>
          <w:right w:val="single" w:sz="4" w:space="4" w:color="auto"/>
        </w:pBdr>
        <w:spacing w:after="0"/>
        <w:rPr>
          <w:b/>
        </w:rPr>
      </w:pPr>
      <w:r w:rsidRPr="00773972">
        <w:rPr>
          <w:b/>
        </w:rPr>
        <w:t xml:space="preserve">13% of the cases </w:t>
      </w:r>
      <w:r>
        <w:rPr>
          <w:b/>
        </w:rPr>
        <w:t>with</w:t>
      </w:r>
      <w:r w:rsidRPr="00773972">
        <w:rPr>
          <w:b/>
        </w:rPr>
        <w:t xml:space="preserve"> a Response </w:t>
      </w:r>
      <w:r>
        <w:rPr>
          <w:b/>
        </w:rPr>
        <w:t>resulted in</w:t>
      </w:r>
      <w:r w:rsidRPr="00773972">
        <w:rPr>
          <w:b/>
        </w:rPr>
        <w:t xml:space="preserve"> the claim </w:t>
      </w:r>
      <w:r>
        <w:rPr>
          <w:b/>
        </w:rPr>
        <w:t xml:space="preserve">being </w:t>
      </w:r>
      <w:r w:rsidRPr="00773972">
        <w:rPr>
          <w:b/>
        </w:rPr>
        <w:t>denied</w:t>
      </w:r>
    </w:p>
    <w:p w14:paraId="5FCA64B2" w14:textId="72EDE1F5" w:rsidR="00773972" w:rsidRDefault="00773972" w:rsidP="00773972">
      <w:pPr>
        <w:spacing w:after="0"/>
      </w:pPr>
    </w:p>
    <w:p w14:paraId="3661CD24" w14:textId="77777777" w:rsidR="00940225" w:rsidRDefault="00940225" w:rsidP="002615BF">
      <w:pPr>
        <w:spacing w:after="0"/>
      </w:pPr>
    </w:p>
    <w:tbl>
      <w:tblPr>
        <w:tblW w:w="11265" w:type="dxa"/>
        <w:tblInd w:w="93" w:type="dxa"/>
        <w:tblLook w:val="04A0" w:firstRow="1" w:lastRow="0" w:firstColumn="1" w:lastColumn="0" w:noHBand="0" w:noVBand="1"/>
      </w:tblPr>
      <w:tblGrid>
        <w:gridCol w:w="2820"/>
        <w:gridCol w:w="2055"/>
        <w:gridCol w:w="2160"/>
        <w:gridCol w:w="2250"/>
        <w:gridCol w:w="1980"/>
      </w:tblGrid>
      <w:tr w:rsidR="00940225" w:rsidRPr="00940225" w14:paraId="76795754" w14:textId="77777777" w:rsidTr="00940225">
        <w:trPr>
          <w:trHeight w:val="300"/>
        </w:trPr>
        <w:tc>
          <w:tcPr>
            <w:tcW w:w="2820" w:type="dxa"/>
            <w:tcBorders>
              <w:top w:val="nil"/>
              <w:left w:val="nil"/>
              <w:bottom w:val="nil"/>
              <w:right w:val="nil"/>
            </w:tcBorders>
            <w:shd w:val="clear" w:color="000000" w:fill="16365C"/>
            <w:noWrap/>
            <w:vAlign w:val="bottom"/>
            <w:hideMark/>
          </w:tcPr>
          <w:p w14:paraId="5E0A312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 </w:t>
            </w:r>
          </w:p>
        </w:tc>
        <w:tc>
          <w:tcPr>
            <w:tcW w:w="2055" w:type="dxa"/>
            <w:tcBorders>
              <w:top w:val="nil"/>
              <w:left w:val="nil"/>
              <w:bottom w:val="nil"/>
              <w:right w:val="nil"/>
            </w:tcBorders>
            <w:shd w:val="clear" w:color="000000" w:fill="16365C"/>
            <w:noWrap/>
            <w:vAlign w:val="bottom"/>
            <w:hideMark/>
          </w:tcPr>
          <w:p w14:paraId="480B9F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14d</w:t>
            </w:r>
          </w:p>
        </w:tc>
        <w:tc>
          <w:tcPr>
            <w:tcW w:w="2160" w:type="dxa"/>
            <w:tcBorders>
              <w:top w:val="nil"/>
              <w:left w:val="nil"/>
              <w:bottom w:val="nil"/>
              <w:right w:val="nil"/>
            </w:tcBorders>
            <w:shd w:val="clear" w:color="000000" w:fill="16365C"/>
            <w:noWrap/>
            <w:vAlign w:val="bottom"/>
            <w:hideMark/>
          </w:tcPr>
          <w:p w14:paraId="0103E268"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6mo</w:t>
            </w:r>
          </w:p>
        </w:tc>
        <w:tc>
          <w:tcPr>
            <w:tcW w:w="2250" w:type="dxa"/>
            <w:tcBorders>
              <w:top w:val="nil"/>
              <w:left w:val="nil"/>
              <w:bottom w:val="nil"/>
              <w:right w:val="nil"/>
            </w:tcBorders>
            <w:shd w:val="clear" w:color="000000" w:fill="16365C"/>
            <w:noWrap/>
            <w:vAlign w:val="bottom"/>
            <w:hideMark/>
          </w:tcPr>
          <w:p w14:paraId="0D115A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N/A</w:t>
            </w:r>
          </w:p>
        </w:tc>
        <w:tc>
          <w:tcPr>
            <w:tcW w:w="1980" w:type="dxa"/>
            <w:tcBorders>
              <w:top w:val="nil"/>
              <w:left w:val="nil"/>
              <w:bottom w:val="nil"/>
              <w:right w:val="nil"/>
            </w:tcBorders>
            <w:shd w:val="clear" w:color="000000" w:fill="16365C"/>
            <w:noWrap/>
            <w:vAlign w:val="bottom"/>
            <w:hideMark/>
          </w:tcPr>
          <w:p w14:paraId="6DDA9B0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Grand Total</w:t>
            </w:r>
          </w:p>
        </w:tc>
      </w:tr>
      <w:tr w:rsidR="00940225" w:rsidRPr="00940225" w14:paraId="39297968" w14:textId="77777777" w:rsidTr="00940225">
        <w:trPr>
          <w:trHeight w:val="300"/>
        </w:trPr>
        <w:tc>
          <w:tcPr>
            <w:tcW w:w="2820" w:type="dxa"/>
            <w:tcBorders>
              <w:top w:val="nil"/>
              <w:left w:val="nil"/>
              <w:bottom w:val="nil"/>
              <w:right w:val="nil"/>
            </w:tcBorders>
            <w:shd w:val="clear" w:color="000000" w:fill="16365C"/>
            <w:noWrap/>
            <w:vAlign w:val="bottom"/>
            <w:hideMark/>
          </w:tcPr>
          <w:p w14:paraId="2818319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Claim Denied</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71D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1467A70"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07D3BDAF"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1208F6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59</w:t>
            </w:r>
          </w:p>
        </w:tc>
      </w:tr>
      <w:tr w:rsidR="00940225" w:rsidRPr="00940225" w14:paraId="541BBA7A" w14:textId="77777777" w:rsidTr="00940225">
        <w:trPr>
          <w:trHeight w:val="300"/>
        </w:trPr>
        <w:tc>
          <w:tcPr>
            <w:tcW w:w="2820" w:type="dxa"/>
            <w:tcBorders>
              <w:top w:val="nil"/>
              <w:left w:val="nil"/>
              <w:bottom w:val="nil"/>
              <w:right w:val="nil"/>
            </w:tcBorders>
            <w:shd w:val="clear" w:color="000000" w:fill="16365C"/>
            <w:noWrap/>
            <w:vAlign w:val="bottom"/>
            <w:hideMark/>
          </w:tcPr>
          <w:p w14:paraId="07236200"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73735D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BE87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1018739D"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c>
          <w:tcPr>
            <w:tcW w:w="1980" w:type="dxa"/>
            <w:tcBorders>
              <w:top w:val="nil"/>
              <w:left w:val="nil"/>
              <w:bottom w:val="single" w:sz="4" w:space="0" w:color="auto"/>
              <w:right w:val="single" w:sz="4" w:space="0" w:color="auto"/>
            </w:tcBorders>
            <w:shd w:val="clear" w:color="auto" w:fill="auto"/>
            <w:noWrap/>
            <w:vAlign w:val="bottom"/>
            <w:hideMark/>
          </w:tcPr>
          <w:p w14:paraId="1517FB9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r>
      <w:tr w:rsidR="00940225" w:rsidRPr="00940225" w14:paraId="10095D3B" w14:textId="77777777" w:rsidTr="00940225">
        <w:trPr>
          <w:trHeight w:val="300"/>
        </w:trPr>
        <w:tc>
          <w:tcPr>
            <w:tcW w:w="2820" w:type="dxa"/>
            <w:tcBorders>
              <w:top w:val="nil"/>
              <w:left w:val="nil"/>
              <w:bottom w:val="nil"/>
              <w:right w:val="nil"/>
            </w:tcBorders>
            <w:shd w:val="clear" w:color="000000" w:fill="16365C"/>
            <w:noWrap/>
            <w:vAlign w:val="bottom"/>
            <w:hideMark/>
          </w:tcPr>
          <w:p w14:paraId="46CDC65E"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F3FDB23"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C6C97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250" w:type="dxa"/>
            <w:tcBorders>
              <w:top w:val="nil"/>
              <w:left w:val="nil"/>
              <w:bottom w:val="single" w:sz="4" w:space="0" w:color="auto"/>
              <w:right w:val="single" w:sz="4" w:space="0" w:color="auto"/>
            </w:tcBorders>
            <w:shd w:val="clear" w:color="auto" w:fill="auto"/>
            <w:noWrap/>
            <w:vAlign w:val="bottom"/>
            <w:hideMark/>
          </w:tcPr>
          <w:p w14:paraId="782CE9A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E0D51D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r>
      <w:tr w:rsidR="00940225" w:rsidRPr="00940225" w14:paraId="2D8B8B5B" w14:textId="77777777" w:rsidTr="00940225">
        <w:trPr>
          <w:trHeight w:val="300"/>
        </w:trPr>
        <w:tc>
          <w:tcPr>
            <w:tcW w:w="2820" w:type="dxa"/>
            <w:tcBorders>
              <w:top w:val="nil"/>
              <w:left w:val="nil"/>
              <w:bottom w:val="nil"/>
              <w:right w:val="nil"/>
            </w:tcBorders>
            <w:shd w:val="clear" w:color="000000" w:fill="16365C"/>
            <w:noWrap/>
            <w:vAlign w:val="bottom"/>
            <w:hideMark/>
          </w:tcPr>
          <w:p w14:paraId="524A55DB"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8CC9F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22</w:t>
            </w:r>
          </w:p>
        </w:tc>
        <w:tc>
          <w:tcPr>
            <w:tcW w:w="2160" w:type="dxa"/>
            <w:tcBorders>
              <w:top w:val="nil"/>
              <w:left w:val="nil"/>
              <w:bottom w:val="single" w:sz="4" w:space="0" w:color="auto"/>
              <w:right w:val="single" w:sz="4" w:space="0" w:color="auto"/>
            </w:tcBorders>
            <w:shd w:val="clear" w:color="auto" w:fill="auto"/>
            <w:noWrap/>
            <w:vAlign w:val="bottom"/>
            <w:hideMark/>
          </w:tcPr>
          <w:p w14:paraId="2D2134F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w:t>
            </w:r>
          </w:p>
        </w:tc>
        <w:tc>
          <w:tcPr>
            <w:tcW w:w="2250" w:type="dxa"/>
            <w:tcBorders>
              <w:top w:val="nil"/>
              <w:left w:val="nil"/>
              <w:bottom w:val="single" w:sz="4" w:space="0" w:color="auto"/>
              <w:right w:val="single" w:sz="4" w:space="0" w:color="auto"/>
            </w:tcBorders>
            <w:shd w:val="clear" w:color="auto" w:fill="auto"/>
            <w:noWrap/>
            <w:vAlign w:val="bottom"/>
            <w:hideMark/>
          </w:tcPr>
          <w:p w14:paraId="6DFA0C6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CBB6E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27</w:t>
            </w:r>
          </w:p>
        </w:tc>
      </w:tr>
      <w:tr w:rsidR="00940225" w:rsidRPr="00940225" w14:paraId="5ACC316E" w14:textId="77777777" w:rsidTr="00940225">
        <w:trPr>
          <w:trHeight w:val="300"/>
        </w:trPr>
        <w:tc>
          <w:tcPr>
            <w:tcW w:w="2820" w:type="dxa"/>
            <w:tcBorders>
              <w:top w:val="nil"/>
              <w:left w:val="nil"/>
              <w:bottom w:val="nil"/>
              <w:right w:val="nil"/>
            </w:tcBorders>
            <w:shd w:val="clear" w:color="000000" w:fill="16365C"/>
            <w:noWrap/>
            <w:vAlign w:val="bottom"/>
            <w:hideMark/>
          </w:tcPr>
          <w:p w14:paraId="5D6DEDE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D4BF06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167</w:t>
            </w:r>
          </w:p>
        </w:tc>
        <w:tc>
          <w:tcPr>
            <w:tcW w:w="2160" w:type="dxa"/>
            <w:tcBorders>
              <w:top w:val="nil"/>
              <w:left w:val="nil"/>
              <w:bottom w:val="single" w:sz="4" w:space="0" w:color="auto"/>
              <w:right w:val="single" w:sz="4" w:space="0" w:color="auto"/>
            </w:tcBorders>
            <w:shd w:val="clear" w:color="auto" w:fill="auto"/>
            <w:noWrap/>
            <w:vAlign w:val="bottom"/>
            <w:hideMark/>
          </w:tcPr>
          <w:p w14:paraId="4552C8E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24</w:t>
            </w:r>
          </w:p>
        </w:tc>
        <w:tc>
          <w:tcPr>
            <w:tcW w:w="2250" w:type="dxa"/>
            <w:tcBorders>
              <w:top w:val="nil"/>
              <w:left w:val="nil"/>
              <w:bottom w:val="single" w:sz="4" w:space="0" w:color="auto"/>
              <w:right w:val="single" w:sz="4" w:space="0" w:color="auto"/>
            </w:tcBorders>
            <w:shd w:val="clear" w:color="auto" w:fill="auto"/>
            <w:noWrap/>
            <w:vAlign w:val="bottom"/>
            <w:hideMark/>
          </w:tcPr>
          <w:p w14:paraId="13F241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4FBB2D7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722</w:t>
            </w:r>
          </w:p>
        </w:tc>
      </w:tr>
      <w:tr w:rsidR="00940225" w:rsidRPr="00940225" w14:paraId="3E66C744" w14:textId="77777777" w:rsidTr="00940225">
        <w:trPr>
          <w:trHeight w:val="300"/>
        </w:trPr>
        <w:tc>
          <w:tcPr>
            <w:tcW w:w="2820" w:type="dxa"/>
            <w:tcBorders>
              <w:top w:val="nil"/>
              <w:left w:val="nil"/>
              <w:bottom w:val="nil"/>
              <w:right w:val="nil"/>
            </w:tcBorders>
            <w:shd w:val="clear" w:color="000000" w:fill="16365C"/>
            <w:noWrap/>
            <w:vAlign w:val="bottom"/>
            <w:hideMark/>
          </w:tcPr>
          <w:p w14:paraId="669124D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693E80A7"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DA63E2"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5E3687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6CE8EA0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r>
      <w:tr w:rsidR="00940225" w:rsidRPr="00940225" w14:paraId="7A2BD886" w14:textId="77777777" w:rsidTr="00940225">
        <w:trPr>
          <w:trHeight w:val="300"/>
        </w:trPr>
        <w:tc>
          <w:tcPr>
            <w:tcW w:w="2820" w:type="dxa"/>
            <w:tcBorders>
              <w:top w:val="nil"/>
              <w:left w:val="nil"/>
              <w:bottom w:val="nil"/>
              <w:right w:val="nil"/>
            </w:tcBorders>
            <w:shd w:val="clear" w:color="000000" w:fill="16365C"/>
            <w:noWrap/>
            <w:vAlign w:val="bottom"/>
            <w:hideMark/>
          </w:tcPr>
          <w:p w14:paraId="07F7428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33BF680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160" w:type="dxa"/>
            <w:tcBorders>
              <w:top w:val="nil"/>
              <w:left w:val="nil"/>
              <w:bottom w:val="single" w:sz="4" w:space="0" w:color="auto"/>
              <w:right w:val="single" w:sz="4" w:space="0" w:color="auto"/>
            </w:tcBorders>
            <w:shd w:val="clear" w:color="auto" w:fill="auto"/>
            <w:noWrap/>
            <w:vAlign w:val="bottom"/>
            <w:hideMark/>
          </w:tcPr>
          <w:p w14:paraId="510645C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13</w:t>
            </w:r>
          </w:p>
        </w:tc>
        <w:tc>
          <w:tcPr>
            <w:tcW w:w="2250" w:type="dxa"/>
            <w:tcBorders>
              <w:top w:val="nil"/>
              <w:left w:val="nil"/>
              <w:bottom w:val="single" w:sz="4" w:space="0" w:color="auto"/>
              <w:right w:val="single" w:sz="4" w:space="0" w:color="auto"/>
            </w:tcBorders>
            <w:shd w:val="clear" w:color="auto" w:fill="auto"/>
            <w:noWrap/>
            <w:vAlign w:val="bottom"/>
            <w:hideMark/>
          </w:tcPr>
          <w:p w14:paraId="78AFEBC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FF6627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14</w:t>
            </w:r>
          </w:p>
        </w:tc>
      </w:tr>
      <w:tr w:rsidR="00940225" w:rsidRPr="00940225" w14:paraId="436BB336" w14:textId="77777777" w:rsidTr="00940225">
        <w:trPr>
          <w:trHeight w:val="300"/>
        </w:trPr>
        <w:tc>
          <w:tcPr>
            <w:tcW w:w="2820" w:type="dxa"/>
            <w:tcBorders>
              <w:top w:val="nil"/>
              <w:left w:val="nil"/>
              <w:bottom w:val="nil"/>
              <w:right w:val="nil"/>
            </w:tcBorders>
            <w:shd w:val="clear" w:color="000000" w:fill="16365C"/>
            <w:noWrap/>
            <w:vAlign w:val="bottom"/>
            <w:hideMark/>
          </w:tcPr>
          <w:p w14:paraId="7F1E8B7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1D8EE3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166</w:t>
            </w:r>
          </w:p>
        </w:tc>
        <w:tc>
          <w:tcPr>
            <w:tcW w:w="2160" w:type="dxa"/>
            <w:tcBorders>
              <w:top w:val="nil"/>
              <w:left w:val="nil"/>
              <w:bottom w:val="single" w:sz="4" w:space="0" w:color="auto"/>
              <w:right w:val="single" w:sz="4" w:space="0" w:color="auto"/>
            </w:tcBorders>
            <w:shd w:val="clear" w:color="auto" w:fill="auto"/>
            <w:noWrap/>
            <w:vAlign w:val="bottom"/>
            <w:hideMark/>
          </w:tcPr>
          <w:p w14:paraId="0A38287A"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11</w:t>
            </w:r>
          </w:p>
        </w:tc>
        <w:tc>
          <w:tcPr>
            <w:tcW w:w="2250" w:type="dxa"/>
            <w:tcBorders>
              <w:top w:val="nil"/>
              <w:left w:val="nil"/>
              <w:bottom w:val="single" w:sz="4" w:space="0" w:color="auto"/>
              <w:right w:val="single" w:sz="4" w:space="0" w:color="auto"/>
            </w:tcBorders>
            <w:shd w:val="clear" w:color="auto" w:fill="auto"/>
            <w:noWrap/>
            <w:vAlign w:val="bottom"/>
            <w:hideMark/>
          </w:tcPr>
          <w:p w14:paraId="2775780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08AAF1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177</w:t>
            </w:r>
          </w:p>
        </w:tc>
      </w:tr>
      <w:tr w:rsidR="00940225" w:rsidRPr="00940225" w14:paraId="7B19D975" w14:textId="77777777" w:rsidTr="00940225">
        <w:trPr>
          <w:trHeight w:val="300"/>
        </w:trPr>
        <w:tc>
          <w:tcPr>
            <w:tcW w:w="2820" w:type="dxa"/>
            <w:tcBorders>
              <w:top w:val="nil"/>
              <w:left w:val="nil"/>
              <w:bottom w:val="nil"/>
              <w:right w:val="nil"/>
            </w:tcBorders>
            <w:shd w:val="clear" w:color="000000" w:fill="16365C"/>
            <w:noWrap/>
            <w:vAlign w:val="bottom"/>
            <w:hideMark/>
          </w:tcPr>
          <w:p w14:paraId="15C6FEC1"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 (Split decision)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E27E75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2BE1C08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0EA4CEE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3A2E43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r>
      <w:tr w:rsidR="00940225" w:rsidRPr="00940225" w14:paraId="58D4A147" w14:textId="77777777" w:rsidTr="00940225">
        <w:trPr>
          <w:trHeight w:val="300"/>
        </w:trPr>
        <w:tc>
          <w:tcPr>
            <w:tcW w:w="2820" w:type="dxa"/>
            <w:tcBorders>
              <w:top w:val="nil"/>
              <w:left w:val="nil"/>
              <w:bottom w:val="nil"/>
              <w:right w:val="nil"/>
            </w:tcBorders>
            <w:shd w:val="clear" w:color="000000" w:fill="16365C"/>
            <w:noWrap/>
            <w:vAlign w:val="bottom"/>
            <w:hideMark/>
          </w:tcPr>
          <w:p w14:paraId="29B868A6"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2293679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0BFB04E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37F79FA1"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1B3C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r>
      <w:tr w:rsidR="00940225" w:rsidRPr="00940225" w14:paraId="16F0070B" w14:textId="77777777" w:rsidTr="00940225">
        <w:trPr>
          <w:trHeight w:val="300"/>
        </w:trPr>
        <w:tc>
          <w:tcPr>
            <w:tcW w:w="2820" w:type="dxa"/>
            <w:tcBorders>
              <w:top w:val="nil"/>
              <w:left w:val="nil"/>
              <w:bottom w:val="nil"/>
              <w:right w:val="nil"/>
            </w:tcBorders>
            <w:shd w:val="clear" w:color="000000" w:fill="16365C"/>
            <w:noWrap/>
            <w:vAlign w:val="bottom"/>
            <w:hideMark/>
          </w:tcPr>
          <w:p w14:paraId="703C1860"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Withdrawn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4C8017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90626B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2C08F12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6E17825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r>
      <w:tr w:rsidR="00940225" w:rsidRPr="00940225" w14:paraId="64301A32" w14:textId="77777777" w:rsidTr="00940225">
        <w:trPr>
          <w:trHeight w:val="300"/>
        </w:trPr>
        <w:tc>
          <w:tcPr>
            <w:tcW w:w="2820" w:type="dxa"/>
            <w:tcBorders>
              <w:top w:val="nil"/>
              <w:left w:val="nil"/>
              <w:bottom w:val="nil"/>
              <w:right w:val="nil"/>
            </w:tcBorders>
            <w:shd w:val="clear" w:color="000000" w:fill="16365C"/>
            <w:noWrap/>
            <w:vAlign w:val="bottom"/>
            <w:hideMark/>
          </w:tcPr>
          <w:p w14:paraId="114AF6C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(blank)</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3E928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B3323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4F99AB70"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5552CA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r>
      <w:tr w:rsidR="00940225" w:rsidRPr="00940225" w14:paraId="754BC540" w14:textId="77777777" w:rsidTr="00940225">
        <w:trPr>
          <w:trHeight w:val="300"/>
        </w:trPr>
        <w:tc>
          <w:tcPr>
            <w:tcW w:w="2820" w:type="dxa"/>
            <w:tcBorders>
              <w:top w:val="nil"/>
              <w:left w:val="nil"/>
              <w:bottom w:val="nil"/>
              <w:right w:val="nil"/>
            </w:tcBorders>
            <w:shd w:val="clear" w:color="000000" w:fill="16365C"/>
            <w:noWrap/>
            <w:vAlign w:val="bottom"/>
            <w:hideMark/>
          </w:tcPr>
          <w:p w14:paraId="2469CDC0" w14:textId="77777777" w:rsidR="00940225" w:rsidRPr="00940225" w:rsidRDefault="00940225" w:rsidP="00940225">
            <w:pPr>
              <w:spacing w:after="0" w:line="240" w:lineRule="auto"/>
              <w:rPr>
                <w:rFonts w:ascii="Calibri" w:eastAsia="Times New Roman" w:hAnsi="Calibri" w:cs="Times New Roman"/>
                <w:b/>
                <w:bCs/>
                <w:color w:val="FFFFFF"/>
              </w:rPr>
            </w:pPr>
            <w:r w:rsidRPr="00940225">
              <w:rPr>
                <w:rFonts w:ascii="Calibri" w:eastAsia="Times New Roman" w:hAnsi="Calibri" w:cs="Times New Roman"/>
                <w:b/>
                <w:bCs/>
                <w:color w:val="FFFFFF"/>
              </w:rPr>
              <w:t>Grand Total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A071393"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191</w:t>
            </w:r>
          </w:p>
        </w:tc>
        <w:tc>
          <w:tcPr>
            <w:tcW w:w="2160" w:type="dxa"/>
            <w:tcBorders>
              <w:top w:val="nil"/>
              <w:left w:val="nil"/>
              <w:bottom w:val="single" w:sz="4" w:space="0" w:color="auto"/>
              <w:right w:val="single" w:sz="4" w:space="0" w:color="auto"/>
            </w:tcBorders>
            <w:shd w:val="clear" w:color="auto" w:fill="auto"/>
            <w:noWrap/>
            <w:vAlign w:val="bottom"/>
            <w:hideMark/>
          </w:tcPr>
          <w:p w14:paraId="4C86933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30</w:t>
            </w:r>
          </w:p>
        </w:tc>
        <w:tc>
          <w:tcPr>
            <w:tcW w:w="2250" w:type="dxa"/>
            <w:tcBorders>
              <w:top w:val="nil"/>
              <w:left w:val="nil"/>
              <w:bottom w:val="single" w:sz="4" w:space="0" w:color="auto"/>
              <w:right w:val="single" w:sz="4" w:space="0" w:color="auto"/>
            </w:tcBorders>
            <w:shd w:val="clear" w:color="auto" w:fill="auto"/>
            <w:noWrap/>
            <w:vAlign w:val="bottom"/>
            <w:hideMark/>
          </w:tcPr>
          <w:p w14:paraId="61C99FC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606</w:t>
            </w:r>
          </w:p>
        </w:tc>
        <w:tc>
          <w:tcPr>
            <w:tcW w:w="1980" w:type="dxa"/>
            <w:tcBorders>
              <w:top w:val="nil"/>
              <w:left w:val="nil"/>
              <w:bottom w:val="single" w:sz="4" w:space="0" w:color="auto"/>
              <w:right w:val="single" w:sz="4" w:space="0" w:color="auto"/>
            </w:tcBorders>
            <w:shd w:val="clear" w:color="auto" w:fill="auto"/>
            <w:noWrap/>
            <w:vAlign w:val="bottom"/>
            <w:hideMark/>
          </w:tcPr>
          <w:p w14:paraId="0F02B0F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827</w:t>
            </w:r>
          </w:p>
        </w:tc>
      </w:tr>
    </w:tbl>
    <w:p w14:paraId="2A36573F" w14:textId="77777777" w:rsidR="00940225" w:rsidRDefault="00940225" w:rsidP="002615BF">
      <w:pPr>
        <w:spacing w:after="0"/>
      </w:pPr>
    </w:p>
    <w:p w14:paraId="4BD33831" w14:textId="428B3831" w:rsidR="00940225" w:rsidRPr="0048017B" w:rsidRDefault="0086375E" w:rsidP="00940225">
      <w:pPr>
        <w:spacing w:after="0"/>
        <w:rPr>
          <w:b/>
        </w:rPr>
      </w:pPr>
      <w:r>
        <w:rPr>
          <w:b/>
          <w:u w:val="single"/>
        </w:rPr>
        <w:t>Methodology</w:t>
      </w:r>
      <w:r w:rsidR="00940225" w:rsidRPr="0048017B">
        <w:rPr>
          <w:b/>
        </w:rPr>
        <w:t>:</w:t>
      </w:r>
    </w:p>
    <w:p w14:paraId="407606A5" w14:textId="71F79686" w:rsidR="00940225" w:rsidRDefault="00940225" w:rsidP="00940225">
      <w:pPr>
        <w:pStyle w:val="ListParagraph"/>
        <w:numPr>
          <w:ilvl w:val="0"/>
          <w:numId w:val="9"/>
        </w:numPr>
        <w:spacing w:after="0"/>
      </w:pPr>
      <w:r>
        <w:t xml:space="preserve">The table is first sorted by the outcome of the URS cases and then further categorized by the Determination.  Responses are </w:t>
      </w:r>
      <w:r w:rsidR="007800CD">
        <w:t>categorized as follows</w:t>
      </w:r>
      <w:r>
        <w:t>:</w:t>
      </w:r>
    </w:p>
    <w:p w14:paraId="0AE9B499" w14:textId="0E78D7FD" w:rsidR="00940225" w:rsidRDefault="00940225" w:rsidP="00940225">
      <w:pPr>
        <w:pStyle w:val="ListParagraph"/>
        <w:numPr>
          <w:ilvl w:val="1"/>
          <w:numId w:val="9"/>
        </w:numPr>
        <w:spacing w:after="0"/>
      </w:pPr>
      <w:r>
        <w:t xml:space="preserve">“Response w/in 14d” </w:t>
      </w:r>
      <w:r w:rsidR="007800CD">
        <w:t xml:space="preserve">mean those </w:t>
      </w:r>
      <w:r>
        <w:t xml:space="preserve">cases where the Respondent replied to the </w:t>
      </w:r>
      <w:r w:rsidR="007800CD">
        <w:t>Complaint</w:t>
      </w:r>
      <w:r>
        <w:t xml:space="preserve"> within the 14 days as defined in the </w:t>
      </w:r>
      <w:r w:rsidR="007800CD">
        <w:t xml:space="preserve">URS </w:t>
      </w:r>
      <w:r>
        <w:t>rules and procedures.</w:t>
      </w:r>
    </w:p>
    <w:p w14:paraId="5E6CF707" w14:textId="7CBC45B2" w:rsidR="00940225" w:rsidRDefault="00940225" w:rsidP="00940225">
      <w:pPr>
        <w:pStyle w:val="ListParagraph"/>
        <w:numPr>
          <w:ilvl w:val="1"/>
          <w:numId w:val="9"/>
        </w:numPr>
        <w:spacing w:after="0"/>
      </w:pPr>
      <w:r>
        <w:t xml:space="preserve">“Response w/in 6mo” </w:t>
      </w:r>
      <w:r w:rsidR="007800CD">
        <w:t xml:space="preserve">mean those </w:t>
      </w:r>
      <w:r>
        <w:t>cases where the Responden</w:t>
      </w:r>
      <w:r w:rsidR="00647460">
        <w:t>t did not respond within the 14-</w:t>
      </w:r>
      <w:r>
        <w:t>day period but later responded within the</w:t>
      </w:r>
      <w:r w:rsidR="007800CD">
        <w:t xml:space="preserve"> permitted</w:t>
      </w:r>
      <w:r>
        <w:t xml:space="preserve"> </w:t>
      </w:r>
      <w:proofErr w:type="gramStart"/>
      <w:r w:rsidR="007800CD">
        <w:t xml:space="preserve">6 </w:t>
      </w:r>
      <w:r>
        <w:t>month</w:t>
      </w:r>
      <w:proofErr w:type="gramEnd"/>
      <w:r>
        <w:t xml:space="preserve"> window </w:t>
      </w:r>
      <w:r w:rsidR="007800CD">
        <w:t xml:space="preserve">(which </w:t>
      </w:r>
      <w:r>
        <w:t xml:space="preserve">in effect </w:t>
      </w:r>
      <w:r w:rsidR="007800CD">
        <w:t xml:space="preserve">means the panel performs </w:t>
      </w:r>
      <w:r>
        <w:t xml:space="preserve">a </w:t>
      </w:r>
      <w:r w:rsidR="007800CD" w:rsidRPr="00773972">
        <w:rPr>
          <w:i/>
        </w:rPr>
        <w:t xml:space="preserve">de novo </w:t>
      </w:r>
      <w:r w:rsidR="007800CD">
        <w:t>review)</w:t>
      </w:r>
      <w:r>
        <w:t>.</w:t>
      </w:r>
    </w:p>
    <w:p w14:paraId="3915AE0C" w14:textId="0F6B03C2" w:rsidR="00940225" w:rsidRDefault="00940225" w:rsidP="00940225">
      <w:pPr>
        <w:pStyle w:val="ListParagraph"/>
        <w:numPr>
          <w:ilvl w:val="1"/>
          <w:numId w:val="9"/>
        </w:numPr>
        <w:spacing w:after="0"/>
      </w:pPr>
      <w:r>
        <w:t xml:space="preserve">“N/A” </w:t>
      </w:r>
      <w:r w:rsidR="007800CD">
        <w:t>was</w:t>
      </w:r>
      <w:r>
        <w:t xml:space="preserve"> used where</w:t>
      </w:r>
      <w:r w:rsidR="007800CD">
        <w:t xml:space="preserve"> the data indicated that</w:t>
      </w:r>
      <w:r>
        <w:t xml:space="preserve"> no response was </w:t>
      </w:r>
      <w:r w:rsidR="007800CD">
        <w:t>filed</w:t>
      </w:r>
      <w:r>
        <w:t>.</w:t>
      </w:r>
    </w:p>
    <w:p w14:paraId="72B171A1" w14:textId="7C4872F4" w:rsidR="004A08E1" w:rsidRDefault="007800CD" w:rsidP="004A08E1">
      <w:pPr>
        <w:pStyle w:val="ListParagraph"/>
        <w:numPr>
          <w:ilvl w:val="2"/>
          <w:numId w:val="9"/>
        </w:numPr>
        <w:spacing w:after="0"/>
      </w:pPr>
      <w:r>
        <w:t>H</w:t>
      </w:r>
      <w:r w:rsidR="004A08E1">
        <w:t xml:space="preserve">owever, input from FORUM </w:t>
      </w:r>
      <w:r>
        <w:t xml:space="preserve">to </w:t>
      </w:r>
      <w:r w:rsidR="004A08E1">
        <w:t xml:space="preserve">the </w:t>
      </w:r>
      <w:r>
        <w:t xml:space="preserve">URS </w:t>
      </w:r>
      <w:r w:rsidR="004A08E1">
        <w:t xml:space="preserve">Providers sub-team </w:t>
      </w:r>
      <w:r>
        <w:t xml:space="preserve">noted that an extension of time to respond was filed in </w:t>
      </w:r>
      <w:r w:rsidR="004A08E1">
        <w:t>36 cases.</w:t>
      </w:r>
    </w:p>
    <w:p w14:paraId="7C7E8212" w14:textId="183260C5" w:rsidR="007800CD" w:rsidRDefault="007800CD" w:rsidP="00773972">
      <w:pPr>
        <w:spacing w:after="0"/>
      </w:pPr>
    </w:p>
    <w:p w14:paraId="0C5A0444" w14:textId="77777777" w:rsidR="006839F2" w:rsidRDefault="006839F2" w:rsidP="006839F2">
      <w:pPr>
        <w:spacing w:after="0"/>
      </w:pPr>
    </w:p>
    <w:p w14:paraId="7CACB60C" w14:textId="5EE6977D" w:rsidR="006839F2" w:rsidRDefault="006839F2" w:rsidP="006839F2">
      <w:pPr>
        <w:spacing w:after="0" w:line="240" w:lineRule="auto"/>
        <w:rPr>
          <w:b/>
          <w:sz w:val="28"/>
          <w:szCs w:val="28"/>
        </w:rPr>
      </w:pPr>
      <w:r>
        <w:rPr>
          <w:b/>
          <w:sz w:val="28"/>
          <w:szCs w:val="28"/>
        </w:rPr>
        <w:t>TABLE 12: Analysis of URS Cases where the Claim was Denied:</w:t>
      </w:r>
    </w:p>
    <w:p w14:paraId="4F55B0D8" w14:textId="77777777" w:rsidR="006839F2" w:rsidRDefault="006839F2" w:rsidP="006839F2">
      <w:pPr>
        <w:spacing w:after="0" w:line="240" w:lineRule="auto"/>
        <w:rPr>
          <w:b/>
          <w:sz w:val="28"/>
          <w:szCs w:val="28"/>
        </w:rPr>
      </w:pPr>
    </w:p>
    <w:p w14:paraId="7F15A6CB" w14:textId="5DD86BC5" w:rsidR="006839F2" w:rsidRPr="00A752BC" w:rsidRDefault="005E0263" w:rsidP="006839F2">
      <w:pPr>
        <w:spacing w:after="0"/>
      </w:pPr>
      <w:r>
        <w:t>Placeholder until further direction of analysis is provided.</w:t>
      </w:r>
    </w:p>
    <w:sectPr w:rsidR="006839F2" w:rsidRPr="00A752BC" w:rsidSect="00BD31EB">
      <w:footerReference w:type="default" r:id="rId24"/>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erry Cobb" w:date="2018-01-17T14:02:00Z" w:initials="BC">
    <w:p w14:paraId="1B1348E0" w14:textId="43E1A153" w:rsidR="00F846F8" w:rsidRDefault="00F846F8">
      <w:pPr>
        <w:pStyle w:val="CommentText"/>
      </w:pPr>
      <w:r>
        <w:rPr>
          <w:rStyle w:val="CommentReference"/>
        </w:rPr>
        <w:annotationRef/>
      </w:r>
      <w:r>
        <w:t>Remove distinction of within Claims windows and acquire data from IBM to determine how many domains where a claims notice was sent that likely led to a URS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34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348E0" w16cid:durableId="1EDA33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6C8D" w14:textId="77777777" w:rsidR="00C02BF1" w:rsidRDefault="00C02BF1" w:rsidP="00E2129E">
      <w:pPr>
        <w:spacing w:after="0" w:line="240" w:lineRule="auto"/>
      </w:pPr>
      <w:r>
        <w:separator/>
      </w:r>
    </w:p>
  </w:endnote>
  <w:endnote w:type="continuationSeparator" w:id="0">
    <w:p w14:paraId="79CAE297" w14:textId="77777777" w:rsidR="00C02BF1" w:rsidRDefault="00C02BF1" w:rsidP="00E2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72392"/>
      <w:docPartObj>
        <w:docPartGallery w:val="Page Numbers (Bottom of Page)"/>
        <w:docPartUnique/>
      </w:docPartObj>
    </w:sdtPr>
    <w:sdtEndPr>
      <w:rPr>
        <w:noProof/>
      </w:rPr>
    </w:sdtEndPr>
    <w:sdtContent>
      <w:p w14:paraId="6D67CA61" w14:textId="46CF22E7" w:rsidR="00F846F8" w:rsidRDefault="00F846F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501C7BC7" w14:textId="77777777" w:rsidR="00F846F8" w:rsidRDefault="00F84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D6D1C" w14:textId="77777777" w:rsidR="00C02BF1" w:rsidRDefault="00C02BF1" w:rsidP="00E2129E">
      <w:pPr>
        <w:spacing w:after="0" w:line="240" w:lineRule="auto"/>
      </w:pPr>
      <w:r>
        <w:separator/>
      </w:r>
    </w:p>
  </w:footnote>
  <w:footnote w:type="continuationSeparator" w:id="0">
    <w:p w14:paraId="28FD4B8C" w14:textId="77777777" w:rsidR="00C02BF1" w:rsidRDefault="00C02BF1" w:rsidP="00E2129E">
      <w:pPr>
        <w:spacing w:after="0" w:line="240" w:lineRule="auto"/>
      </w:pPr>
      <w:r>
        <w:continuationSeparator/>
      </w:r>
    </w:p>
  </w:footnote>
  <w:footnote w:id="1">
    <w:p w14:paraId="17CD281B" w14:textId="6AAC1D11" w:rsidR="00F846F8" w:rsidRDefault="00F846F8">
      <w:pPr>
        <w:pStyle w:val="FootnoteText"/>
      </w:pPr>
      <w:r>
        <w:rPr>
          <w:rStyle w:val="FootnoteReference"/>
        </w:rPr>
        <w:footnoteRef/>
      </w:r>
      <w:r>
        <w:t xml:space="preserve"> New </w:t>
      </w:r>
      <w:proofErr w:type="spellStart"/>
      <w:r>
        <w:t>gTLD</w:t>
      </w:r>
      <w:proofErr w:type="spellEnd"/>
      <w:r>
        <w:t xml:space="preserve"> Microsite: </w:t>
      </w:r>
      <w:hyperlink r:id="rId1" w:history="1">
        <w:r w:rsidRPr="00D828E6">
          <w:rPr>
            <w:rStyle w:val="Hyperlink"/>
          </w:rPr>
          <w:t>https://newgtlds.icann.org/en/applicants/urs</w:t>
        </w:r>
      </w:hyperlink>
      <w:r>
        <w:t xml:space="preserve"> </w:t>
      </w:r>
    </w:p>
  </w:footnote>
  <w:footnote w:id="2">
    <w:p w14:paraId="031B2D7A" w14:textId="79547EF1" w:rsidR="00F846F8" w:rsidRDefault="00F846F8">
      <w:pPr>
        <w:pStyle w:val="FootnoteText"/>
      </w:pPr>
      <w:r>
        <w:rPr>
          <w:rStyle w:val="FootnoteReference"/>
        </w:rPr>
        <w:footnoteRef/>
      </w:r>
      <w:r>
        <w:t xml:space="preserve"> </w:t>
      </w:r>
      <w:hyperlink r:id="rId2" w:history="1">
        <w:r w:rsidRPr="001725B5">
          <w:rPr>
            <w:rStyle w:val="Hyperlink"/>
          </w:rPr>
          <w:t>URS Procedure</w:t>
        </w:r>
      </w:hyperlink>
      <w:r>
        <w:t>, Section 8.</w:t>
      </w:r>
    </w:p>
  </w:footnote>
  <w:footnote w:id="3">
    <w:p w14:paraId="15A1A09C" w14:textId="088D2822" w:rsidR="00F846F8" w:rsidRDefault="00F846F8" w:rsidP="00AD0883">
      <w:pPr>
        <w:pStyle w:val="FootnoteText"/>
      </w:pPr>
      <w:r>
        <w:rPr>
          <w:rStyle w:val="FootnoteReference"/>
        </w:rPr>
        <w:footnoteRef/>
      </w:r>
      <w:r>
        <w:t xml:space="preserve"> </w:t>
      </w:r>
      <w:hyperlink r:id="rId3" w:history="1">
        <w:r w:rsidRPr="001725B5">
          <w:rPr>
            <w:rStyle w:val="Hyperlink"/>
          </w:rPr>
          <w:t>URS Rules</w:t>
        </w:r>
      </w:hyperlink>
      <w:r>
        <w:t>, Sections 11 &amp; 12.</w:t>
      </w:r>
    </w:p>
  </w:footnote>
  <w:footnote w:id="4">
    <w:p w14:paraId="57FBFC7C" w14:textId="2BF105CF" w:rsidR="00F846F8" w:rsidRDefault="00F846F8">
      <w:pPr>
        <w:pStyle w:val="FootnoteText"/>
      </w:pPr>
      <w:r>
        <w:rPr>
          <w:rStyle w:val="FootnoteReference"/>
        </w:rPr>
        <w:footnoteRef/>
      </w:r>
      <w:r>
        <w:t xml:space="preserve"> URS Rules, Sections 13 &amp; 15.</w:t>
      </w:r>
    </w:p>
  </w:footnote>
  <w:footnote w:id="5">
    <w:p w14:paraId="62D7783D" w14:textId="7030C005" w:rsidR="00F846F8" w:rsidRDefault="00F846F8">
      <w:pPr>
        <w:pStyle w:val="FootnoteText"/>
      </w:pPr>
      <w:r>
        <w:rPr>
          <w:rStyle w:val="FootnoteReference"/>
        </w:rPr>
        <w:footnoteRef/>
      </w:r>
      <w:r>
        <w:t xml:space="preserve"> URS Procedure, Section 12; URS Rules, Section 19.</w:t>
      </w:r>
    </w:p>
  </w:footnote>
  <w:footnote w:id="6">
    <w:p w14:paraId="7C2D0BE4" w14:textId="77777777" w:rsidR="00F846F8" w:rsidRDefault="00F846F8" w:rsidP="00834400">
      <w:pPr>
        <w:pStyle w:val="FootnoteText"/>
      </w:pPr>
      <w:r>
        <w:rPr>
          <w:rStyle w:val="FootnoteReference"/>
        </w:rPr>
        <w:footnoteRef/>
      </w:r>
      <w:r>
        <w:t xml:space="preserve"> </w:t>
      </w:r>
      <w:r w:rsidRPr="007601FF">
        <w:t xml:space="preserve">457 Domains are from one case for “Ashley Furniture” and 202 domains are from </w:t>
      </w:r>
      <w:r>
        <w:t>another</w:t>
      </w:r>
      <w:r w:rsidRPr="007601FF">
        <w:t xml:space="preserve"> case for “Cialis”; all of which are still suspended.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F2644"/>
    <w:multiLevelType w:val="hybridMultilevel"/>
    <w:tmpl w:val="78EE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D6268"/>
    <w:multiLevelType w:val="hybridMultilevel"/>
    <w:tmpl w:val="0DE6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608CD"/>
    <w:multiLevelType w:val="hybridMultilevel"/>
    <w:tmpl w:val="8BCED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CC3DB4"/>
    <w:multiLevelType w:val="hybridMultilevel"/>
    <w:tmpl w:val="D5047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708F8"/>
    <w:multiLevelType w:val="hybridMultilevel"/>
    <w:tmpl w:val="8556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B038A"/>
    <w:multiLevelType w:val="hybridMultilevel"/>
    <w:tmpl w:val="456C9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6D3260"/>
    <w:multiLevelType w:val="hybridMultilevel"/>
    <w:tmpl w:val="8170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576A1"/>
    <w:multiLevelType w:val="hybridMultilevel"/>
    <w:tmpl w:val="7B08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93544"/>
    <w:multiLevelType w:val="hybridMultilevel"/>
    <w:tmpl w:val="1478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6"/>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1EB"/>
    <w:rsid w:val="00010D7D"/>
    <w:rsid w:val="0002325E"/>
    <w:rsid w:val="00077C49"/>
    <w:rsid w:val="00092086"/>
    <w:rsid w:val="000A690D"/>
    <w:rsid w:val="000A7382"/>
    <w:rsid w:val="000E3B2A"/>
    <w:rsid w:val="000E73D4"/>
    <w:rsid w:val="000F0999"/>
    <w:rsid w:val="000F4566"/>
    <w:rsid w:val="000F48C9"/>
    <w:rsid w:val="000F5946"/>
    <w:rsid w:val="000F5A76"/>
    <w:rsid w:val="001133FF"/>
    <w:rsid w:val="0011560B"/>
    <w:rsid w:val="00121B1B"/>
    <w:rsid w:val="00133A82"/>
    <w:rsid w:val="00152277"/>
    <w:rsid w:val="001725B5"/>
    <w:rsid w:val="001741F5"/>
    <w:rsid w:val="001A16F3"/>
    <w:rsid w:val="001D4B17"/>
    <w:rsid w:val="001E2DA8"/>
    <w:rsid w:val="001F58CA"/>
    <w:rsid w:val="001F727B"/>
    <w:rsid w:val="00225538"/>
    <w:rsid w:val="00232E35"/>
    <w:rsid w:val="0024562D"/>
    <w:rsid w:val="0025138D"/>
    <w:rsid w:val="00253707"/>
    <w:rsid w:val="002615BF"/>
    <w:rsid w:val="00264393"/>
    <w:rsid w:val="00265804"/>
    <w:rsid w:val="00270EC7"/>
    <w:rsid w:val="002858ED"/>
    <w:rsid w:val="002A0E5E"/>
    <w:rsid w:val="002A376F"/>
    <w:rsid w:val="002B2463"/>
    <w:rsid w:val="002C52B0"/>
    <w:rsid w:val="002F1FA7"/>
    <w:rsid w:val="002F6CB6"/>
    <w:rsid w:val="002F6D25"/>
    <w:rsid w:val="0030008B"/>
    <w:rsid w:val="0030610E"/>
    <w:rsid w:val="00321725"/>
    <w:rsid w:val="00321B9E"/>
    <w:rsid w:val="0032589A"/>
    <w:rsid w:val="00337C3E"/>
    <w:rsid w:val="003503F1"/>
    <w:rsid w:val="0036023A"/>
    <w:rsid w:val="00361766"/>
    <w:rsid w:val="00370530"/>
    <w:rsid w:val="003810F9"/>
    <w:rsid w:val="0038617C"/>
    <w:rsid w:val="0039051F"/>
    <w:rsid w:val="003A7531"/>
    <w:rsid w:val="003B6DB1"/>
    <w:rsid w:val="003C22C3"/>
    <w:rsid w:val="003D0C3F"/>
    <w:rsid w:val="003D373E"/>
    <w:rsid w:val="003F281E"/>
    <w:rsid w:val="003F291F"/>
    <w:rsid w:val="003F3DE2"/>
    <w:rsid w:val="00400C53"/>
    <w:rsid w:val="00407125"/>
    <w:rsid w:val="00407665"/>
    <w:rsid w:val="0041398A"/>
    <w:rsid w:val="00423D86"/>
    <w:rsid w:val="0042517F"/>
    <w:rsid w:val="004252EB"/>
    <w:rsid w:val="004321C9"/>
    <w:rsid w:val="0048017B"/>
    <w:rsid w:val="00483AC6"/>
    <w:rsid w:val="0048563F"/>
    <w:rsid w:val="004974AD"/>
    <w:rsid w:val="004977DA"/>
    <w:rsid w:val="004A08E1"/>
    <w:rsid w:val="004A1BEF"/>
    <w:rsid w:val="004A3671"/>
    <w:rsid w:val="004A5321"/>
    <w:rsid w:val="004B00CD"/>
    <w:rsid w:val="004B1689"/>
    <w:rsid w:val="004B24CC"/>
    <w:rsid w:val="004D2CC5"/>
    <w:rsid w:val="004D39A2"/>
    <w:rsid w:val="004E4550"/>
    <w:rsid w:val="004F6CC7"/>
    <w:rsid w:val="00501194"/>
    <w:rsid w:val="00511906"/>
    <w:rsid w:val="00560442"/>
    <w:rsid w:val="00561706"/>
    <w:rsid w:val="00562092"/>
    <w:rsid w:val="00585884"/>
    <w:rsid w:val="005A3E34"/>
    <w:rsid w:val="005D5AE4"/>
    <w:rsid w:val="005E0263"/>
    <w:rsid w:val="005E177A"/>
    <w:rsid w:val="005E33F8"/>
    <w:rsid w:val="005E3903"/>
    <w:rsid w:val="005E411B"/>
    <w:rsid w:val="005F1DB2"/>
    <w:rsid w:val="00622C2F"/>
    <w:rsid w:val="0062348E"/>
    <w:rsid w:val="0063209D"/>
    <w:rsid w:val="00634346"/>
    <w:rsid w:val="0063594A"/>
    <w:rsid w:val="006379B3"/>
    <w:rsid w:val="0064553D"/>
    <w:rsid w:val="00647460"/>
    <w:rsid w:val="0065183A"/>
    <w:rsid w:val="00653EE8"/>
    <w:rsid w:val="00654099"/>
    <w:rsid w:val="00657C35"/>
    <w:rsid w:val="006635F2"/>
    <w:rsid w:val="00665660"/>
    <w:rsid w:val="00672352"/>
    <w:rsid w:val="006743A4"/>
    <w:rsid w:val="00675CE5"/>
    <w:rsid w:val="0068171E"/>
    <w:rsid w:val="0068316F"/>
    <w:rsid w:val="006839F2"/>
    <w:rsid w:val="006B56A7"/>
    <w:rsid w:val="006B78DF"/>
    <w:rsid w:val="006D4EF6"/>
    <w:rsid w:val="00726AAA"/>
    <w:rsid w:val="007344FF"/>
    <w:rsid w:val="007345D8"/>
    <w:rsid w:val="00743C38"/>
    <w:rsid w:val="00755BD6"/>
    <w:rsid w:val="007601FF"/>
    <w:rsid w:val="00764ECF"/>
    <w:rsid w:val="0076575C"/>
    <w:rsid w:val="00766D19"/>
    <w:rsid w:val="00773972"/>
    <w:rsid w:val="007800CD"/>
    <w:rsid w:val="00780B43"/>
    <w:rsid w:val="007823D6"/>
    <w:rsid w:val="00783302"/>
    <w:rsid w:val="007929D8"/>
    <w:rsid w:val="00794064"/>
    <w:rsid w:val="0079619C"/>
    <w:rsid w:val="00796596"/>
    <w:rsid w:val="007A759D"/>
    <w:rsid w:val="007B2BDE"/>
    <w:rsid w:val="007C7E8E"/>
    <w:rsid w:val="007D3CAE"/>
    <w:rsid w:val="007D53D3"/>
    <w:rsid w:val="007E5330"/>
    <w:rsid w:val="00802E32"/>
    <w:rsid w:val="00820BEA"/>
    <w:rsid w:val="00823650"/>
    <w:rsid w:val="008329BE"/>
    <w:rsid w:val="00834400"/>
    <w:rsid w:val="008369F7"/>
    <w:rsid w:val="00845B8D"/>
    <w:rsid w:val="008461C5"/>
    <w:rsid w:val="008566AA"/>
    <w:rsid w:val="0086375E"/>
    <w:rsid w:val="00867488"/>
    <w:rsid w:val="00875DA3"/>
    <w:rsid w:val="00876135"/>
    <w:rsid w:val="00876E84"/>
    <w:rsid w:val="00882286"/>
    <w:rsid w:val="008928AF"/>
    <w:rsid w:val="008A2D4C"/>
    <w:rsid w:val="008B0327"/>
    <w:rsid w:val="008B1796"/>
    <w:rsid w:val="008C165B"/>
    <w:rsid w:val="008D28B8"/>
    <w:rsid w:val="008E5E73"/>
    <w:rsid w:val="008F0554"/>
    <w:rsid w:val="008F62F6"/>
    <w:rsid w:val="00901AA0"/>
    <w:rsid w:val="00904067"/>
    <w:rsid w:val="00904AAD"/>
    <w:rsid w:val="00920BFC"/>
    <w:rsid w:val="00921649"/>
    <w:rsid w:val="00940225"/>
    <w:rsid w:val="00940B22"/>
    <w:rsid w:val="00956F0D"/>
    <w:rsid w:val="0096485C"/>
    <w:rsid w:val="0096544C"/>
    <w:rsid w:val="009A130C"/>
    <w:rsid w:val="009A5C36"/>
    <w:rsid w:val="009B3B1D"/>
    <w:rsid w:val="009D335E"/>
    <w:rsid w:val="009F4B7E"/>
    <w:rsid w:val="00A25DD5"/>
    <w:rsid w:val="00A332A3"/>
    <w:rsid w:val="00A34FB1"/>
    <w:rsid w:val="00A752BC"/>
    <w:rsid w:val="00A84C2A"/>
    <w:rsid w:val="00A85540"/>
    <w:rsid w:val="00AC518D"/>
    <w:rsid w:val="00AC6EF5"/>
    <w:rsid w:val="00AD0883"/>
    <w:rsid w:val="00AF1B39"/>
    <w:rsid w:val="00AF34C7"/>
    <w:rsid w:val="00B222FD"/>
    <w:rsid w:val="00B346FE"/>
    <w:rsid w:val="00B377A2"/>
    <w:rsid w:val="00B5655A"/>
    <w:rsid w:val="00B61D2E"/>
    <w:rsid w:val="00B76FF4"/>
    <w:rsid w:val="00B81292"/>
    <w:rsid w:val="00B82245"/>
    <w:rsid w:val="00B97A1C"/>
    <w:rsid w:val="00BC63BF"/>
    <w:rsid w:val="00BD31EB"/>
    <w:rsid w:val="00BD791C"/>
    <w:rsid w:val="00BE1C68"/>
    <w:rsid w:val="00C014A0"/>
    <w:rsid w:val="00C02BF1"/>
    <w:rsid w:val="00C1240C"/>
    <w:rsid w:val="00C128A0"/>
    <w:rsid w:val="00C44E06"/>
    <w:rsid w:val="00C4663E"/>
    <w:rsid w:val="00C54731"/>
    <w:rsid w:val="00C563F5"/>
    <w:rsid w:val="00C64A26"/>
    <w:rsid w:val="00C706E5"/>
    <w:rsid w:val="00C735A0"/>
    <w:rsid w:val="00C93EEA"/>
    <w:rsid w:val="00CA318A"/>
    <w:rsid w:val="00CC1187"/>
    <w:rsid w:val="00CC15E1"/>
    <w:rsid w:val="00CD5323"/>
    <w:rsid w:val="00CF04AA"/>
    <w:rsid w:val="00CF2E4C"/>
    <w:rsid w:val="00CF3624"/>
    <w:rsid w:val="00D14D76"/>
    <w:rsid w:val="00D25C89"/>
    <w:rsid w:val="00D27730"/>
    <w:rsid w:val="00D42A50"/>
    <w:rsid w:val="00D43CAE"/>
    <w:rsid w:val="00D45B15"/>
    <w:rsid w:val="00D52DF7"/>
    <w:rsid w:val="00D7414C"/>
    <w:rsid w:val="00D818F3"/>
    <w:rsid w:val="00D835FD"/>
    <w:rsid w:val="00DA1368"/>
    <w:rsid w:val="00DA14F8"/>
    <w:rsid w:val="00DB0998"/>
    <w:rsid w:val="00DB5886"/>
    <w:rsid w:val="00DC0DB7"/>
    <w:rsid w:val="00DC1DBB"/>
    <w:rsid w:val="00DC24D6"/>
    <w:rsid w:val="00DC2B6F"/>
    <w:rsid w:val="00DE70F1"/>
    <w:rsid w:val="00E01639"/>
    <w:rsid w:val="00E16C17"/>
    <w:rsid w:val="00E2129E"/>
    <w:rsid w:val="00E231F5"/>
    <w:rsid w:val="00E3756A"/>
    <w:rsid w:val="00E76E74"/>
    <w:rsid w:val="00E84438"/>
    <w:rsid w:val="00EA7466"/>
    <w:rsid w:val="00EC5C2B"/>
    <w:rsid w:val="00ED3987"/>
    <w:rsid w:val="00ED78DA"/>
    <w:rsid w:val="00F22D98"/>
    <w:rsid w:val="00F61672"/>
    <w:rsid w:val="00F6472C"/>
    <w:rsid w:val="00F82E01"/>
    <w:rsid w:val="00F846F8"/>
    <w:rsid w:val="00FA6B0D"/>
    <w:rsid w:val="00FC47BA"/>
    <w:rsid w:val="00FC6383"/>
    <w:rsid w:val="00FE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D5E6"/>
  <w15:docId w15:val="{DC05D88C-498E-C349-AEA3-23AEDC30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1EB"/>
    <w:rPr>
      <w:color w:val="0000FF"/>
      <w:u w:val="single"/>
    </w:rPr>
  </w:style>
  <w:style w:type="character" w:styleId="FollowedHyperlink">
    <w:name w:val="FollowedHyperlink"/>
    <w:basedOn w:val="DefaultParagraphFont"/>
    <w:uiPriority w:val="99"/>
    <w:semiHidden/>
    <w:unhideWhenUsed/>
    <w:rsid w:val="00BD31EB"/>
    <w:rPr>
      <w:color w:val="800080"/>
      <w:u w:val="single"/>
    </w:rPr>
  </w:style>
  <w:style w:type="paragraph" w:customStyle="1" w:styleId="xl63">
    <w:name w:val="xl63"/>
    <w:basedOn w:val="Normal"/>
    <w:rsid w:val="00BD31E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BD31E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BD31E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7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91C"/>
    <w:rPr>
      <w:rFonts w:ascii="Tahoma" w:hAnsi="Tahoma" w:cs="Tahoma"/>
      <w:sz w:val="16"/>
      <w:szCs w:val="16"/>
    </w:rPr>
  </w:style>
  <w:style w:type="paragraph" w:styleId="ListParagraph">
    <w:name w:val="List Paragraph"/>
    <w:basedOn w:val="Normal"/>
    <w:uiPriority w:val="34"/>
    <w:qFormat/>
    <w:rsid w:val="00622C2F"/>
    <w:pPr>
      <w:ind w:left="720"/>
      <w:contextualSpacing/>
    </w:pPr>
  </w:style>
  <w:style w:type="paragraph" w:styleId="FootnoteText">
    <w:name w:val="footnote text"/>
    <w:basedOn w:val="Normal"/>
    <w:link w:val="FootnoteTextChar"/>
    <w:uiPriority w:val="99"/>
    <w:unhideWhenUsed/>
    <w:rsid w:val="00E2129E"/>
    <w:pPr>
      <w:spacing w:after="0" w:line="240" w:lineRule="auto"/>
    </w:pPr>
    <w:rPr>
      <w:sz w:val="20"/>
      <w:szCs w:val="20"/>
    </w:rPr>
  </w:style>
  <w:style w:type="character" w:customStyle="1" w:styleId="FootnoteTextChar">
    <w:name w:val="Footnote Text Char"/>
    <w:basedOn w:val="DefaultParagraphFont"/>
    <w:link w:val="FootnoteText"/>
    <w:uiPriority w:val="99"/>
    <w:rsid w:val="00E2129E"/>
    <w:rPr>
      <w:sz w:val="20"/>
      <w:szCs w:val="20"/>
    </w:rPr>
  </w:style>
  <w:style w:type="character" w:styleId="FootnoteReference">
    <w:name w:val="footnote reference"/>
    <w:basedOn w:val="DefaultParagraphFont"/>
    <w:uiPriority w:val="99"/>
    <w:unhideWhenUsed/>
    <w:rsid w:val="00E2129E"/>
    <w:rPr>
      <w:vertAlign w:val="superscript"/>
    </w:rPr>
  </w:style>
  <w:style w:type="paragraph" w:customStyle="1" w:styleId="xl69">
    <w:name w:val="xl69"/>
    <w:basedOn w:val="Normal"/>
    <w:rsid w:val="00270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A85540"/>
    <w:rPr>
      <w:sz w:val="16"/>
      <w:szCs w:val="16"/>
    </w:rPr>
  </w:style>
  <w:style w:type="paragraph" w:styleId="CommentText">
    <w:name w:val="annotation text"/>
    <w:basedOn w:val="Normal"/>
    <w:link w:val="CommentTextChar"/>
    <w:uiPriority w:val="99"/>
    <w:semiHidden/>
    <w:unhideWhenUsed/>
    <w:rsid w:val="00A85540"/>
    <w:pPr>
      <w:spacing w:line="240" w:lineRule="auto"/>
    </w:pPr>
    <w:rPr>
      <w:sz w:val="20"/>
      <w:szCs w:val="20"/>
    </w:rPr>
  </w:style>
  <w:style w:type="character" w:customStyle="1" w:styleId="CommentTextChar">
    <w:name w:val="Comment Text Char"/>
    <w:basedOn w:val="DefaultParagraphFont"/>
    <w:link w:val="CommentText"/>
    <w:uiPriority w:val="99"/>
    <w:semiHidden/>
    <w:rsid w:val="00A85540"/>
    <w:rPr>
      <w:sz w:val="20"/>
      <w:szCs w:val="20"/>
    </w:rPr>
  </w:style>
  <w:style w:type="paragraph" w:styleId="CommentSubject">
    <w:name w:val="annotation subject"/>
    <w:basedOn w:val="CommentText"/>
    <w:next w:val="CommentText"/>
    <w:link w:val="CommentSubjectChar"/>
    <w:uiPriority w:val="99"/>
    <w:semiHidden/>
    <w:unhideWhenUsed/>
    <w:rsid w:val="00A85540"/>
    <w:rPr>
      <w:b/>
      <w:bCs/>
    </w:rPr>
  </w:style>
  <w:style w:type="character" w:customStyle="1" w:styleId="CommentSubjectChar">
    <w:name w:val="Comment Subject Char"/>
    <w:basedOn w:val="CommentTextChar"/>
    <w:link w:val="CommentSubject"/>
    <w:uiPriority w:val="99"/>
    <w:semiHidden/>
    <w:rsid w:val="00A85540"/>
    <w:rPr>
      <w:b/>
      <w:bCs/>
      <w:sz w:val="20"/>
      <w:szCs w:val="20"/>
    </w:rPr>
  </w:style>
  <w:style w:type="paragraph" w:styleId="Revision">
    <w:name w:val="Revision"/>
    <w:hidden/>
    <w:uiPriority w:val="99"/>
    <w:semiHidden/>
    <w:rsid w:val="00A85540"/>
    <w:pPr>
      <w:spacing w:after="0" w:line="240" w:lineRule="auto"/>
    </w:pPr>
  </w:style>
  <w:style w:type="paragraph" w:styleId="Header">
    <w:name w:val="header"/>
    <w:basedOn w:val="Normal"/>
    <w:link w:val="HeaderChar"/>
    <w:uiPriority w:val="99"/>
    <w:unhideWhenUsed/>
    <w:rsid w:val="007B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DE"/>
  </w:style>
  <w:style w:type="paragraph" w:styleId="Footer">
    <w:name w:val="footer"/>
    <w:basedOn w:val="Normal"/>
    <w:link w:val="FooterChar"/>
    <w:uiPriority w:val="99"/>
    <w:unhideWhenUsed/>
    <w:rsid w:val="007B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4952">
      <w:bodyDiv w:val="1"/>
      <w:marLeft w:val="0"/>
      <w:marRight w:val="0"/>
      <w:marTop w:val="0"/>
      <w:marBottom w:val="0"/>
      <w:divBdr>
        <w:top w:val="none" w:sz="0" w:space="0" w:color="auto"/>
        <w:left w:val="none" w:sz="0" w:space="0" w:color="auto"/>
        <w:bottom w:val="none" w:sz="0" w:space="0" w:color="auto"/>
        <w:right w:val="none" w:sz="0" w:space="0" w:color="auto"/>
      </w:divBdr>
    </w:div>
    <w:div w:id="134420146">
      <w:bodyDiv w:val="1"/>
      <w:marLeft w:val="0"/>
      <w:marRight w:val="0"/>
      <w:marTop w:val="0"/>
      <w:marBottom w:val="0"/>
      <w:divBdr>
        <w:top w:val="none" w:sz="0" w:space="0" w:color="auto"/>
        <w:left w:val="none" w:sz="0" w:space="0" w:color="auto"/>
        <w:bottom w:val="none" w:sz="0" w:space="0" w:color="auto"/>
        <w:right w:val="none" w:sz="0" w:space="0" w:color="auto"/>
      </w:divBdr>
    </w:div>
    <w:div w:id="136916718">
      <w:bodyDiv w:val="1"/>
      <w:marLeft w:val="0"/>
      <w:marRight w:val="0"/>
      <w:marTop w:val="0"/>
      <w:marBottom w:val="0"/>
      <w:divBdr>
        <w:top w:val="none" w:sz="0" w:space="0" w:color="auto"/>
        <w:left w:val="none" w:sz="0" w:space="0" w:color="auto"/>
        <w:bottom w:val="none" w:sz="0" w:space="0" w:color="auto"/>
        <w:right w:val="none" w:sz="0" w:space="0" w:color="auto"/>
      </w:divBdr>
    </w:div>
    <w:div w:id="254098985">
      <w:bodyDiv w:val="1"/>
      <w:marLeft w:val="0"/>
      <w:marRight w:val="0"/>
      <w:marTop w:val="0"/>
      <w:marBottom w:val="0"/>
      <w:divBdr>
        <w:top w:val="none" w:sz="0" w:space="0" w:color="auto"/>
        <w:left w:val="none" w:sz="0" w:space="0" w:color="auto"/>
        <w:bottom w:val="none" w:sz="0" w:space="0" w:color="auto"/>
        <w:right w:val="none" w:sz="0" w:space="0" w:color="auto"/>
      </w:divBdr>
    </w:div>
    <w:div w:id="385300514">
      <w:bodyDiv w:val="1"/>
      <w:marLeft w:val="0"/>
      <w:marRight w:val="0"/>
      <w:marTop w:val="0"/>
      <w:marBottom w:val="0"/>
      <w:divBdr>
        <w:top w:val="none" w:sz="0" w:space="0" w:color="auto"/>
        <w:left w:val="none" w:sz="0" w:space="0" w:color="auto"/>
        <w:bottom w:val="none" w:sz="0" w:space="0" w:color="auto"/>
        <w:right w:val="none" w:sz="0" w:space="0" w:color="auto"/>
      </w:divBdr>
    </w:div>
    <w:div w:id="464467604">
      <w:bodyDiv w:val="1"/>
      <w:marLeft w:val="0"/>
      <w:marRight w:val="0"/>
      <w:marTop w:val="0"/>
      <w:marBottom w:val="0"/>
      <w:divBdr>
        <w:top w:val="none" w:sz="0" w:space="0" w:color="auto"/>
        <w:left w:val="none" w:sz="0" w:space="0" w:color="auto"/>
        <w:bottom w:val="none" w:sz="0" w:space="0" w:color="auto"/>
        <w:right w:val="none" w:sz="0" w:space="0" w:color="auto"/>
      </w:divBdr>
    </w:div>
    <w:div w:id="493834845">
      <w:bodyDiv w:val="1"/>
      <w:marLeft w:val="0"/>
      <w:marRight w:val="0"/>
      <w:marTop w:val="0"/>
      <w:marBottom w:val="0"/>
      <w:divBdr>
        <w:top w:val="none" w:sz="0" w:space="0" w:color="auto"/>
        <w:left w:val="none" w:sz="0" w:space="0" w:color="auto"/>
        <w:bottom w:val="none" w:sz="0" w:space="0" w:color="auto"/>
        <w:right w:val="none" w:sz="0" w:space="0" w:color="auto"/>
      </w:divBdr>
    </w:div>
    <w:div w:id="520048349">
      <w:bodyDiv w:val="1"/>
      <w:marLeft w:val="0"/>
      <w:marRight w:val="0"/>
      <w:marTop w:val="0"/>
      <w:marBottom w:val="0"/>
      <w:divBdr>
        <w:top w:val="none" w:sz="0" w:space="0" w:color="auto"/>
        <w:left w:val="none" w:sz="0" w:space="0" w:color="auto"/>
        <w:bottom w:val="none" w:sz="0" w:space="0" w:color="auto"/>
        <w:right w:val="none" w:sz="0" w:space="0" w:color="auto"/>
      </w:divBdr>
    </w:div>
    <w:div w:id="561982580">
      <w:bodyDiv w:val="1"/>
      <w:marLeft w:val="0"/>
      <w:marRight w:val="0"/>
      <w:marTop w:val="0"/>
      <w:marBottom w:val="0"/>
      <w:divBdr>
        <w:top w:val="none" w:sz="0" w:space="0" w:color="auto"/>
        <w:left w:val="none" w:sz="0" w:space="0" w:color="auto"/>
        <w:bottom w:val="none" w:sz="0" w:space="0" w:color="auto"/>
        <w:right w:val="none" w:sz="0" w:space="0" w:color="auto"/>
      </w:divBdr>
    </w:div>
    <w:div w:id="580068539">
      <w:bodyDiv w:val="1"/>
      <w:marLeft w:val="0"/>
      <w:marRight w:val="0"/>
      <w:marTop w:val="0"/>
      <w:marBottom w:val="0"/>
      <w:divBdr>
        <w:top w:val="none" w:sz="0" w:space="0" w:color="auto"/>
        <w:left w:val="none" w:sz="0" w:space="0" w:color="auto"/>
        <w:bottom w:val="none" w:sz="0" w:space="0" w:color="auto"/>
        <w:right w:val="none" w:sz="0" w:space="0" w:color="auto"/>
      </w:divBdr>
    </w:div>
    <w:div w:id="581646628">
      <w:bodyDiv w:val="1"/>
      <w:marLeft w:val="0"/>
      <w:marRight w:val="0"/>
      <w:marTop w:val="0"/>
      <w:marBottom w:val="0"/>
      <w:divBdr>
        <w:top w:val="none" w:sz="0" w:space="0" w:color="auto"/>
        <w:left w:val="none" w:sz="0" w:space="0" w:color="auto"/>
        <w:bottom w:val="none" w:sz="0" w:space="0" w:color="auto"/>
        <w:right w:val="none" w:sz="0" w:space="0" w:color="auto"/>
      </w:divBdr>
    </w:div>
    <w:div w:id="738753044">
      <w:bodyDiv w:val="1"/>
      <w:marLeft w:val="0"/>
      <w:marRight w:val="0"/>
      <w:marTop w:val="0"/>
      <w:marBottom w:val="0"/>
      <w:divBdr>
        <w:top w:val="none" w:sz="0" w:space="0" w:color="auto"/>
        <w:left w:val="none" w:sz="0" w:space="0" w:color="auto"/>
        <w:bottom w:val="none" w:sz="0" w:space="0" w:color="auto"/>
        <w:right w:val="none" w:sz="0" w:space="0" w:color="auto"/>
      </w:divBdr>
    </w:div>
    <w:div w:id="769088855">
      <w:bodyDiv w:val="1"/>
      <w:marLeft w:val="0"/>
      <w:marRight w:val="0"/>
      <w:marTop w:val="0"/>
      <w:marBottom w:val="0"/>
      <w:divBdr>
        <w:top w:val="none" w:sz="0" w:space="0" w:color="auto"/>
        <w:left w:val="none" w:sz="0" w:space="0" w:color="auto"/>
        <w:bottom w:val="none" w:sz="0" w:space="0" w:color="auto"/>
        <w:right w:val="none" w:sz="0" w:space="0" w:color="auto"/>
      </w:divBdr>
    </w:div>
    <w:div w:id="906111571">
      <w:bodyDiv w:val="1"/>
      <w:marLeft w:val="0"/>
      <w:marRight w:val="0"/>
      <w:marTop w:val="0"/>
      <w:marBottom w:val="0"/>
      <w:divBdr>
        <w:top w:val="none" w:sz="0" w:space="0" w:color="auto"/>
        <w:left w:val="none" w:sz="0" w:space="0" w:color="auto"/>
        <w:bottom w:val="none" w:sz="0" w:space="0" w:color="auto"/>
        <w:right w:val="none" w:sz="0" w:space="0" w:color="auto"/>
      </w:divBdr>
    </w:div>
    <w:div w:id="919218662">
      <w:bodyDiv w:val="1"/>
      <w:marLeft w:val="0"/>
      <w:marRight w:val="0"/>
      <w:marTop w:val="0"/>
      <w:marBottom w:val="0"/>
      <w:divBdr>
        <w:top w:val="none" w:sz="0" w:space="0" w:color="auto"/>
        <w:left w:val="none" w:sz="0" w:space="0" w:color="auto"/>
        <w:bottom w:val="none" w:sz="0" w:space="0" w:color="auto"/>
        <w:right w:val="none" w:sz="0" w:space="0" w:color="auto"/>
      </w:divBdr>
    </w:div>
    <w:div w:id="967126560">
      <w:bodyDiv w:val="1"/>
      <w:marLeft w:val="0"/>
      <w:marRight w:val="0"/>
      <w:marTop w:val="0"/>
      <w:marBottom w:val="0"/>
      <w:divBdr>
        <w:top w:val="none" w:sz="0" w:space="0" w:color="auto"/>
        <w:left w:val="none" w:sz="0" w:space="0" w:color="auto"/>
        <w:bottom w:val="none" w:sz="0" w:space="0" w:color="auto"/>
        <w:right w:val="none" w:sz="0" w:space="0" w:color="auto"/>
      </w:divBdr>
    </w:div>
    <w:div w:id="987057602">
      <w:bodyDiv w:val="1"/>
      <w:marLeft w:val="0"/>
      <w:marRight w:val="0"/>
      <w:marTop w:val="0"/>
      <w:marBottom w:val="0"/>
      <w:divBdr>
        <w:top w:val="none" w:sz="0" w:space="0" w:color="auto"/>
        <w:left w:val="none" w:sz="0" w:space="0" w:color="auto"/>
        <w:bottom w:val="none" w:sz="0" w:space="0" w:color="auto"/>
        <w:right w:val="none" w:sz="0" w:space="0" w:color="auto"/>
      </w:divBdr>
    </w:div>
    <w:div w:id="1179009440">
      <w:bodyDiv w:val="1"/>
      <w:marLeft w:val="0"/>
      <w:marRight w:val="0"/>
      <w:marTop w:val="0"/>
      <w:marBottom w:val="0"/>
      <w:divBdr>
        <w:top w:val="none" w:sz="0" w:space="0" w:color="auto"/>
        <w:left w:val="none" w:sz="0" w:space="0" w:color="auto"/>
        <w:bottom w:val="none" w:sz="0" w:space="0" w:color="auto"/>
        <w:right w:val="none" w:sz="0" w:space="0" w:color="auto"/>
      </w:divBdr>
    </w:div>
    <w:div w:id="1225022944">
      <w:bodyDiv w:val="1"/>
      <w:marLeft w:val="0"/>
      <w:marRight w:val="0"/>
      <w:marTop w:val="0"/>
      <w:marBottom w:val="0"/>
      <w:divBdr>
        <w:top w:val="none" w:sz="0" w:space="0" w:color="auto"/>
        <w:left w:val="none" w:sz="0" w:space="0" w:color="auto"/>
        <w:bottom w:val="none" w:sz="0" w:space="0" w:color="auto"/>
        <w:right w:val="none" w:sz="0" w:space="0" w:color="auto"/>
      </w:divBdr>
    </w:div>
    <w:div w:id="1329091438">
      <w:bodyDiv w:val="1"/>
      <w:marLeft w:val="0"/>
      <w:marRight w:val="0"/>
      <w:marTop w:val="0"/>
      <w:marBottom w:val="0"/>
      <w:divBdr>
        <w:top w:val="none" w:sz="0" w:space="0" w:color="auto"/>
        <w:left w:val="none" w:sz="0" w:space="0" w:color="auto"/>
        <w:bottom w:val="none" w:sz="0" w:space="0" w:color="auto"/>
        <w:right w:val="none" w:sz="0" w:space="0" w:color="auto"/>
      </w:divBdr>
    </w:div>
    <w:div w:id="1363822999">
      <w:bodyDiv w:val="1"/>
      <w:marLeft w:val="0"/>
      <w:marRight w:val="0"/>
      <w:marTop w:val="0"/>
      <w:marBottom w:val="0"/>
      <w:divBdr>
        <w:top w:val="none" w:sz="0" w:space="0" w:color="auto"/>
        <w:left w:val="none" w:sz="0" w:space="0" w:color="auto"/>
        <w:bottom w:val="none" w:sz="0" w:space="0" w:color="auto"/>
        <w:right w:val="none" w:sz="0" w:space="0" w:color="auto"/>
      </w:divBdr>
    </w:div>
    <w:div w:id="1376933169">
      <w:bodyDiv w:val="1"/>
      <w:marLeft w:val="0"/>
      <w:marRight w:val="0"/>
      <w:marTop w:val="0"/>
      <w:marBottom w:val="0"/>
      <w:divBdr>
        <w:top w:val="none" w:sz="0" w:space="0" w:color="auto"/>
        <w:left w:val="none" w:sz="0" w:space="0" w:color="auto"/>
        <w:bottom w:val="none" w:sz="0" w:space="0" w:color="auto"/>
        <w:right w:val="none" w:sz="0" w:space="0" w:color="auto"/>
      </w:divBdr>
    </w:div>
    <w:div w:id="1428690473">
      <w:bodyDiv w:val="1"/>
      <w:marLeft w:val="0"/>
      <w:marRight w:val="0"/>
      <w:marTop w:val="0"/>
      <w:marBottom w:val="0"/>
      <w:divBdr>
        <w:top w:val="none" w:sz="0" w:space="0" w:color="auto"/>
        <w:left w:val="none" w:sz="0" w:space="0" w:color="auto"/>
        <w:bottom w:val="none" w:sz="0" w:space="0" w:color="auto"/>
        <w:right w:val="none" w:sz="0" w:space="0" w:color="auto"/>
      </w:divBdr>
    </w:div>
    <w:div w:id="1510872515">
      <w:bodyDiv w:val="1"/>
      <w:marLeft w:val="0"/>
      <w:marRight w:val="0"/>
      <w:marTop w:val="0"/>
      <w:marBottom w:val="0"/>
      <w:divBdr>
        <w:top w:val="none" w:sz="0" w:space="0" w:color="auto"/>
        <w:left w:val="none" w:sz="0" w:space="0" w:color="auto"/>
        <w:bottom w:val="none" w:sz="0" w:space="0" w:color="auto"/>
        <w:right w:val="none" w:sz="0" w:space="0" w:color="auto"/>
      </w:divBdr>
    </w:div>
    <w:div w:id="1539201380">
      <w:bodyDiv w:val="1"/>
      <w:marLeft w:val="0"/>
      <w:marRight w:val="0"/>
      <w:marTop w:val="0"/>
      <w:marBottom w:val="0"/>
      <w:divBdr>
        <w:top w:val="none" w:sz="0" w:space="0" w:color="auto"/>
        <w:left w:val="none" w:sz="0" w:space="0" w:color="auto"/>
        <w:bottom w:val="none" w:sz="0" w:space="0" w:color="auto"/>
        <w:right w:val="none" w:sz="0" w:space="0" w:color="auto"/>
      </w:divBdr>
    </w:div>
    <w:div w:id="1560898776">
      <w:bodyDiv w:val="1"/>
      <w:marLeft w:val="0"/>
      <w:marRight w:val="0"/>
      <w:marTop w:val="0"/>
      <w:marBottom w:val="0"/>
      <w:divBdr>
        <w:top w:val="none" w:sz="0" w:space="0" w:color="auto"/>
        <w:left w:val="none" w:sz="0" w:space="0" w:color="auto"/>
        <w:bottom w:val="none" w:sz="0" w:space="0" w:color="auto"/>
        <w:right w:val="none" w:sz="0" w:space="0" w:color="auto"/>
      </w:divBdr>
    </w:div>
    <w:div w:id="1641962246">
      <w:bodyDiv w:val="1"/>
      <w:marLeft w:val="0"/>
      <w:marRight w:val="0"/>
      <w:marTop w:val="0"/>
      <w:marBottom w:val="0"/>
      <w:divBdr>
        <w:top w:val="none" w:sz="0" w:space="0" w:color="auto"/>
        <w:left w:val="none" w:sz="0" w:space="0" w:color="auto"/>
        <w:bottom w:val="none" w:sz="0" w:space="0" w:color="auto"/>
        <w:right w:val="none" w:sz="0" w:space="0" w:color="auto"/>
      </w:divBdr>
    </w:div>
    <w:div w:id="1716201030">
      <w:bodyDiv w:val="1"/>
      <w:marLeft w:val="0"/>
      <w:marRight w:val="0"/>
      <w:marTop w:val="0"/>
      <w:marBottom w:val="0"/>
      <w:divBdr>
        <w:top w:val="none" w:sz="0" w:space="0" w:color="auto"/>
        <w:left w:val="none" w:sz="0" w:space="0" w:color="auto"/>
        <w:bottom w:val="none" w:sz="0" w:space="0" w:color="auto"/>
        <w:right w:val="none" w:sz="0" w:space="0" w:color="auto"/>
      </w:divBdr>
    </w:div>
    <w:div w:id="1738897450">
      <w:bodyDiv w:val="1"/>
      <w:marLeft w:val="0"/>
      <w:marRight w:val="0"/>
      <w:marTop w:val="0"/>
      <w:marBottom w:val="0"/>
      <w:divBdr>
        <w:top w:val="none" w:sz="0" w:space="0" w:color="auto"/>
        <w:left w:val="none" w:sz="0" w:space="0" w:color="auto"/>
        <w:bottom w:val="none" w:sz="0" w:space="0" w:color="auto"/>
        <w:right w:val="none" w:sz="0" w:space="0" w:color="auto"/>
      </w:divBdr>
    </w:div>
    <w:div w:id="1748457948">
      <w:bodyDiv w:val="1"/>
      <w:marLeft w:val="0"/>
      <w:marRight w:val="0"/>
      <w:marTop w:val="0"/>
      <w:marBottom w:val="0"/>
      <w:divBdr>
        <w:top w:val="none" w:sz="0" w:space="0" w:color="auto"/>
        <w:left w:val="none" w:sz="0" w:space="0" w:color="auto"/>
        <w:bottom w:val="none" w:sz="0" w:space="0" w:color="auto"/>
        <w:right w:val="none" w:sz="0" w:space="0" w:color="auto"/>
      </w:divBdr>
    </w:div>
    <w:div w:id="1806581526">
      <w:bodyDiv w:val="1"/>
      <w:marLeft w:val="0"/>
      <w:marRight w:val="0"/>
      <w:marTop w:val="0"/>
      <w:marBottom w:val="0"/>
      <w:divBdr>
        <w:top w:val="none" w:sz="0" w:space="0" w:color="auto"/>
        <w:left w:val="none" w:sz="0" w:space="0" w:color="auto"/>
        <w:bottom w:val="none" w:sz="0" w:space="0" w:color="auto"/>
        <w:right w:val="none" w:sz="0" w:space="0" w:color="auto"/>
      </w:divBdr>
    </w:div>
    <w:div w:id="1851064796">
      <w:bodyDiv w:val="1"/>
      <w:marLeft w:val="0"/>
      <w:marRight w:val="0"/>
      <w:marTop w:val="0"/>
      <w:marBottom w:val="0"/>
      <w:divBdr>
        <w:top w:val="none" w:sz="0" w:space="0" w:color="auto"/>
        <w:left w:val="none" w:sz="0" w:space="0" w:color="auto"/>
        <w:bottom w:val="none" w:sz="0" w:space="0" w:color="auto"/>
        <w:right w:val="none" w:sz="0" w:space="0" w:color="auto"/>
      </w:divBdr>
    </w:div>
    <w:div w:id="1867864148">
      <w:bodyDiv w:val="1"/>
      <w:marLeft w:val="0"/>
      <w:marRight w:val="0"/>
      <w:marTop w:val="0"/>
      <w:marBottom w:val="0"/>
      <w:divBdr>
        <w:top w:val="none" w:sz="0" w:space="0" w:color="auto"/>
        <w:left w:val="none" w:sz="0" w:space="0" w:color="auto"/>
        <w:bottom w:val="none" w:sz="0" w:space="0" w:color="auto"/>
        <w:right w:val="none" w:sz="0" w:space="0" w:color="auto"/>
      </w:divBdr>
    </w:div>
    <w:div w:id="1899707896">
      <w:bodyDiv w:val="1"/>
      <w:marLeft w:val="0"/>
      <w:marRight w:val="0"/>
      <w:marTop w:val="0"/>
      <w:marBottom w:val="0"/>
      <w:divBdr>
        <w:top w:val="none" w:sz="0" w:space="0" w:color="auto"/>
        <w:left w:val="none" w:sz="0" w:space="0" w:color="auto"/>
        <w:bottom w:val="none" w:sz="0" w:space="0" w:color="auto"/>
        <w:right w:val="none" w:sz="0" w:space="0" w:color="auto"/>
      </w:divBdr>
    </w:div>
    <w:div w:id="1953322474">
      <w:bodyDiv w:val="1"/>
      <w:marLeft w:val="0"/>
      <w:marRight w:val="0"/>
      <w:marTop w:val="0"/>
      <w:marBottom w:val="0"/>
      <w:divBdr>
        <w:top w:val="none" w:sz="0" w:space="0" w:color="auto"/>
        <w:left w:val="none" w:sz="0" w:space="0" w:color="auto"/>
        <w:bottom w:val="none" w:sz="0" w:space="0" w:color="auto"/>
        <w:right w:val="none" w:sz="0" w:space="0" w:color="auto"/>
      </w:divBdr>
    </w:div>
    <w:div w:id="2004696651">
      <w:bodyDiv w:val="1"/>
      <w:marLeft w:val="0"/>
      <w:marRight w:val="0"/>
      <w:marTop w:val="0"/>
      <w:marBottom w:val="0"/>
      <w:divBdr>
        <w:top w:val="none" w:sz="0" w:space="0" w:color="auto"/>
        <w:left w:val="none" w:sz="0" w:space="0" w:color="auto"/>
        <w:bottom w:val="none" w:sz="0" w:space="0" w:color="auto"/>
        <w:right w:val="none" w:sz="0" w:space="0" w:color="auto"/>
      </w:divBdr>
    </w:div>
    <w:div w:id="2036035911">
      <w:bodyDiv w:val="1"/>
      <w:marLeft w:val="0"/>
      <w:marRight w:val="0"/>
      <w:marTop w:val="0"/>
      <w:marBottom w:val="0"/>
      <w:divBdr>
        <w:top w:val="none" w:sz="0" w:space="0" w:color="auto"/>
        <w:left w:val="none" w:sz="0" w:space="0" w:color="auto"/>
        <w:bottom w:val="none" w:sz="0" w:space="0" w:color="auto"/>
        <w:right w:val="none" w:sz="0" w:space="0" w:color="auto"/>
      </w:divBdr>
    </w:div>
    <w:div w:id="2100591605">
      <w:bodyDiv w:val="1"/>
      <w:marLeft w:val="0"/>
      <w:marRight w:val="0"/>
      <w:marTop w:val="0"/>
      <w:marBottom w:val="0"/>
      <w:divBdr>
        <w:top w:val="none" w:sz="0" w:space="0" w:color="auto"/>
        <w:left w:val="none" w:sz="0" w:space="0" w:color="auto"/>
        <w:bottom w:val="none" w:sz="0" w:space="0" w:color="auto"/>
        <w:right w:val="none" w:sz="0" w:space="0" w:color="auto"/>
      </w:divBdr>
    </w:div>
    <w:div w:id="21031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gtlds.icann.org/en/program-status/delegated-strings" TargetMode="External"/><Relationship Id="rId13" Type="http://schemas.openxmlformats.org/officeDocument/2006/relationships/hyperlink" Target="https://newgtlds.icann.org/en/applicants/urs/procedure-01mar13-en.pdf" TargetMode="External"/><Relationship Id="rId18" Type="http://schemas.openxmlformats.org/officeDocument/2006/relationships/hyperlink" Target="https://www.mfsd.it/"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icann.org/en/help/dndr/udrp" TargetMode="External"/><Relationship Id="rId17" Type="http://schemas.openxmlformats.org/officeDocument/2006/relationships/hyperlink" Target="http://www.adndr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rforum.com/"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wgtlds.icann.org/en/applicants/urs/tech-requirements-17oct13-en.pdf" TargetMode="External"/><Relationship Id="rId23"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iana.org/domains/root/db" TargetMode="External"/><Relationship Id="rId14" Type="http://schemas.openxmlformats.org/officeDocument/2006/relationships/hyperlink" Target="https://newgtlds.icann.org/en/applicants/urs/rules-28jun13-en.pdf"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en/applicants/urs/rules-28jun13-en.pdf" TargetMode="External"/><Relationship Id="rId2" Type="http://schemas.openxmlformats.org/officeDocument/2006/relationships/hyperlink" Target="https://newgtlds.icann.org/en/applicants/urs/procedure-01mar13-en.pdf" TargetMode="External"/><Relationship Id="rId1" Type="http://schemas.openxmlformats.org/officeDocument/2006/relationships/hyperlink" Target="https://newgtlds.icann.org/en/applicants/u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rry\Documents\rpm\URS_data_review_v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[URS_data_review_v0.6.xlsx]launch_tld!PivotTable21</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launch_tld!$B$6:$B$7</c:f>
              <c:strCache>
                <c:ptCount val="1"/>
                <c:pt idx="0">
                  <c:v>Generic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launch_tld!$B$8:$B$13</c:f>
              <c:numCache>
                <c:formatCode>General</c:formatCode>
                <c:ptCount val="5"/>
                <c:pt idx="0">
                  <c:v>47</c:v>
                </c:pt>
                <c:pt idx="1">
                  <c:v>332</c:v>
                </c:pt>
                <c:pt idx="2">
                  <c:v>199</c:v>
                </c:pt>
                <c:pt idx="3">
                  <c:v>106</c:v>
                </c:pt>
                <c:pt idx="4">
                  <c:v>10</c:v>
                </c:pt>
              </c:numCache>
            </c:numRef>
          </c:val>
          <c:extLst>
            <c:ext xmlns:c16="http://schemas.microsoft.com/office/drawing/2014/chart" uri="{C3380CC4-5D6E-409C-BE32-E72D297353CC}">
              <c16:uniqueId val="{00000000-A82F-7640-8889-660388B4837D}"/>
            </c:ext>
          </c:extLst>
        </c:ser>
        <c:ser>
          <c:idx val="1"/>
          <c:order val="1"/>
          <c:tx>
            <c:strRef>
              <c:f>launch_tld!$C$6:$C$7</c:f>
              <c:strCache>
                <c:ptCount val="1"/>
                <c:pt idx="0">
                  <c:v>Geographic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launch_tld!$C$8:$C$13</c:f>
              <c:numCache>
                <c:formatCode>General</c:formatCode>
                <c:ptCount val="5"/>
                <c:pt idx="1">
                  <c:v>42</c:v>
                </c:pt>
                <c:pt idx="2">
                  <c:v>6</c:v>
                </c:pt>
                <c:pt idx="3">
                  <c:v>5</c:v>
                </c:pt>
                <c:pt idx="4">
                  <c:v>1</c:v>
                </c:pt>
              </c:numCache>
            </c:numRef>
          </c:val>
          <c:extLst>
            <c:ext xmlns:c16="http://schemas.microsoft.com/office/drawing/2014/chart" uri="{C3380CC4-5D6E-409C-BE32-E72D297353CC}">
              <c16:uniqueId val="{00000001-A82F-7640-8889-660388B4837D}"/>
            </c:ext>
          </c:extLst>
        </c:ser>
        <c:ser>
          <c:idx val="2"/>
          <c:order val="2"/>
          <c:tx>
            <c:strRef>
              <c:f>launch_tld!$D$6:$D$7</c:f>
              <c:strCache>
                <c:ptCount val="1"/>
                <c:pt idx="0">
                  <c:v>Spec13</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launch_tld!$D$8:$D$13</c:f>
              <c:numCache>
                <c:formatCode>General</c:formatCode>
                <c:ptCount val="5"/>
                <c:pt idx="1">
                  <c:v>59</c:v>
                </c:pt>
                <c:pt idx="2">
                  <c:v>185</c:v>
                </c:pt>
                <c:pt idx="3">
                  <c:v>234</c:v>
                </c:pt>
                <c:pt idx="4">
                  <c:v>1</c:v>
                </c:pt>
              </c:numCache>
            </c:numRef>
          </c:val>
          <c:extLst>
            <c:ext xmlns:c16="http://schemas.microsoft.com/office/drawing/2014/chart" uri="{C3380CC4-5D6E-409C-BE32-E72D297353CC}">
              <c16:uniqueId val="{00000002-A82F-7640-8889-660388B4837D}"/>
            </c:ext>
          </c:extLst>
        </c:ser>
        <c:dLbls>
          <c:showLegendKey val="0"/>
          <c:showVal val="0"/>
          <c:showCatName val="0"/>
          <c:showSerName val="0"/>
          <c:showPercent val="0"/>
          <c:showBubbleSize val="0"/>
        </c:dLbls>
        <c:gapWidth val="150"/>
        <c:overlap val="100"/>
        <c:axId val="187723136"/>
        <c:axId val="187724928"/>
      </c:barChart>
      <c:catAx>
        <c:axId val="187723136"/>
        <c:scaling>
          <c:orientation val="minMax"/>
        </c:scaling>
        <c:delete val="0"/>
        <c:axPos val="b"/>
        <c:numFmt formatCode="General" sourceLinked="0"/>
        <c:majorTickMark val="out"/>
        <c:minorTickMark val="none"/>
        <c:tickLblPos val="nextTo"/>
        <c:crossAx val="187724928"/>
        <c:crosses val="autoZero"/>
        <c:auto val="1"/>
        <c:lblAlgn val="ctr"/>
        <c:lblOffset val="100"/>
        <c:noMultiLvlLbl val="0"/>
      </c:catAx>
      <c:valAx>
        <c:axId val="187724928"/>
        <c:scaling>
          <c:orientation val="minMax"/>
        </c:scaling>
        <c:delete val="0"/>
        <c:axPos val="l"/>
        <c:majorGridlines/>
        <c:numFmt formatCode="General" sourceLinked="1"/>
        <c:majorTickMark val="out"/>
        <c:minorTickMark val="none"/>
        <c:tickLblPos val="nextTo"/>
        <c:crossAx val="18772313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[RPM_data_review_v0.2.xlsx]urs_pivots!PivotTable20</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pivotFmt>
      <c:pivotFmt>
        <c:idx val="5"/>
        <c:marker>
          <c:symbol val="none"/>
        </c:marker>
      </c:pivotFmt>
      <c:pivotFmt>
        <c:idx val="6"/>
        <c:marker>
          <c:symbol val="none"/>
        </c:marker>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pivotFmt>
      <c:pivotFmt>
        <c:idx val="10"/>
        <c:marker>
          <c:symbol val="none"/>
        </c:marker>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pivotFmt>
      <c:pivotFmt>
        <c:idx val="15"/>
      </c:pivotFmt>
      <c:pivotFmt>
        <c:idx val="1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urs_pivots!$L$12:$L$13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urs_pivots!$L$14:$L$18</c:f>
              <c:numCache>
                <c:formatCode>General</c:formatCode>
                <c:ptCount val="4"/>
                <c:pt idx="0">
                  <c:v>214</c:v>
                </c:pt>
                <c:pt idx="1">
                  <c:v>209</c:v>
                </c:pt>
                <c:pt idx="2">
                  <c:v>214</c:v>
                </c:pt>
                <c:pt idx="3">
                  <c:v>147</c:v>
                </c:pt>
              </c:numCache>
            </c:numRef>
          </c:val>
          <c:extLst>
            <c:ext xmlns:c16="http://schemas.microsoft.com/office/drawing/2014/chart" uri="{C3380CC4-5D6E-409C-BE32-E72D297353CC}">
              <c16:uniqueId val="{00000000-D501-D540-94D0-F8A36F64F5C5}"/>
            </c:ext>
          </c:extLst>
        </c:ser>
        <c:ser>
          <c:idx val="2"/>
          <c:order val="2"/>
          <c:tx>
            <c:strRef>
              <c:f>urs_pivots!$N$12:$N$13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urs_pivots!$N$14:$N$18</c:f>
              <c:numCache>
                <c:formatCode>General</c:formatCode>
                <c:ptCount val="4"/>
                <c:pt idx="2">
                  <c:v>10</c:v>
                </c:pt>
                <c:pt idx="3">
                  <c:v>4</c:v>
                </c:pt>
              </c:numCache>
            </c:numRef>
          </c:val>
          <c:extLst>
            <c:ext xmlns:c16="http://schemas.microsoft.com/office/drawing/2014/chart" uri="{C3380CC4-5D6E-409C-BE32-E72D297353CC}">
              <c16:uniqueId val="{00000001-D501-D540-94D0-F8A36F64F5C5}"/>
            </c:ext>
          </c:extLst>
        </c:ser>
        <c:ser>
          <c:idx val="1"/>
          <c:order val="1"/>
          <c:tx>
            <c:strRef>
              <c:f>urs_pivots!$M$12:$M$13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urs_pivots!$M$14:$M$18</c:f>
              <c:numCache>
                <c:formatCode>General</c:formatCode>
                <c:ptCount val="4"/>
                <c:pt idx="0">
                  <c:v>20</c:v>
                </c:pt>
                <c:pt idx="1">
                  <c:v>8</c:v>
                </c:pt>
                <c:pt idx="2">
                  <c:v>1</c:v>
                </c:pt>
              </c:numCache>
            </c:numRef>
          </c:val>
          <c:extLst>
            <c:ext xmlns:c16="http://schemas.microsoft.com/office/drawing/2014/chart" uri="{C3380CC4-5D6E-409C-BE32-E72D297353CC}">
              <c16:uniqueId val="{00000002-D501-D540-94D0-F8A36F64F5C5}"/>
            </c:ext>
          </c:extLst>
        </c:ser>
        <c:dLbls>
          <c:showLegendKey val="0"/>
          <c:showVal val="0"/>
          <c:showCatName val="0"/>
          <c:showSerName val="0"/>
          <c:showPercent val="0"/>
          <c:showBubbleSize val="0"/>
        </c:dLbls>
        <c:gapWidth val="150"/>
        <c:overlap val="100"/>
        <c:axId val="187901440"/>
        <c:axId val="187902976"/>
      </c:barChart>
      <c:catAx>
        <c:axId val="187901440"/>
        <c:scaling>
          <c:orientation val="minMax"/>
        </c:scaling>
        <c:delete val="0"/>
        <c:axPos val="b"/>
        <c:numFmt formatCode="General" sourceLinked="0"/>
        <c:majorTickMark val="out"/>
        <c:minorTickMark val="none"/>
        <c:tickLblPos val="nextTo"/>
        <c:crossAx val="187902976"/>
        <c:crosses val="autoZero"/>
        <c:auto val="1"/>
        <c:lblAlgn val="ctr"/>
        <c:lblOffset val="100"/>
        <c:noMultiLvlLbl val="0"/>
      </c:catAx>
      <c:valAx>
        <c:axId val="187902976"/>
        <c:scaling>
          <c:orientation val="minMax"/>
        </c:scaling>
        <c:delete val="0"/>
        <c:axPos val="l"/>
        <c:majorGridlines/>
        <c:numFmt formatCode="General" sourceLinked="1"/>
        <c:majorTickMark val="out"/>
        <c:minorTickMark val="none"/>
        <c:tickLblPos val="nextTo"/>
        <c:crossAx val="18790144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[RPM_data_review_v0.2.xlsx]urs_pivots!PivotTable9</c:name>
    <c:fmtId val="-1"/>
  </c:pivotSource>
  <c:chart>
    <c:autoTitleDeleted val="0"/>
    <c:pivotFmts>
      <c:pivotFmt>
        <c:idx val="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urs_pivots!$AQ$12:$AQ$13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urs_pivots!$AQ$14:$AQ$37</c:f>
              <c:numCache>
                <c:formatCode>General</c:formatCode>
                <c:ptCount val="11"/>
                <c:pt idx="0">
                  <c:v>17</c:v>
                </c:pt>
                <c:pt idx="2">
                  <c:v>7</c:v>
                </c:pt>
                <c:pt idx="5">
                  <c:v>1</c:v>
                </c:pt>
                <c:pt idx="10">
                  <c:v>4</c:v>
                </c:pt>
              </c:numCache>
            </c:numRef>
          </c:val>
          <c:extLst>
            <c:ext xmlns:c16="http://schemas.microsoft.com/office/drawing/2014/chart" uri="{C3380CC4-5D6E-409C-BE32-E72D297353CC}">
              <c16:uniqueId val="{00000000-8386-374B-9878-D784B2D9D9D3}"/>
            </c:ext>
          </c:extLst>
        </c:ser>
        <c:ser>
          <c:idx val="1"/>
          <c:order val="1"/>
          <c:tx>
            <c:strRef>
              <c:f>urs_pivots!$AR$12:$AR$13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urs_pivots!$AR$14:$AR$37</c:f>
              <c:numCache>
                <c:formatCode>General</c:formatCode>
                <c:ptCount val="11"/>
                <c:pt idx="0">
                  <c:v>501</c:v>
                </c:pt>
                <c:pt idx="1">
                  <c:v>1</c:v>
                </c:pt>
                <c:pt idx="2">
                  <c:v>160</c:v>
                </c:pt>
                <c:pt idx="3">
                  <c:v>10</c:v>
                </c:pt>
                <c:pt idx="4">
                  <c:v>14</c:v>
                </c:pt>
                <c:pt idx="5">
                  <c:v>30</c:v>
                </c:pt>
                <c:pt idx="6">
                  <c:v>24</c:v>
                </c:pt>
                <c:pt idx="7">
                  <c:v>2</c:v>
                </c:pt>
                <c:pt idx="8">
                  <c:v>1</c:v>
                </c:pt>
                <c:pt idx="9">
                  <c:v>1</c:v>
                </c:pt>
                <c:pt idx="10">
                  <c:v>40</c:v>
                </c:pt>
              </c:numCache>
            </c:numRef>
          </c:val>
          <c:extLst>
            <c:ext xmlns:c16="http://schemas.microsoft.com/office/drawing/2014/chart" uri="{C3380CC4-5D6E-409C-BE32-E72D297353CC}">
              <c16:uniqueId val="{00000001-8386-374B-9878-D784B2D9D9D3}"/>
            </c:ext>
          </c:extLst>
        </c:ser>
        <c:ser>
          <c:idx val="2"/>
          <c:order val="2"/>
          <c:tx>
            <c:strRef>
              <c:f>urs_pivots!$AS$12:$AS$13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urs_pivots!$AS$14:$AS$37</c:f>
              <c:numCache>
                <c:formatCode>General</c:formatCode>
                <c:ptCount val="11"/>
                <c:pt idx="0">
                  <c:v>12</c:v>
                </c:pt>
                <c:pt idx="2">
                  <c:v>1</c:v>
                </c:pt>
                <c:pt idx="5">
                  <c:v>1</c:v>
                </c:pt>
              </c:numCache>
            </c:numRef>
          </c:val>
          <c:extLst>
            <c:ext xmlns:c16="http://schemas.microsoft.com/office/drawing/2014/chart" uri="{C3380CC4-5D6E-409C-BE32-E72D297353CC}">
              <c16:uniqueId val="{00000002-8386-374B-9878-D784B2D9D9D3}"/>
            </c:ext>
          </c:extLst>
        </c:ser>
        <c:dLbls>
          <c:showLegendKey val="0"/>
          <c:showVal val="0"/>
          <c:showCatName val="0"/>
          <c:showSerName val="0"/>
          <c:showPercent val="0"/>
          <c:showBubbleSize val="0"/>
        </c:dLbls>
        <c:gapWidth val="150"/>
        <c:overlap val="100"/>
        <c:axId val="188099968"/>
        <c:axId val="188109952"/>
      </c:barChart>
      <c:catAx>
        <c:axId val="188099968"/>
        <c:scaling>
          <c:orientation val="minMax"/>
        </c:scaling>
        <c:delete val="0"/>
        <c:axPos val="b"/>
        <c:numFmt formatCode="General" sourceLinked="0"/>
        <c:majorTickMark val="out"/>
        <c:minorTickMark val="none"/>
        <c:tickLblPos val="nextTo"/>
        <c:crossAx val="188109952"/>
        <c:crosses val="autoZero"/>
        <c:auto val="1"/>
        <c:lblAlgn val="ctr"/>
        <c:lblOffset val="100"/>
        <c:noMultiLvlLbl val="0"/>
      </c:catAx>
      <c:valAx>
        <c:axId val="188109952"/>
        <c:scaling>
          <c:orientation val="minMax"/>
        </c:scaling>
        <c:delete val="0"/>
        <c:axPos val="l"/>
        <c:majorGridlines/>
        <c:numFmt formatCode="General" sourceLinked="1"/>
        <c:majorTickMark val="out"/>
        <c:minorTickMark val="none"/>
        <c:tickLblPos val="nextTo"/>
        <c:crossAx val="18809996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A8F9-EC2C-A94B-BD8E-B0E52F59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3301</Words>
  <Characters>18486</Characters>
  <Application>Microsoft Office Word</Application>
  <DocSecurity>0</DocSecurity>
  <Lines>616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Mary Wong</cp:lastModifiedBy>
  <cp:revision>2</cp:revision>
  <dcterms:created xsi:type="dcterms:W3CDTF">2018-06-26T15:18:00Z</dcterms:created>
  <dcterms:modified xsi:type="dcterms:W3CDTF">2018-06-26T15:18:00Z</dcterms:modified>
</cp:coreProperties>
</file>