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CC468" w14:textId="77777777" w:rsidR="006369E6" w:rsidRDefault="006369E6">
      <w:pPr>
        <w:pStyle w:val="BodyText"/>
        <w:rPr>
          <w:rFonts w:ascii="Times New Roman"/>
          <w:sz w:val="20"/>
        </w:rPr>
      </w:pPr>
    </w:p>
    <w:p w14:paraId="73E78EF0" w14:textId="77777777" w:rsidR="006369E6" w:rsidRDefault="006369E6">
      <w:pPr>
        <w:pStyle w:val="BodyText"/>
        <w:spacing w:before="1"/>
        <w:rPr>
          <w:rFonts w:ascii="Times New Roman"/>
          <w:sz w:val="16"/>
        </w:rPr>
      </w:pPr>
    </w:p>
    <w:tbl>
      <w:tblPr>
        <w:tblW w:w="0" w:type="auto"/>
        <w:tblInd w:w="67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79"/>
        <w:gridCol w:w="3413"/>
        <w:gridCol w:w="3413"/>
        <w:gridCol w:w="3413"/>
        <w:gridCol w:w="3415"/>
      </w:tblGrid>
      <w:tr w:rsidR="006369E6" w14:paraId="5461B16E" w14:textId="77777777">
        <w:trPr>
          <w:trHeight w:hRule="exact" w:val="179"/>
        </w:trPr>
        <w:tc>
          <w:tcPr>
            <w:tcW w:w="3592" w:type="dxa"/>
            <w:gridSpan w:val="2"/>
            <w:shd w:val="clear" w:color="auto" w:fill="CEE1F3"/>
          </w:tcPr>
          <w:p w14:paraId="15638021" w14:textId="77777777" w:rsidR="006369E6" w:rsidRDefault="006B5592">
            <w:pPr>
              <w:pStyle w:val="TableParagraph"/>
              <w:rPr>
                <w:b/>
                <w:sz w:val="11"/>
              </w:rPr>
            </w:pPr>
            <w:r>
              <w:rPr>
                <w:b/>
                <w:sz w:val="11"/>
              </w:rPr>
              <w:t>URS Rules</w:t>
            </w:r>
          </w:p>
        </w:tc>
        <w:tc>
          <w:tcPr>
            <w:tcW w:w="3413" w:type="dxa"/>
            <w:shd w:val="clear" w:color="auto" w:fill="CEE1F3"/>
          </w:tcPr>
          <w:p w14:paraId="25373E0B" w14:textId="77777777" w:rsidR="006369E6" w:rsidRDefault="006B5592">
            <w:pPr>
              <w:pStyle w:val="TableParagraph"/>
              <w:rPr>
                <w:b/>
                <w:sz w:val="11"/>
              </w:rPr>
            </w:pPr>
            <w:r>
              <w:rPr>
                <w:b/>
                <w:sz w:val="11"/>
              </w:rPr>
              <w:t>Proposed Questions</w:t>
            </w:r>
          </w:p>
        </w:tc>
        <w:tc>
          <w:tcPr>
            <w:tcW w:w="3413" w:type="dxa"/>
            <w:shd w:val="clear" w:color="auto" w:fill="CEE1F3"/>
          </w:tcPr>
          <w:p w14:paraId="5353ED7C" w14:textId="77777777" w:rsidR="006369E6" w:rsidRDefault="006B5592">
            <w:pPr>
              <w:pStyle w:val="TableParagraph"/>
              <w:rPr>
                <w:b/>
                <w:sz w:val="11"/>
              </w:rPr>
            </w:pPr>
            <w:r>
              <w:rPr>
                <w:b/>
                <w:sz w:val="11"/>
              </w:rPr>
              <w:t>Additional Notes</w:t>
            </w:r>
          </w:p>
        </w:tc>
        <w:tc>
          <w:tcPr>
            <w:tcW w:w="3413" w:type="dxa"/>
            <w:shd w:val="clear" w:color="auto" w:fill="CEE1F3"/>
          </w:tcPr>
          <w:p w14:paraId="55CA7E72" w14:textId="77777777" w:rsidR="006369E6" w:rsidRDefault="006B5592">
            <w:pPr>
              <w:pStyle w:val="TableParagraph"/>
              <w:rPr>
                <w:b/>
                <w:sz w:val="11"/>
              </w:rPr>
            </w:pPr>
            <w:r>
              <w:rPr>
                <w:b/>
                <w:sz w:val="11"/>
              </w:rPr>
              <w:t>Findings</w:t>
            </w:r>
          </w:p>
        </w:tc>
      </w:tr>
      <w:tr w:rsidR="006369E6" w14:paraId="41D4C17C" w14:textId="77777777">
        <w:trPr>
          <w:trHeight w:hRule="exact" w:val="179"/>
        </w:trPr>
        <w:tc>
          <w:tcPr>
            <w:tcW w:w="13833" w:type="dxa"/>
            <w:gridSpan w:val="5"/>
            <w:shd w:val="clear" w:color="auto" w:fill="F3F3F3"/>
          </w:tcPr>
          <w:p w14:paraId="42E0B6E2" w14:textId="77777777" w:rsidR="006369E6" w:rsidRDefault="006B5592">
            <w:pPr>
              <w:pStyle w:val="TableParagraph"/>
              <w:rPr>
                <w:b/>
                <w:sz w:val="11"/>
              </w:rPr>
            </w:pPr>
            <w:r>
              <w:rPr>
                <w:b/>
                <w:sz w:val="11"/>
              </w:rPr>
              <w:t>2. Communications</w:t>
            </w:r>
          </w:p>
        </w:tc>
      </w:tr>
      <w:tr w:rsidR="006369E6" w14:paraId="473A4DF0" w14:textId="77777777">
        <w:trPr>
          <w:trHeight w:hRule="exact" w:val="681"/>
        </w:trPr>
        <w:tc>
          <w:tcPr>
            <w:tcW w:w="3592" w:type="dxa"/>
            <w:gridSpan w:val="2"/>
          </w:tcPr>
          <w:p w14:paraId="1A0F9388" w14:textId="77777777" w:rsidR="006369E6" w:rsidRDefault="006B5592">
            <w:pPr>
              <w:pStyle w:val="TableParagraph"/>
              <w:ind w:right="75"/>
              <w:rPr>
                <w:sz w:val="11"/>
              </w:rPr>
            </w:pPr>
            <w:r>
              <w:rPr>
                <w:sz w:val="11"/>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tc>
        <w:tc>
          <w:tcPr>
            <w:tcW w:w="3413" w:type="dxa"/>
            <w:vMerge w:val="restart"/>
          </w:tcPr>
          <w:p w14:paraId="629B87F2" w14:textId="77777777" w:rsidR="006369E6" w:rsidRDefault="006B5592">
            <w:pPr>
              <w:pStyle w:val="TableParagraph"/>
              <w:numPr>
                <w:ilvl w:val="0"/>
                <w:numId w:val="19"/>
              </w:numPr>
              <w:tabs>
                <w:tab w:val="left" w:pos="100"/>
              </w:tabs>
              <w:ind w:firstLine="0"/>
              <w:rPr>
                <w:sz w:val="11"/>
              </w:rPr>
            </w:pPr>
            <w:r>
              <w:rPr>
                <w:sz w:val="11"/>
              </w:rPr>
              <w:t>How do Providers send notification to the</w:t>
            </w:r>
            <w:r>
              <w:rPr>
                <w:spacing w:val="13"/>
                <w:sz w:val="11"/>
              </w:rPr>
              <w:t xml:space="preserve"> </w:t>
            </w:r>
            <w:r>
              <w:rPr>
                <w:sz w:val="11"/>
              </w:rPr>
              <w:t>Respondent?</w:t>
            </w:r>
          </w:p>
          <w:p w14:paraId="03BB29F5" w14:textId="77777777" w:rsidR="006369E6" w:rsidRDefault="006B5592">
            <w:pPr>
              <w:pStyle w:val="TableParagraph"/>
              <w:numPr>
                <w:ilvl w:val="0"/>
                <w:numId w:val="19"/>
              </w:numPr>
              <w:tabs>
                <w:tab w:val="left" w:pos="100"/>
              </w:tabs>
              <w:spacing w:before="0"/>
              <w:ind w:right="186" w:firstLine="0"/>
              <w:rPr>
                <w:sz w:val="11"/>
              </w:rPr>
            </w:pPr>
            <w:r>
              <w:rPr>
                <w:sz w:val="11"/>
              </w:rPr>
              <w:t>Have Providers received responses from Respondents after the deadline?</w:t>
            </w:r>
          </w:p>
          <w:p w14:paraId="3E4543B7" w14:textId="77777777" w:rsidR="006369E6" w:rsidRDefault="006B5592">
            <w:pPr>
              <w:pStyle w:val="TableParagraph"/>
              <w:numPr>
                <w:ilvl w:val="0"/>
                <w:numId w:val="19"/>
              </w:numPr>
              <w:tabs>
                <w:tab w:val="left" w:pos="100"/>
              </w:tabs>
              <w:spacing w:before="0"/>
              <w:ind w:left="99"/>
              <w:rPr>
                <w:sz w:val="11"/>
              </w:rPr>
            </w:pPr>
            <w:r>
              <w:rPr>
                <w:sz w:val="11"/>
              </w:rPr>
              <w:t>Is the deadline long</w:t>
            </w:r>
            <w:r>
              <w:rPr>
                <w:spacing w:val="7"/>
                <w:sz w:val="11"/>
              </w:rPr>
              <w:t xml:space="preserve"> </w:t>
            </w:r>
            <w:r>
              <w:rPr>
                <w:sz w:val="11"/>
              </w:rPr>
              <w:t>enough?</w:t>
            </w:r>
          </w:p>
          <w:p w14:paraId="0243A7AA" w14:textId="77777777" w:rsidR="006369E6" w:rsidRDefault="006B5592">
            <w:pPr>
              <w:pStyle w:val="TableParagraph"/>
              <w:numPr>
                <w:ilvl w:val="0"/>
                <w:numId w:val="19"/>
              </w:numPr>
              <w:tabs>
                <w:tab w:val="left" w:pos="100"/>
              </w:tabs>
              <w:spacing w:before="0"/>
              <w:ind w:left="99"/>
              <w:rPr>
                <w:sz w:val="11"/>
              </w:rPr>
            </w:pPr>
            <w:r>
              <w:rPr>
                <w:sz w:val="11"/>
              </w:rPr>
              <w:t>Do Providers have any notification of delayed</w:t>
            </w:r>
            <w:r>
              <w:rPr>
                <w:spacing w:val="16"/>
                <w:sz w:val="11"/>
              </w:rPr>
              <w:t xml:space="preserve"> </w:t>
            </w:r>
            <w:r>
              <w:rPr>
                <w:sz w:val="11"/>
              </w:rPr>
              <w:t>communications?</w:t>
            </w:r>
          </w:p>
          <w:p w14:paraId="7883D29C" w14:textId="77777777" w:rsidR="006369E6" w:rsidRDefault="006B5592">
            <w:pPr>
              <w:pStyle w:val="TableParagraph"/>
              <w:numPr>
                <w:ilvl w:val="0"/>
                <w:numId w:val="19"/>
              </w:numPr>
              <w:tabs>
                <w:tab w:val="left" w:pos="100"/>
              </w:tabs>
              <w:spacing w:before="0"/>
              <w:ind w:right="746" w:firstLine="0"/>
              <w:rPr>
                <w:sz w:val="11"/>
              </w:rPr>
            </w:pPr>
            <w:r>
              <w:rPr>
                <w:sz w:val="11"/>
              </w:rPr>
              <w:t>Do Providers have any notification of non-delivery of communications?</w:t>
            </w:r>
          </w:p>
        </w:tc>
        <w:tc>
          <w:tcPr>
            <w:tcW w:w="3413" w:type="dxa"/>
          </w:tcPr>
          <w:p w14:paraId="7433B12B" w14:textId="77777777" w:rsidR="006369E6" w:rsidRDefault="006369E6"/>
        </w:tc>
        <w:tc>
          <w:tcPr>
            <w:tcW w:w="3413" w:type="dxa"/>
          </w:tcPr>
          <w:p w14:paraId="7E20B12F" w14:textId="77777777" w:rsidR="006369E6" w:rsidRDefault="006369E6"/>
        </w:tc>
      </w:tr>
      <w:tr w:rsidR="006369E6" w14:paraId="685904C5" w14:textId="77777777">
        <w:trPr>
          <w:trHeight w:hRule="exact" w:val="809"/>
        </w:trPr>
        <w:tc>
          <w:tcPr>
            <w:tcW w:w="179" w:type="dxa"/>
            <w:vMerge w:val="restart"/>
          </w:tcPr>
          <w:p w14:paraId="22CCBF64" w14:textId="77777777" w:rsidR="006369E6" w:rsidRDefault="006369E6"/>
        </w:tc>
        <w:tc>
          <w:tcPr>
            <w:tcW w:w="3413" w:type="dxa"/>
          </w:tcPr>
          <w:p w14:paraId="23D71295" w14:textId="77777777" w:rsidR="006369E6" w:rsidRDefault="006B5592">
            <w:pPr>
              <w:pStyle w:val="TableParagraph"/>
              <w:rPr>
                <w:sz w:val="11"/>
              </w:rPr>
            </w:pPr>
            <w:r>
              <w:rPr>
                <w:sz w:val="11"/>
              </w:rPr>
              <w:t>(i) sending the Notice of Complaint to all email, postalmail and facsimile addresses shown in the domain name's registration data in the Whois database for the registered domain-name holder, the technical contact, and the administrative contact, as well as to any email addresses for the Respondent provided by the Complainant; and</w:t>
            </w:r>
          </w:p>
        </w:tc>
        <w:tc>
          <w:tcPr>
            <w:tcW w:w="3413" w:type="dxa"/>
            <w:vMerge/>
          </w:tcPr>
          <w:p w14:paraId="0CF09AE6" w14:textId="77777777" w:rsidR="006369E6" w:rsidRDefault="006369E6"/>
        </w:tc>
        <w:tc>
          <w:tcPr>
            <w:tcW w:w="3413" w:type="dxa"/>
          </w:tcPr>
          <w:p w14:paraId="057328F3" w14:textId="77777777" w:rsidR="006369E6" w:rsidRDefault="006369E6"/>
        </w:tc>
        <w:tc>
          <w:tcPr>
            <w:tcW w:w="3413" w:type="dxa"/>
          </w:tcPr>
          <w:p w14:paraId="2DF69904" w14:textId="77777777" w:rsidR="006369E6" w:rsidRDefault="006369E6"/>
        </w:tc>
      </w:tr>
      <w:tr w:rsidR="006369E6" w14:paraId="2D698050" w14:textId="77777777">
        <w:trPr>
          <w:trHeight w:hRule="exact" w:val="553"/>
        </w:trPr>
        <w:tc>
          <w:tcPr>
            <w:tcW w:w="179" w:type="dxa"/>
            <w:vMerge/>
          </w:tcPr>
          <w:p w14:paraId="3A18DCFF" w14:textId="77777777" w:rsidR="006369E6" w:rsidRDefault="006369E6"/>
        </w:tc>
        <w:tc>
          <w:tcPr>
            <w:tcW w:w="3413" w:type="dxa"/>
          </w:tcPr>
          <w:p w14:paraId="66E2FDE6" w14:textId="77777777" w:rsidR="006369E6" w:rsidRDefault="006B5592">
            <w:pPr>
              <w:pStyle w:val="TableParagraph"/>
              <w:ind w:right="45"/>
              <w:rPr>
                <w:sz w:val="11"/>
              </w:rPr>
            </w:pPr>
            <w:r>
              <w:rPr>
                <w:sz w:val="11"/>
              </w:rPr>
              <w:t>(ii) providing the Complaint, including any annexes, in electronic form, either via email to the email addresses mentioned in (i) above, or via an email link to an online platform requiring users to create an account.</w:t>
            </w:r>
          </w:p>
        </w:tc>
        <w:tc>
          <w:tcPr>
            <w:tcW w:w="3413" w:type="dxa"/>
            <w:vMerge/>
          </w:tcPr>
          <w:p w14:paraId="2D334389" w14:textId="77777777" w:rsidR="006369E6" w:rsidRDefault="006369E6"/>
        </w:tc>
        <w:tc>
          <w:tcPr>
            <w:tcW w:w="3413" w:type="dxa"/>
          </w:tcPr>
          <w:p w14:paraId="22B2B696" w14:textId="77777777" w:rsidR="006369E6" w:rsidRDefault="006369E6"/>
        </w:tc>
        <w:tc>
          <w:tcPr>
            <w:tcW w:w="3413" w:type="dxa"/>
          </w:tcPr>
          <w:p w14:paraId="3D136DD6" w14:textId="77777777" w:rsidR="006369E6" w:rsidRDefault="006369E6"/>
        </w:tc>
      </w:tr>
      <w:tr w:rsidR="006369E6" w14:paraId="38EA3948" w14:textId="77777777">
        <w:trPr>
          <w:trHeight w:hRule="exact" w:val="553"/>
        </w:trPr>
        <w:tc>
          <w:tcPr>
            <w:tcW w:w="3592" w:type="dxa"/>
            <w:gridSpan w:val="2"/>
          </w:tcPr>
          <w:p w14:paraId="436C412C" w14:textId="77777777" w:rsidR="006369E6" w:rsidRDefault="006B5592">
            <w:pPr>
              <w:pStyle w:val="TableParagraph"/>
              <w:rPr>
                <w:sz w:val="11"/>
              </w:rPr>
            </w:pPr>
            <w:r>
              <w:rPr>
                <w:sz w:val="11"/>
              </w:rPr>
              <w:t>(b) Except as provided in Rule 2(a), any written communication to Complainant or Respondent provided for under these Rules shall be made electronically via the Internet (a record of its transmission being available).</w:t>
            </w:r>
          </w:p>
        </w:tc>
        <w:tc>
          <w:tcPr>
            <w:tcW w:w="3413" w:type="dxa"/>
            <w:vMerge/>
          </w:tcPr>
          <w:p w14:paraId="2B0D1319" w14:textId="77777777" w:rsidR="006369E6" w:rsidRDefault="006369E6"/>
        </w:tc>
        <w:tc>
          <w:tcPr>
            <w:tcW w:w="3413" w:type="dxa"/>
          </w:tcPr>
          <w:p w14:paraId="2FA25EF4" w14:textId="77777777" w:rsidR="006369E6" w:rsidRDefault="006369E6"/>
        </w:tc>
        <w:tc>
          <w:tcPr>
            <w:tcW w:w="3413" w:type="dxa"/>
          </w:tcPr>
          <w:p w14:paraId="03218B50" w14:textId="77777777" w:rsidR="006369E6" w:rsidRDefault="006369E6"/>
        </w:tc>
      </w:tr>
      <w:tr w:rsidR="006369E6" w14:paraId="1B5177DA" w14:textId="77777777">
        <w:trPr>
          <w:trHeight w:hRule="exact" w:val="426"/>
        </w:trPr>
        <w:tc>
          <w:tcPr>
            <w:tcW w:w="3592" w:type="dxa"/>
            <w:gridSpan w:val="2"/>
          </w:tcPr>
          <w:p w14:paraId="0CA44200" w14:textId="77777777" w:rsidR="006369E6" w:rsidRDefault="006B5592">
            <w:pPr>
              <w:pStyle w:val="TableParagraph"/>
              <w:ind w:right="75"/>
              <w:rPr>
                <w:sz w:val="11"/>
              </w:rPr>
            </w:pPr>
            <w:r>
              <w:rPr>
                <w:sz w:val="11"/>
              </w:rPr>
              <w:t>(c) Any communication to the Provider or the Examiner shall be made by the means and in the manner (including, where applicable, the number of copies) stated in the Provider's Supplemental Rules.</w:t>
            </w:r>
          </w:p>
        </w:tc>
        <w:tc>
          <w:tcPr>
            <w:tcW w:w="3413" w:type="dxa"/>
          </w:tcPr>
          <w:p w14:paraId="14849F04" w14:textId="77777777" w:rsidR="006369E6" w:rsidRDefault="006B5592">
            <w:pPr>
              <w:pStyle w:val="TableParagraph"/>
              <w:rPr>
                <w:sz w:val="11"/>
              </w:rPr>
            </w:pPr>
            <w:r>
              <w:rPr>
                <w:sz w:val="11"/>
              </w:rPr>
              <w:t>* In Providers’ Supplemental Rules, are there reasonable ways of communicating?</w:t>
            </w:r>
          </w:p>
        </w:tc>
        <w:tc>
          <w:tcPr>
            <w:tcW w:w="3413" w:type="dxa"/>
          </w:tcPr>
          <w:p w14:paraId="3ED52BF4" w14:textId="77777777" w:rsidR="006369E6" w:rsidRDefault="006369E6"/>
        </w:tc>
        <w:tc>
          <w:tcPr>
            <w:tcW w:w="3413" w:type="dxa"/>
          </w:tcPr>
          <w:p w14:paraId="1303FEC5" w14:textId="77777777" w:rsidR="006369E6" w:rsidRDefault="006369E6"/>
        </w:tc>
      </w:tr>
      <w:tr w:rsidR="006369E6" w14:paraId="7F3B8F2B" w14:textId="77777777">
        <w:trPr>
          <w:trHeight w:hRule="exact" w:val="298"/>
        </w:trPr>
        <w:tc>
          <w:tcPr>
            <w:tcW w:w="3592" w:type="dxa"/>
            <w:gridSpan w:val="2"/>
          </w:tcPr>
          <w:p w14:paraId="1F6FA716" w14:textId="77777777" w:rsidR="006369E6" w:rsidRDefault="006B5592">
            <w:pPr>
              <w:pStyle w:val="TableParagraph"/>
              <w:ind w:right="93"/>
              <w:rPr>
                <w:sz w:val="11"/>
              </w:rPr>
            </w:pPr>
            <w:r>
              <w:rPr>
                <w:sz w:val="11"/>
              </w:rPr>
              <w:t>(d) Communications shall be made in the language prescribed in Rule 9.</w:t>
            </w:r>
          </w:p>
        </w:tc>
        <w:tc>
          <w:tcPr>
            <w:tcW w:w="3413" w:type="dxa"/>
          </w:tcPr>
          <w:p w14:paraId="1969B602" w14:textId="77777777" w:rsidR="006369E6" w:rsidRDefault="006369E6"/>
        </w:tc>
        <w:tc>
          <w:tcPr>
            <w:tcW w:w="3413" w:type="dxa"/>
          </w:tcPr>
          <w:p w14:paraId="07783B5A" w14:textId="77777777" w:rsidR="006369E6" w:rsidRDefault="006369E6"/>
        </w:tc>
        <w:tc>
          <w:tcPr>
            <w:tcW w:w="3413" w:type="dxa"/>
          </w:tcPr>
          <w:p w14:paraId="2A89B042" w14:textId="77777777" w:rsidR="006369E6" w:rsidRDefault="006369E6"/>
        </w:tc>
      </w:tr>
      <w:tr w:rsidR="006369E6" w14:paraId="083AC6F7" w14:textId="77777777">
        <w:trPr>
          <w:trHeight w:hRule="exact" w:val="298"/>
        </w:trPr>
        <w:tc>
          <w:tcPr>
            <w:tcW w:w="3592" w:type="dxa"/>
            <w:gridSpan w:val="2"/>
          </w:tcPr>
          <w:p w14:paraId="2AF0517E" w14:textId="77777777" w:rsidR="006369E6" w:rsidRDefault="006B5592">
            <w:pPr>
              <w:pStyle w:val="TableParagraph"/>
              <w:rPr>
                <w:sz w:val="11"/>
              </w:rPr>
            </w:pPr>
            <w:r>
              <w:rPr>
                <w:sz w:val="11"/>
              </w:rPr>
              <w:t>(e) Either Party may update its contact details by notifying the Provider, the Registry Operator, and the Registrar.</w:t>
            </w:r>
          </w:p>
        </w:tc>
        <w:tc>
          <w:tcPr>
            <w:tcW w:w="3413" w:type="dxa"/>
          </w:tcPr>
          <w:p w14:paraId="607325C3" w14:textId="77777777" w:rsidR="006369E6" w:rsidRDefault="006369E6"/>
        </w:tc>
        <w:tc>
          <w:tcPr>
            <w:tcW w:w="3413" w:type="dxa"/>
          </w:tcPr>
          <w:p w14:paraId="3C7CA59F" w14:textId="77777777" w:rsidR="006369E6" w:rsidRDefault="006369E6"/>
        </w:tc>
        <w:tc>
          <w:tcPr>
            <w:tcW w:w="3413" w:type="dxa"/>
          </w:tcPr>
          <w:p w14:paraId="14EAA14D" w14:textId="77777777" w:rsidR="006369E6" w:rsidRDefault="006369E6"/>
        </w:tc>
      </w:tr>
      <w:tr w:rsidR="006369E6" w14:paraId="44898AB7" w14:textId="77777777">
        <w:trPr>
          <w:trHeight w:hRule="exact" w:val="426"/>
        </w:trPr>
        <w:tc>
          <w:tcPr>
            <w:tcW w:w="3592" w:type="dxa"/>
            <w:gridSpan w:val="2"/>
          </w:tcPr>
          <w:p w14:paraId="51EFA9DA" w14:textId="77777777" w:rsidR="006369E6" w:rsidRDefault="006B5592">
            <w:pPr>
              <w:pStyle w:val="TableParagraph"/>
              <w:rPr>
                <w:sz w:val="11"/>
              </w:rPr>
            </w:pPr>
            <w:r>
              <w:rPr>
                <w:sz w:val="11"/>
              </w:rPr>
              <w:t>(f) Except as otherwise provided in these Rules, or decided by an Examiner, all communications provided for under these Rules shall be deemed to have been made:</w:t>
            </w:r>
          </w:p>
        </w:tc>
        <w:tc>
          <w:tcPr>
            <w:tcW w:w="3413" w:type="dxa"/>
            <w:vMerge w:val="restart"/>
          </w:tcPr>
          <w:p w14:paraId="7253EBE8" w14:textId="77777777" w:rsidR="006369E6" w:rsidRDefault="006B5592">
            <w:pPr>
              <w:pStyle w:val="TableParagraph"/>
              <w:ind w:right="241"/>
              <w:rPr>
                <w:sz w:val="11"/>
              </w:rPr>
            </w:pPr>
            <w:r>
              <w:rPr>
                <w:sz w:val="11"/>
              </w:rPr>
              <w:t>* What percentage of communications were done in ways rather than electronically/via the Internet?</w:t>
            </w:r>
          </w:p>
        </w:tc>
        <w:tc>
          <w:tcPr>
            <w:tcW w:w="3413" w:type="dxa"/>
          </w:tcPr>
          <w:p w14:paraId="188E09B6" w14:textId="77777777" w:rsidR="006369E6" w:rsidRDefault="006369E6"/>
        </w:tc>
        <w:tc>
          <w:tcPr>
            <w:tcW w:w="3413" w:type="dxa"/>
          </w:tcPr>
          <w:p w14:paraId="1C174A49" w14:textId="77777777" w:rsidR="006369E6" w:rsidRDefault="006369E6"/>
        </w:tc>
      </w:tr>
      <w:tr w:rsidR="006369E6" w14:paraId="35B697E1" w14:textId="77777777">
        <w:trPr>
          <w:trHeight w:hRule="exact" w:val="426"/>
        </w:trPr>
        <w:tc>
          <w:tcPr>
            <w:tcW w:w="179" w:type="dxa"/>
            <w:vMerge w:val="restart"/>
          </w:tcPr>
          <w:p w14:paraId="6B9B7129" w14:textId="77777777" w:rsidR="006369E6" w:rsidRDefault="006369E6"/>
        </w:tc>
        <w:tc>
          <w:tcPr>
            <w:tcW w:w="3413" w:type="dxa"/>
          </w:tcPr>
          <w:p w14:paraId="45511433" w14:textId="77777777" w:rsidR="006369E6" w:rsidRDefault="006B5592">
            <w:pPr>
              <w:pStyle w:val="TableParagraph"/>
              <w:rPr>
                <w:sz w:val="11"/>
              </w:rPr>
            </w:pPr>
            <w:r>
              <w:rPr>
                <w:sz w:val="11"/>
              </w:rPr>
              <w:t>(i) if via the Internet, on the date that the communication was transmitted, provided that the date of transmission is verifiable; or, where applicable</w:t>
            </w:r>
          </w:p>
        </w:tc>
        <w:tc>
          <w:tcPr>
            <w:tcW w:w="3413" w:type="dxa"/>
            <w:vMerge/>
          </w:tcPr>
          <w:p w14:paraId="5280CE5B" w14:textId="77777777" w:rsidR="006369E6" w:rsidRDefault="006369E6"/>
        </w:tc>
        <w:tc>
          <w:tcPr>
            <w:tcW w:w="3413" w:type="dxa"/>
          </w:tcPr>
          <w:p w14:paraId="32794D21" w14:textId="77777777" w:rsidR="006369E6" w:rsidRDefault="006369E6"/>
        </w:tc>
        <w:tc>
          <w:tcPr>
            <w:tcW w:w="3413" w:type="dxa"/>
          </w:tcPr>
          <w:p w14:paraId="7290BD2F" w14:textId="77777777" w:rsidR="006369E6" w:rsidRDefault="006369E6"/>
        </w:tc>
      </w:tr>
      <w:tr w:rsidR="006369E6" w14:paraId="624ED8A4" w14:textId="77777777">
        <w:trPr>
          <w:trHeight w:hRule="exact" w:val="298"/>
        </w:trPr>
        <w:tc>
          <w:tcPr>
            <w:tcW w:w="179" w:type="dxa"/>
            <w:vMerge/>
          </w:tcPr>
          <w:p w14:paraId="38ED6A7B" w14:textId="77777777" w:rsidR="006369E6" w:rsidRDefault="006369E6"/>
        </w:tc>
        <w:tc>
          <w:tcPr>
            <w:tcW w:w="3413" w:type="dxa"/>
          </w:tcPr>
          <w:p w14:paraId="071ABF10" w14:textId="77777777" w:rsidR="006369E6" w:rsidRDefault="006B5592">
            <w:pPr>
              <w:pStyle w:val="TableParagraph"/>
              <w:ind w:right="241"/>
              <w:rPr>
                <w:sz w:val="11"/>
              </w:rPr>
            </w:pPr>
            <w:r>
              <w:rPr>
                <w:sz w:val="11"/>
              </w:rPr>
              <w:t>(ii) if delivered by telecopy or facsimile transmission, on the date shown on the confirmation of transmission; or:</w:t>
            </w:r>
          </w:p>
        </w:tc>
        <w:tc>
          <w:tcPr>
            <w:tcW w:w="3413" w:type="dxa"/>
            <w:vMerge/>
          </w:tcPr>
          <w:p w14:paraId="28207C24" w14:textId="77777777" w:rsidR="006369E6" w:rsidRDefault="006369E6"/>
        </w:tc>
        <w:tc>
          <w:tcPr>
            <w:tcW w:w="3413" w:type="dxa"/>
          </w:tcPr>
          <w:p w14:paraId="014734D1" w14:textId="77777777" w:rsidR="006369E6" w:rsidRDefault="006369E6"/>
        </w:tc>
        <w:tc>
          <w:tcPr>
            <w:tcW w:w="3413" w:type="dxa"/>
          </w:tcPr>
          <w:p w14:paraId="23C1F132" w14:textId="77777777" w:rsidR="006369E6" w:rsidRDefault="006369E6"/>
        </w:tc>
      </w:tr>
      <w:tr w:rsidR="006369E6" w14:paraId="3D5EE5AE" w14:textId="77777777">
        <w:trPr>
          <w:trHeight w:hRule="exact" w:val="179"/>
        </w:trPr>
        <w:tc>
          <w:tcPr>
            <w:tcW w:w="179" w:type="dxa"/>
            <w:vMerge/>
          </w:tcPr>
          <w:p w14:paraId="05D9E9E1" w14:textId="77777777" w:rsidR="006369E6" w:rsidRDefault="006369E6"/>
        </w:tc>
        <w:tc>
          <w:tcPr>
            <w:tcW w:w="3413" w:type="dxa"/>
          </w:tcPr>
          <w:p w14:paraId="13EE13E3" w14:textId="77777777" w:rsidR="006369E6" w:rsidRDefault="006B5592">
            <w:pPr>
              <w:pStyle w:val="TableParagraph"/>
              <w:rPr>
                <w:sz w:val="11"/>
              </w:rPr>
            </w:pPr>
            <w:r>
              <w:rPr>
                <w:sz w:val="11"/>
              </w:rPr>
              <w:t>(iii) if by postal or courier service, on the date marked on the receipt.</w:t>
            </w:r>
          </w:p>
        </w:tc>
        <w:tc>
          <w:tcPr>
            <w:tcW w:w="3413" w:type="dxa"/>
            <w:vMerge/>
          </w:tcPr>
          <w:p w14:paraId="2F7DB951" w14:textId="77777777" w:rsidR="006369E6" w:rsidRDefault="006369E6"/>
        </w:tc>
        <w:tc>
          <w:tcPr>
            <w:tcW w:w="3413" w:type="dxa"/>
          </w:tcPr>
          <w:p w14:paraId="053B27B4" w14:textId="77777777" w:rsidR="006369E6" w:rsidRDefault="006369E6"/>
        </w:tc>
        <w:tc>
          <w:tcPr>
            <w:tcW w:w="3413" w:type="dxa"/>
          </w:tcPr>
          <w:p w14:paraId="496EDE9C" w14:textId="77777777" w:rsidR="006369E6" w:rsidRDefault="006369E6"/>
        </w:tc>
      </w:tr>
      <w:tr w:rsidR="006369E6" w14:paraId="1738DE9C" w14:textId="77777777">
        <w:trPr>
          <w:trHeight w:hRule="exact" w:val="553"/>
        </w:trPr>
        <w:tc>
          <w:tcPr>
            <w:tcW w:w="3592" w:type="dxa"/>
            <w:gridSpan w:val="2"/>
          </w:tcPr>
          <w:p w14:paraId="7C9E2A56" w14:textId="77777777" w:rsidR="006369E6" w:rsidRDefault="006B5592">
            <w:pPr>
              <w:pStyle w:val="TableParagraph"/>
              <w:rPr>
                <w:sz w:val="11"/>
              </w:rPr>
            </w:pPr>
            <w:r>
              <w:rPr>
                <w:sz w:val="11"/>
              </w:rPr>
              <w:t>(g) Except as otherwise provided in these Rules, all time periods calculated under these Rules to begin when a communication is made shall begin to run on the earliest date that the communication is deemed to have been made in accordance with Rule 2(f).</w:t>
            </w:r>
          </w:p>
        </w:tc>
        <w:tc>
          <w:tcPr>
            <w:tcW w:w="3413" w:type="dxa"/>
          </w:tcPr>
          <w:p w14:paraId="5ACB152F" w14:textId="77777777" w:rsidR="006369E6" w:rsidRDefault="006B5592">
            <w:pPr>
              <w:pStyle w:val="TableParagraph"/>
              <w:ind w:right="462"/>
              <w:rPr>
                <w:sz w:val="11"/>
              </w:rPr>
            </w:pPr>
            <w:r>
              <w:rPr>
                <w:sz w:val="11"/>
              </w:rPr>
              <w:t>* Do Providers conform with the communications timeline in accordance with this provision?</w:t>
            </w:r>
          </w:p>
        </w:tc>
        <w:tc>
          <w:tcPr>
            <w:tcW w:w="3413" w:type="dxa"/>
          </w:tcPr>
          <w:p w14:paraId="3BF8944D" w14:textId="77777777" w:rsidR="006369E6" w:rsidRDefault="006369E6"/>
        </w:tc>
        <w:tc>
          <w:tcPr>
            <w:tcW w:w="3413" w:type="dxa"/>
          </w:tcPr>
          <w:p w14:paraId="4A5E1AD9" w14:textId="77777777" w:rsidR="006369E6" w:rsidRDefault="006369E6"/>
        </w:tc>
      </w:tr>
      <w:tr w:rsidR="006369E6" w14:paraId="1FAE7ABB" w14:textId="77777777">
        <w:trPr>
          <w:trHeight w:hRule="exact" w:val="298"/>
        </w:trPr>
        <w:tc>
          <w:tcPr>
            <w:tcW w:w="3592" w:type="dxa"/>
            <w:gridSpan w:val="2"/>
          </w:tcPr>
          <w:p w14:paraId="7BC0D019" w14:textId="77777777" w:rsidR="006369E6" w:rsidRDefault="006B5592">
            <w:pPr>
              <w:pStyle w:val="TableParagraph"/>
              <w:ind w:right="371"/>
              <w:rPr>
                <w:sz w:val="11"/>
              </w:rPr>
            </w:pPr>
            <w:r>
              <w:rPr>
                <w:sz w:val="11"/>
              </w:rPr>
              <w:t>(h) Any communication subsequent to the Notice of Complaint as defined in Rule 2(a) by</w:t>
            </w:r>
          </w:p>
        </w:tc>
        <w:tc>
          <w:tcPr>
            <w:tcW w:w="3413" w:type="dxa"/>
          </w:tcPr>
          <w:p w14:paraId="2EFC4F96" w14:textId="77777777" w:rsidR="006369E6" w:rsidRDefault="006369E6"/>
        </w:tc>
        <w:tc>
          <w:tcPr>
            <w:tcW w:w="3413" w:type="dxa"/>
          </w:tcPr>
          <w:p w14:paraId="2085F4C0" w14:textId="77777777" w:rsidR="006369E6" w:rsidRDefault="006369E6"/>
        </w:tc>
        <w:tc>
          <w:tcPr>
            <w:tcW w:w="3413" w:type="dxa"/>
          </w:tcPr>
          <w:p w14:paraId="4E0B399F" w14:textId="77777777" w:rsidR="006369E6" w:rsidRDefault="006369E6"/>
        </w:tc>
      </w:tr>
      <w:tr w:rsidR="006369E6" w14:paraId="36137B05" w14:textId="77777777">
        <w:trPr>
          <w:trHeight w:hRule="exact" w:val="298"/>
        </w:trPr>
        <w:tc>
          <w:tcPr>
            <w:tcW w:w="179" w:type="dxa"/>
            <w:vMerge w:val="restart"/>
          </w:tcPr>
          <w:p w14:paraId="03A715FA" w14:textId="77777777" w:rsidR="006369E6" w:rsidRDefault="006369E6"/>
        </w:tc>
        <w:tc>
          <w:tcPr>
            <w:tcW w:w="3413" w:type="dxa"/>
          </w:tcPr>
          <w:p w14:paraId="3C02DA95" w14:textId="77777777" w:rsidR="006369E6" w:rsidRDefault="006B5592">
            <w:pPr>
              <w:pStyle w:val="TableParagraph"/>
              <w:rPr>
                <w:sz w:val="11"/>
              </w:rPr>
            </w:pPr>
            <w:r>
              <w:rPr>
                <w:sz w:val="11"/>
              </w:rPr>
              <w:t>(i) an Examiner via the Provider to any Party shall be copied by the Provider to the other Party;</w:t>
            </w:r>
          </w:p>
        </w:tc>
        <w:tc>
          <w:tcPr>
            <w:tcW w:w="3413" w:type="dxa"/>
          </w:tcPr>
          <w:p w14:paraId="548859E6" w14:textId="77777777" w:rsidR="006369E6" w:rsidRDefault="006369E6"/>
        </w:tc>
        <w:tc>
          <w:tcPr>
            <w:tcW w:w="3413" w:type="dxa"/>
          </w:tcPr>
          <w:p w14:paraId="0DEDA93F" w14:textId="77777777" w:rsidR="006369E6" w:rsidRDefault="006369E6"/>
        </w:tc>
        <w:tc>
          <w:tcPr>
            <w:tcW w:w="3413" w:type="dxa"/>
          </w:tcPr>
          <w:p w14:paraId="71827D72" w14:textId="77777777" w:rsidR="006369E6" w:rsidRDefault="006369E6"/>
        </w:tc>
      </w:tr>
      <w:tr w:rsidR="006369E6" w14:paraId="2F33012B" w14:textId="77777777">
        <w:trPr>
          <w:trHeight w:hRule="exact" w:val="179"/>
        </w:trPr>
        <w:tc>
          <w:tcPr>
            <w:tcW w:w="179" w:type="dxa"/>
            <w:vMerge/>
          </w:tcPr>
          <w:p w14:paraId="24634B5B" w14:textId="77777777" w:rsidR="006369E6" w:rsidRDefault="006369E6"/>
        </w:tc>
        <w:tc>
          <w:tcPr>
            <w:tcW w:w="3413" w:type="dxa"/>
          </w:tcPr>
          <w:p w14:paraId="104EA20D" w14:textId="77777777" w:rsidR="006369E6" w:rsidRDefault="006B5592">
            <w:pPr>
              <w:pStyle w:val="TableParagraph"/>
              <w:rPr>
                <w:sz w:val="11"/>
              </w:rPr>
            </w:pPr>
            <w:r>
              <w:rPr>
                <w:sz w:val="11"/>
              </w:rPr>
              <w:t>(ii) the Provider to any Party shall be copied to the other Party; and</w:t>
            </w:r>
          </w:p>
        </w:tc>
        <w:tc>
          <w:tcPr>
            <w:tcW w:w="3413" w:type="dxa"/>
          </w:tcPr>
          <w:p w14:paraId="33AB84D8" w14:textId="77777777" w:rsidR="006369E6" w:rsidRDefault="006369E6"/>
        </w:tc>
        <w:tc>
          <w:tcPr>
            <w:tcW w:w="3413" w:type="dxa"/>
          </w:tcPr>
          <w:p w14:paraId="56142E2E" w14:textId="77777777" w:rsidR="006369E6" w:rsidRDefault="006369E6"/>
        </w:tc>
        <w:tc>
          <w:tcPr>
            <w:tcW w:w="3413" w:type="dxa"/>
          </w:tcPr>
          <w:p w14:paraId="5F3C8123" w14:textId="77777777" w:rsidR="006369E6" w:rsidRDefault="006369E6"/>
        </w:tc>
      </w:tr>
      <w:tr w:rsidR="006369E6" w14:paraId="6FA6BB20" w14:textId="77777777">
        <w:trPr>
          <w:trHeight w:hRule="exact" w:val="298"/>
        </w:trPr>
        <w:tc>
          <w:tcPr>
            <w:tcW w:w="179" w:type="dxa"/>
            <w:vMerge/>
          </w:tcPr>
          <w:p w14:paraId="52C0A636" w14:textId="77777777" w:rsidR="006369E6" w:rsidRDefault="006369E6"/>
        </w:tc>
        <w:tc>
          <w:tcPr>
            <w:tcW w:w="3413" w:type="dxa"/>
          </w:tcPr>
          <w:p w14:paraId="43B54C6B" w14:textId="77777777" w:rsidR="006369E6" w:rsidRDefault="006B5592">
            <w:pPr>
              <w:pStyle w:val="TableParagraph"/>
              <w:rPr>
                <w:sz w:val="11"/>
              </w:rPr>
            </w:pPr>
            <w:r>
              <w:rPr>
                <w:sz w:val="11"/>
              </w:rPr>
              <w:t>(iii) a Party shall be copied to the other Party, to the Provider and by the Provider to the Examiner, as the case may be.</w:t>
            </w:r>
          </w:p>
        </w:tc>
        <w:tc>
          <w:tcPr>
            <w:tcW w:w="3413" w:type="dxa"/>
          </w:tcPr>
          <w:p w14:paraId="1D4186CE" w14:textId="77777777" w:rsidR="006369E6" w:rsidRDefault="006369E6"/>
        </w:tc>
        <w:tc>
          <w:tcPr>
            <w:tcW w:w="3413" w:type="dxa"/>
          </w:tcPr>
          <w:p w14:paraId="75DD4FD2" w14:textId="77777777" w:rsidR="006369E6" w:rsidRDefault="006369E6"/>
        </w:tc>
        <w:tc>
          <w:tcPr>
            <w:tcW w:w="3413" w:type="dxa"/>
          </w:tcPr>
          <w:p w14:paraId="464C13F7" w14:textId="77777777" w:rsidR="006369E6" w:rsidRDefault="006369E6"/>
        </w:tc>
      </w:tr>
      <w:tr w:rsidR="006369E6" w14:paraId="3E0239F5" w14:textId="77777777">
        <w:trPr>
          <w:trHeight w:hRule="exact" w:val="681"/>
        </w:trPr>
        <w:tc>
          <w:tcPr>
            <w:tcW w:w="3592" w:type="dxa"/>
            <w:gridSpan w:val="2"/>
          </w:tcPr>
          <w:p w14:paraId="6A65B701" w14:textId="77777777" w:rsidR="006369E6" w:rsidRDefault="006B5592">
            <w:pPr>
              <w:pStyle w:val="TableParagraph"/>
              <w:ind w:right="35"/>
              <w:rPr>
                <w:sz w:val="11"/>
              </w:rPr>
            </w:pPr>
            <w:r>
              <w:rPr>
                <w:sz w:val="11"/>
              </w:rPr>
              <w:t>(i) It shall be the responsibility of the sender to retain records of the fact and circumstances of sending, which shall be available for inspection by affected parties and for reporting purposes. This includes the Provider  in sending Notice of Complaint to the Respondent by post and/or facsimile under Rule</w:t>
            </w:r>
            <w:r>
              <w:rPr>
                <w:spacing w:val="7"/>
                <w:sz w:val="11"/>
              </w:rPr>
              <w:t xml:space="preserve"> </w:t>
            </w:r>
            <w:r>
              <w:rPr>
                <w:sz w:val="11"/>
              </w:rPr>
              <w:t>2(a)(i).</w:t>
            </w:r>
          </w:p>
        </w:tc>
        <w:tc>
          <w:tcPr>
            <w:tcW w:w="3413" w:type="dxa"/>
          </w:tcPr>
          <w:p w14:paraId="5B2A8F48" w14:textId="77777777" w:rsidR="006369E6" w:rsidRDefault="006369E6"/>
        </w:tc>
        <w:tc>
          <w:tcPr>
            <w:tcW w:w="3413" w:type="dxa"/>
          </w:tcPr>
          <w:p w14:paraId="0AC7A8E8" w14:textId="77777777" w:rsidR="006369E6" w:rsidRDefault="006369E6"/>
        </w:tc>
        <w:tc>
          <w:tcPr>
            <w:tcW w:w="3413" w:type="dxa"/>
          </w:tcPr>
          <w:p w14:paraId="28A78767" w14:textId="77777777" w:rsidR="006369E6" w:rsidRDefault="006369E6"/>
        </w:tc>
      </w:tr>
      <w:tr w:rsidR="006369E6" w14:paraId="1A9785BB" w14:textId="77777777">
        <w:trPr>
          <w:trHeight w:hRule="exact" w:val="553"/>
        </w:trPr>
        <w:tc>
          <w:tcPr>
            <w:tcW w:w="3592" w:type="dxa"/>
            <w:gridSpan w:val="2"/>
          </w:tcPr>
          <w:p w14:paraId="7676470A" w14:textId="77777777" w:rsidR="006369E6" w:rsidRDefault="006B5592">
            <w:pPr>
              <w:pStyle w:val="TableParagraph"/>
              <w:ind w:right="58"/>
              <w:rPr>
                <w:sz w:val="11"/>
              </w:rPr>
            </w:pPr>
            <w:r>
              <w:rPr>
                <w:sz w:val="11"/>
              </w:rPr>
              <w:t>(j) In the event a Party sending a communication receives notification of non-delivery of the communication, the Party shall promptly notify the Provider of the circumstances. Further proceedings concerning the communication and any response shall be as directed by the Provider.</w:t>
            </w:r>
          </w:p>
        </w:tc>
        <w:tc>
          <w:tcPr>
            <w:tcW w:w="3413" w:type="dxa"/>
          </w:tcPr>
          <w:p w14:paraId="32903F13" w14:textId="77777777" w:rsidR="006369E6" w:rsidRDefault="006B5592">
            <w:pPr>
              <w:pStyle w:val="TableParagraph"/>
              <w:ind w:right="296"/>
              <w:rPr>
                <w:sz w:val="11"/>
              </w:rPr>
            </w:pPr>
            <w:r>
              <w:rPr>
                <w:sz w:val="11"/>
              </w:rPr>
              <w:t>* If Respondents did not receive notifications the first time, how could they report on the bounce back?</w:t>
            </w:r>
          </w:p>
        </w:tc>
        <w:tc>
          <w:tcPr>
            <w:tcW w:w="3413" w:type="dxa"/>
          </w:tcPr>
          <w:p w14:paraId="62D079DE" w14:textId="77777777" w:rsidR="006369E6" w:rsidRDefault="006369E6"/>
        </w:tc>
        <w:tc>
          <w:tcPr>
            <w:tcW w:w="3413" w:type="dxa"/>
          </w:tcPr>
          <w:p w14:paraId="72E01BCD" w14:textId="77777777" w:rsidR="006369E6" w:rsidRDefault="006369E6"/>
        </w:tc>
      </w:tr>
      <w:tr w:rsidR="006369E6" w14:paraId="7DE7EB6A" w14:textId="77777777">
        <w:trPr>
          <w:trHeight w:hRule="exact" w:val="179"/>
        </w:trPr>
        <w:tc>
          <w:tcPr>
            <w:tcW w:w="13833" w:type="dxa"/>
            <w:gridSpan w:val="5"/>
            <w:shd w:val="clear" w:color="auto" w:fill="F3F3F3"/>
          </w:tcPr>
          <w:p w14:paraId="41F20CF5" w14:textId="77777777" w:rsidR="006369E6" w:rsidRDefault="006B5592">
            <w:pPr>
              <w:pStyle w:val="TableParagraph"/>
              <w:rPr>
                <w:b/>
                <w:sz w:val="11"/>
              </w:rPr>
            </w:pPr>
            <w:r>
              <w:rPr>
                <w:b/>
                <w:sz w:val="11"/>
              </w:rPr>
              <w:t>3. The Complaint</w:t>
            </w:r>
          </w:p>
        </w:tc>
      </w:tr>
      <w:tr w:rsidR="006369E6" w14:paraId="78373DC5" w14:textId="77777777">
        <w:trPr>
          <w:trHeight w:hRule="exact" w:val="553"/>
        </w:trPr>
        <w:tc>
          <w:tcPr>
            <w:tcW w:w="3592" w:type="dxa"/>
            <w:gridSpan w:val="2"/>
          </w:tcPr>
          <w:p w14:paraId="453F4E99" w14:textId="77777777" w:rsidR="006369E6" w:rsidRDefault="006B5592">
            <w:pPr>
              <w:pStyle w:val="TableParagraph"/>
              <w:ind w:right="77"/>
              <w:rPr>
                <w:sz w:val="11"/>
              </w:rPr>
            </w:pPr>
            <w:r>
              <w:rPr>
                <w:sz w:val="11"/>
              </w:rPr>
              <w:t>(a) Any person or entity may initiate a URS proceeding by submitting a Complaint in accordance with the URS Procedure, these Rules and the approved Supplemental Rules of the Provider administering the proceeding.</w:t>
            </w:r>
          </w:p>
        </w:tc>
        <w:tc>
          <w:tcPr>
            <w:tcW w:w="3413" w:type="dxa"/>
            <w:vMerge w:val="restart"/>
          </w:tcPr>
          <w:p w14:paraId="28B71E9F" w14:textId="77777777" w:rsidR="006369E6" w:rsidRDefault="006B5592">
            <w:pPr>
              <w:pStyle w:val="TableParagraph"/>
              <w:numPr>
                <w:ilvl w:val="0"/>
                <w:numId w:val="18"/>
              </w:numPr>
              <w:tabs>
                <w:tab w:val="left" w:pos="100"/>
              </w:tabs>
              <w:ind w:right="129" w:firstLine="0"/>
              <w:rPr>
                <w:sz w:val="11"/>
              </w:rPr>
            </w:pPr>
            <w:r>
              <w:rPr>
                <w:sz w:val="11"/>
              </w:rPr>
              <w:t>Do Providers accept complaint that don't contain all the elements required?</w:t>
            </w:r>
          </w:p>
          <w:p w14:paraId="141E87D7" w14:textId="77777777" w:rsidR="006369E6" w:rsidRDefault="006B5592">
            <w:pPr>
              <w:pStyle w:val="TableParagraph"/>
              <w:numPr>
                <w:ilvl w:val="0"/>
                <w:numId w:val="18"/>
              </w:numPr>
              <w:tabs>
                <w:tab w:val="left" w:pos="100"/>
              </w:tabs>
              <w:spacing w:before="0"/>
              <w:ind w:right="57" w:firstLine="0"/>
              <w:rPr>
                <w:sz w:val="11"/>
              </w:rPr>
            </w:pPr>
            <w:r>
              <w:rPr>
                <w:sz w:val="11"/>
              </w:rPr>
              <w:t>Do Providers ask additional information beyond what is required in the URS</w:t>
            </w:r>
            <w:r>
              <w:rPr>
                <w:spacing w:val="4"/>
                <w:sz w:val="11"/>
              </w:rPr>
              <w:t xml:space="preserve"> </w:t>
            </w:r>
            <w:r>
              <w:rPr>
                <w:sz w:val="11"/>
              </w:rPr>
              <w:t>Rules?</w:t>
            </w:r>
          </w:p>
        </w:tc>
        <w:tc>
          <w:tcPr>
            <w:tcW w:w="3413" w:type="dxa"/>
            <w:vMerge w:val="restart"/>
          </w:tcPr>
          <w:p w14:paraId="724E00EB" w14:textId="77777777" w:rsidR="006369E6" w:rsidRDefault="006B5592">
            <w:pPr>
              <w:pStyle w:val="TableParagraph"/>
              <w:ind w:left="56"/>
              <w:rPr>
                <w:sz w:val="11"/>
              </w:rPr>
            </w:pPr>
            <w:r>
              <w:rPr>
                <w:sz w:val="11"/>
              </w:rPr>
              <w:t>We could check the forms Providers use for compatibility.</w:t>
            </w:r>
          </w:p>
        </w:tc>
        <w:tc>
          <w:tcPr>
            <w:tcW w:w="3413" w:type="dxa"/>
          </w:tcPr>
          <w:p w14:paraId="358631F4" w14:textId="77777777" w:rsidR="006369E6" w:rsidRDefault="006369E6"/>
        </w:tc>
      </w:tr>
      <w:tr w:rsidR="006369E6" w14:paraId="5C42842F" w14:textId="77777777">
        <w:trPr>
          <w:trHeight w:hRule="exact" w:val="298"/>
        </w:trPr>
        <w:tc>
          <w:tcPr>
            <w:tcW w:w="3592" w:type="dxa"/>
            <w:gridSpan w:val="2"/>
          </w:tcPr>
          <w:p w14:paraId="7A49B07D" w14:textId="77777777" w:rsidR="006369E6" w:rsidRDefault="006B5592">
            <w:pPr>
              <w:pStyle w:val="TableParagraph"/>
              <w:rPr>
                <w:sz w:val="11"/>
              </w:rPr>
            </w:pPr>
            <w:r>
              <w:rPr>
                <w:sz w:val="11"/>
              </w:rPr>
              <w:t>(b) The Complaint, including any annexes, shall be submitted using an electronic form made available by the Provider and shall:</w:t>
            </w:r>
          </w:p>
        </w:tc>
        <w:tc>
          <w:tcPr>
            <w:tcW w:w="3413" w:type="dxa"/>
            <w:vMerge/>
          </w:tcPr>
          <w:p w14:paraId="7804AA69" w14:textId="77777777" w:rsidR="006369E6" w:rsidRDefault="006369E6"/>
        </w:tc>
        <w:tc>
          <w:tcPr>
            <w:tcW w:w="3413" w:type="dxa"/>
            <w:vMerge/>
          </w:tcPr>
          <w:p w14:paraId="660A79D9" w14:textId="77777777" w:rsidR="006369E6" w:rsidRDefault="006369E6"/>
        </w:tc>
        <w:tc>
          <w:tcPr>
            <w:tcW w:w="3413" w:type="dxa"/>
          </w:tcPr>
          <w:p w14:paraId="3AF175D7" w14:textId="77777777" w:rsidR="006369E6" w:rsidRDefault="006369E6"/>
        </w:tc>
      </w:tr>
      <w:tr w:rsidR="006369E6" w14:paraId="2CC08D58" w14:textId="77777777">
        <w:trPr>
          <w:trHeight w:hRule="exact" w:val="426"/>
        </w:trPr>
        <w:tc>
          <w:tcPr>
            <w:tcW w:w="179" w:type="dxa"/>
            <w:tcBorders>
              <w:bottom w:val="nil"/>
            </w:tcBorders>
          </w:tcPr>
          <w:p w14:paraId="7ED5D90F" w14:textId="77777777" w:rsidR="006369E6" w:rsidRDefault="006369E6"/>
        </w:tc>
        <w:tc>
          <w:tcPr>
            <w:tcW w:w="3413" w:type="dxa"/>
          </w:tcPr>
          <w:p w14:paraId="6CF51A6B" w14:textId="77777777" w:rsidR="006369E6" w:rsidRDefault="006B5592">
            <w:pPr>
              <w:pStyle w:val="TableParagraph"/>
              <w:ind w:right="61"/>
              <w:rPr>
                <w:sz w:val="11"/>
              </w:rPr>
            </w:pPr>
            <w:r>
              <w:rPr>
                <w:sz w:val="11"/>
              </w:rPr>
              <w:t>(i) Request that the Complaint be submitted for determination in accordance with the URS Procedure, these Rules and the Provider’ s Supplemental Rules;</w:t>
            </w:r>
          </w:p>
        </w:tc>
        <w:tc>
          <w:tcPr>
            <w:tcW w:w="3413" w:type="dxa"/>
            <w:vMerge/>
            <w:tcBorders>
              <w:bottom w:val="nil"/>
            </w:tcBorders>
          </w:tcPr>
          <w:p w14:paraId="12037263" w14:textId="77777777" w:rsidR="006369E6" w:rsidRDefault="006369E6"/>
        </w:tc>
        <w:tc>
          <w:tcPr>
            <w:tcW w:w="3413" w:type="dxa"/>
            <w:vMerge/>
            <w:tcBorders>
              <w:bottom w:val="nil"/>
            </w:tcBorders>
          </w:tcPr>
          <w:p w14:paraId="2947E8A7" w14:textId="77777777" w:rsidR="006369E6" w:rsidRDefault="006369E6"/>
        </w:tc>
        <w:tc>
          <w:tcPr>
            <w:tcW w:w="3413" w:type="dxa"/>
          </w:tcPr>
          <w:p w14:paraId="46B51A58" w14:textId="77777777" w:rsidR="006369E6" w:rsidRDefault="006369E6"/>
        </w:tc>
      </w:tr>
    </w:tbl>
    <w:p w14:paraId="71FB279B" w14:textId="77777777" w:rsidR="006369E6" w:rsidRDefault="006369E6">
      <w:pPr>
        <w:sectPr w:rsidR="006369E6">
          <w:headerReference w:type="default" r:id="rId7"/>
          <w:footerReference w:type="default" r:id="rId8"/>
          <w:type w:val="continuous"/>
          <w:pgSz w:w="15840" w:h="12240" w:orient="landscape"/>
          <w:pgMar w:top="640" w:right="320" w:bottom="620" w:left="320" w:header="438" w:footer="421" w:gutter="0"/>
          <w:pgNumType w:start="1"/>
          <w:cols w:space="720"/>
        </w:sectPr>
      </w:pPr>
    </w:p>
    <w:p w14:paraId="4B2B5FD1" w14:textId="77777777" w:rsidR="006369E6" w:rsidRDefault="006369E6">
      <w:pPr>
        <w:pStyle w:val="BodyText"/>
        <w:rPr>
          <w:rFonts w:ascii="Times New Roman"/>
          <w:sz w:val="20"/>
        </w:rPr>
      </w:pPr>
    </w:p>
    <w:p w14:paraId="5A07AE2A" w14:textId="77777777" w:rsidR="006369E6" w:rsidRDefault="006369E6">
      <w:pPr>
        <w:pStyle w:val="BodyText"/>
        <w:spacing w:before="1"/>
        <w:rPr>
          <w:rFonts w:ascii="Times New Roman"/>
          <w:sz w:val="16"/>
        </w:rPr>
      </w:pPr>
    </w:p>
    <w:tbl>
      <w:tblPr>
        <w:tblW w:w="0" w:type="auto"/>
        <w:tblInd w:w="67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79"/>
        <w:gridCol w:w="3413"/>
        <w:gridCol w:w="3413"/>
        <w:gridCol w:w="3413"/>
        <w:gridCol w:w="3413"/>
      </w:tblGrid>
      <w:tr w:rsidR="006369E6" w14:paraId="131FE2F8" w14:textId="77777777">
        <w:trPr>
          <w:trHeight w:hRule="exact" w:val="175"/>
        </w:trPr>
        <w:tc>
          <w:tcPr>
            <w:tcW w:w="3592" w:type="dxa"/>
            <w:gridSpan w:val="2"/>
            <w:tcBorders>
              <w:bottom w:val="nil"/>
            </w:tcBorders>
            <w:shd w:val="clear" w:color="auto" w:fill="CEE1F3"/>
          </w:tcPr>
          <w:p w14:paraId="73B167E8" w14:textId="77777777" w:rsidR="006369E6" w:rsidRDefault="006B5592">
            <w:pPr>
              <w:pStyle w:val="TableParagraph"/>
              <w:rPr>
                <w:b/>
                <w:sz w:val="11"/>
              </w:rPr>
            </w:pPr>
            <w:r>
              <w:rPr>
                <w:b/>
                <w:sz w:val="11"/>
              </w:rPr>
              <w:t>URS Rules</w:t>
            </w:r>
          </w:p>
        </w:tc>
        <w:tc>
          <w:tcPr>
            <w:tcW w:w="3413" w:type="dxa"/>
            <w:tcBorders>
              <w:bottom w:val="nil"/>
            </w:tcBorders>
            <w:shd w:val="clear" w:color="auto" w:fill="CEE1F3"/>
          </w:tcPr>
          <w:p w14:paraId="77EC29A3" w14:textId="77777777" w:rsidR="006369E6" w:rsidRDefault="006B5592">
            <w:pPr>
              <w:pStyle w:val="TableParagraph"/>
              <w:rPr>
                <w:b/>
                <w:sz w:val="11"/>
              </w:rPr>
            </w:pPr>
            <w:r>
              <w:rPr>
                <w:b/>
                <w:sz w:val="11"/>
              </w:rPr>
              <w:t>Proposed Questions</w:t>
            </w:r>
          </w:p>
        </w:tc>
        <w:tc>
          <w:tcPr>
            <w:tcW w:w="3413" w:type="dxa"/>
            <w:tcBorders>
              <w:bottom w:val="nil"/>
            </w:tcBorders>
            <w:shd w:val="clear" w:color="auto" w:fill="CEE1F3"/>
          </w:tcPr>
          <w:p w14:paraId="3A0643E2" w14:textId="77777777" w:rsidR="006369E6" w:rsidRDefault="006B5592">
            <w:pPr>
              <w:pStyle w:val="TableParagraph"/>
              <w:rPr>
                <w:b/>
                <w:sz w:val="11"/>
              </w:rPr>
            </w:pPr>
            <w:r>
              <w:rPr>
                <w:b/>
                <w:sz w:val="11"/>
              </w:rPr>
              <w:t>Additional Notes</w:t>
            </w:r>
          </w:p>
        </w:tc>
        <w:tc>
          <w:tcPr>
            <w:tcW w:w="3413" w:type="dxa"/>
            <w:shd w:val="clear" w:color="auto" w:fill="CEE1F3"/>
          </w:tcPr>
          <w:p w14:paraId="1D66FDB6" w14:textId="77777777" w:rsidR="006369E6" w:rsidRDefault="006B5592">
            <w:pPr>
              <w:pStyle w:val="TableParagraph"/>
              <w:rPr>
                <w:b/>
                <w:sz w:val="11"/>
              </w:rPr>
            </w:pPr>
            <w:r>
              <w:rPr>
                <w:b/>
                <w:sz w:val="11"/>
              </w:rPr>
              <w:t>Findings</w:t>
            </w:r>
          </w:p>
        </w:tc>
      </w:tr>
      <w:tr w:rsidR="006369E6" w14:paraId="326B69DD" w14:textId="77777777">
        <w:trPr>
          <w:trHeight w:hRule="exact" w:val="558"/>
        </w:trPr>
        <w:tc>
          <w:tcPr>
            <w:tcW w:w="179" w:type="dxa"/>
            <w:vMerge w:val="restart"/>
            <w:tcBorders>
              <w:top w:val="nil"/>
            </w:tcBorders>
          </w:tcPr>
          <w:p w14:paraId="4953123E" w14:textId="77777777" w:rsidR="006369E6" w:rsidRDefault="006369E6"/>
        </w:tc>
        <w:tc>
          <w:tcPr>
            <w:tcW w:w="3413" w:type="dxa"/>
          </w:tcPr>
          <w:p w14:paraId="12EFBFAD" w14:textId="77777777" w:rsidR="006369E6" w:rsidRDefault="006B5592">
            <w:pPr>
              <w:pStyle w:val="TableParagraph"/>
              <w:spacing w:before="22"/>
              <w:ind w:right="45"/>
              <w:rPr>
                <w:sz w:val="11"/>
              </w:rPr>
            </w:pPr>
            <w:r>
              <w:rPr>
                <w:sz w:val="11"/>
              </w:rPr>
              <w:t>(ii) Provide the name, contact person, postal and email addresses, and the telephone and telefax numbers of the Complainant and of any representative authorized to act for the Complainant in the URS proceeding;</w:t>
            </w:r>
          </w:p>
        </w:tc>
        <w:tc>
          <w:tcPr>
            <w:tcW w:w="3413" w:type="dxa"/>
            <w:vMerge w:val="restart"/>
            <w:tcBorders>
              <w:top w:val="nil"/>
            </w:tcBorders>
          </w:tcPr>
          <w:p w14:paraId="1298F996" w14:textId="77777777" w:rsidR="006369E6" w:rsidRDefault="006369E6"/>
        </w:tc>
        <w:tc>
          <w:tcPr>
            <w:tcW w:w="3413" w:type="dxa"/>
            <w:vMerge w:val="restart"/>
            <w:tcBorders>
              <w:top w:val="nil"/>
            </w:tcBorders>
          </w:tcPr>
          <w:p w14:paraId="11ABA9A4" w14:textId="77777777" w:rsidR="006369E6" w:rsidRDefault="006369E6"/>
        </w:tc>
        <w:tc>
          <w:tcPr>
            <w:tcW w:w="3413" w:type="dxa"/>
          </w:tcPr>
          <w:p w14:paraId="0197AA42" w14:textId="77777777" w:rsidR="006369E6" w:rsidRDefault="006369E6"/>
        </w:tc>
      </w:tr>
      <w:tr w:rsidR="006369E6" w14:paraId="3CCC6171" w14:textId="77777777">
        <w:trPr>
          <w:trHeight w:hRule="exact" w:val="809"/>
        </w:trPr>
        <w:tc>
          <w:tcPr>
            <w:tcW w:w="179" w:type="dxa"/>
            <w:vMerge/>
          </w:tcPr>
          <w:p w14:paraId="5DC90C7D" w14:textId="77777777" w:rsidR="006369E6" w:rsidRDefault="006369E6"/>
        </w:tc>
        <w:tc>
          <w:tcPr>
            <w:tcW w:w="3413" w:type="dxa"/>
          </w:tcPr>
          <w:p w14:paraId="04F10E83" w14:textId="77777777" w:rsidR="006369E6" w:rsidRDefault="006B5592">
            <w:pPr>
              <w:pStyle w:val="TableParagraph"/>
              <w:ind w:right="45"/>
              <w:rPr>
                <w:sz w:val="11"/>
              </w:rPr>
            </w:pPr>
            <w:r>
              <w:rPr>
                <w:sz w:val="11"/>
              </w:rPr>
              <w:t>(iii) Provide the name of the Respondent and all other relevant contact information from the Whois record as well as all information known to Complainant regarding how to contact Respondent or any representative of Respondent, including contact information based on pre-complaint dealings, in sufficient detail to allow the Provider to notify the Respondent of the complaint as described in Rule 2(a);</w:t>
            </w:r>
          </w:p>
        </w:tc>
        <w:tc>
          <w:tcPr>
            <w:tcW w:w="3413" w:type="dxa"/>
            <w:vMerge/>
          </w:tcPr>
          <w:p w14:paraId="2EC67362" w14:textId="77777777" w:rsidR="006369E6" w:rsidRDefault="006369E6"/>
        </w:tc>
        <w:tc>
          <w:tcPr>
            <w:tcW w:w="3413" w:type="dxa"/>
            <w:vMerge/>
          </w:tcPr>
          <w:p w14:paraId="0E454E7F" w14:textId="77777777" w:rsidR="006369E6" w:rsidRDefault="006369E6"/>
        </w:tc>
        <w:tc>
          <w:tcPr>
            <w:tcW w:w="3413" w:type="dxa"/>
          </w:tcPr>
          <w:p w14:paraId="13E11417" w14:textId="77777777" w:rsidR="006369E6" w:rsidRDefault="006369E6"/>
        </w:tc>
      </w:tr>
      <w:tr w:rsidR="006369E6" w14:paraId="105E3C9F" w14:textId="77777777">
        <w:trPr>
          <w:trHeight w:hRule="exact" w:val="681"/>
        </w:trPr>
        <w:tc>
          <w:tcPr>
            <w:tcW w:w="179" w:type="dxa"/>
            <w:vMerge/>
          </w:tcPr>
          <w:p w14:paraId="07C2F08A" w14:textId="77777777" w:rsidR="006369E6" w:rsidRDefault="006369E6"/>
        </w:tc>
        <w:tc>
          <w:tcPr>
            <w:tcW w:w="3413" w:type="dxa"/>
          </w:tcPr>
          <w:p w14:paraId="5C92925B" w14:textId="77777777" w:rsidR="006369E6" w:rsidRDefault="006B5592">
            <w:pPr>
              <w:pStyle w:val="TableParagraph"/>
              <w:ind w:right="30"/>
              <w:rPr>
                <w:sz w:val="11"/>
              </w:rPr>
            </w:pPr>
            <w:r>
              <w:rPr>
                <w:sz w:val="11"/>
              </w:rPr>
              <w:t>(iv) Specify the domain name(s) that is/are the subject of the Complaint. The Complainant shall include a copy of the currently available Whois information and a copy, if available, of the offending portion of the website content associated with each domain name that is the subject of the complaint;</w:t>
            </w:r>
          </w:p>
        </w:tc>
        <w:tc>
          <w:tcPr>
            <w:tcW w:w="3413" w:type="dxa"/>
            <w:vMerge/>
          </w:tcPr>
          <w:p w14:paraId="7E059E0C" w14:textId="77777777" w:rsidR="006369E6" w:rsidRDefault="006369E6"/>
        </w:tc>
        <w:tc>
          <w:tcPr>
            <w:tcW w:w="3413" w:type="dxa"/>
            <w:vMerge/>
          </w:tcPr>
          <w:p w14:paraId="388D2F44" w14:textId="77777777" w:rsidR="006369E6" w:rsidRDefault="006369E6"/>
        </w:tc>
        <w:tc>
          <w:tcPr>
            <w:tcW w:w="3413" w:type="dxa"/>
          </w:tcPr>
          <w:p w14:paraId="1B5B15C1" w14:textId="77777777" w:rsidR="006369E6" w:rsidRDefault="006369E6"/>
        </w:tc>
      </w:tr>
      <w:tr w:rsidR="006369E6" w14:paraId="40AEFE8C" w14:textId="77777777">
        <w:trPr>
          <w:trHeight w:hRule="exact" w:val="809"/>
        </w:trPr>
        <w:tc>
          <w:tcPr>
            <w:tcW w:w="179" w:type="dxa"/>
            <w:vMerge/>
          </w:tcPr>
          <w:p w14:paraId="0A485963" w14:textId="77777777" w:rsidR="006369E6" w:rsidRDefault="006369E6"/>
        </w:tc>
        <w:tc>
          <w:tcPr>
            <w:tcW w:w="3413" w:type="dxa"/>
          </w:tcPr>
          <w:p w14:paraId="1499D23B" w14:textId="77777777" w:rsidR="006369E6" w:rsidRDefault="006B5592">
            <w:pPr>
              <w:pStyle w:val="TableParagraph"/>
              <w:ind w:right="45"/>
              <w:rPr>
                <w:sz w:val="11"/>
              </w:rPr>
            </w:pPr>
            <w:r>
              <w:rPr>
                <w:sz w:val="11"/>
              </w:rPr>
              <w:t>(v) Specify the trademark(s) or service mark(s) on which the complaint is based and the goods or services with which the mark is used including evidence of use – which can be a declaration and a specimen of current use in commerce - submitted directly or by including a relevant SMD (Signed Mark Data) from the Trademark Clearinghouse;</w:t>
            </w:r>
          </w:p>
        </w:tc>
        <w:tc>
          <w:tcPr>
            <w:tcW w:w="3413" w:type="dxa"/>
            <w:vMerge/>
          </w:tcPr>
          <w:p w14:paraId="6C22DBCD" w14:textId="77777777" w:rsidR="006369E6" w:rsidRDefault="006369E6"/>
        </w:tc>
        <w:tc>
          <w:tcPr>
            <w:tcW w:w="3413" w:type="dxa"/>
            <w:vMerge/>
          </w:tcPr>
          <w:p w14:paraId="1057346C" w14:textId="77777777" w:rsidR="006369E6" w:rsidRDefault="006369E6"/>
        </w:tc>
        <w:tc>
          <w:tcPr>
            <w:tcW w:w="3413" w:type="dxa"/>
          </w:tcPr>
          <w:p w14:paraId="7C82CAE7" w14:textId="77777777" w:rsidR="006369E6" w:rsidRDefault="006369E6"/>
        </w:tc>
      </w:tr>
      <w:tr w:rsidR="006369E6" w14:paraId="5780479A" w14:textId="77777777">
        <w:trPr>
          <w:trHeight w:hRule="exact" w:val="681"/>
        </w:trPr>
        <w:tc>
          <w:tcPr>
            <w:tcW w:w="179" w:type="dxa"/>
            <w:vMerge/>
          </w:tcPr>
          <w:p w14:paraId="146819CD" w14:textId="77777777" w:rsidR="006369E6" w:rsidRDefault="006369E6"/>
        </w:tc>
        <w:tc>
          <w:tcPr>
            <w:tcW w:w="3413" w:type="dxa"/>
          </w:tcPr>
          <w:p w14:paraId="78B2983F" w14:textId="77777777" w:rsidR="006369E6" w:rsidRDefault="006B5592">
            <w:pPr>
              <w:pStyle w:val="TableParagraph"/>
              <w:ind w:right="41"/>
              <w:rPr>
                <w:sz w:val="11"/>
              </w:rPr>
            </w:pPr>
            <w:r>
              <w:rPr>
                <w:sz w:val="11"/>
              </w:rPr>
              <w:t>(vi) Identify which URS Procedure elements (URS 1.2.6) the Complainant contends are being violated by Respondent’s use of the domain name. This will be done by selecting the elements from URS Procedure section 1.2.6 that apply from the list provided on the Provider’s Complaint</w:t>
            </w:r>
            <w:r>
              <w:rPr>
                <w:spacing w:val="6"/>
                <w:sz w:val="11"/>
              </w:rPr>
              <w:t xml:space="preserve"> </w:t>
            </w:r>
            <w:r>
              <w:rPr>
                <w:sz w:val="11"/>
              </w:rPr>
              <w:t>form;</w:t>
            </w:r>
          </w:p>
        </w:tc>
        <w:tc>
          <w:tcPr>
            <w:tcW w:w="3413" w:type="dxa"/>
            <w:vMerge/>
          </w:tcPr>
          <w:p w14:paraId="7687B3BA" w14:textId="77777777" w:rsidR="006369E6" w:rsidRDefault="006369E6"/>
        </w:tc>
        <w:tc>
          <w:tcPr>
            <w:tcW w:w="3413" w:type="dxa"/>
            <w:vMerge/>
          </w:tcPr>
          <w:p w14:paraId="4F06D6BD" w14:textId="77777777" w:rsidR="006369E6" w:rsidRDefault="006369E6"/>
        </w:tc>
        <w:tc>
          <w:tcPr>
            <w:tcW w:w="3413" w:type="dxa"/>
          </w:tcPr>
          <w:p w14:paraId="5468E75A" w14:textId="77777777" w:rsidR="006369E6" w:rsidRDefault="006369E6"/>
        </w:tc>
      </w:tr>
      <w:tr w:rsidR="006369E6" w14:paraId="1CEF2B8B" w14:textId="77777777">
        <w:trPr>
          <w:trHeight w:hRule="exact" w:val="298"/>
        </w:trPr>
        <w:tc>
          <w:tcPr>
            <w:tcW w:w="179" w:type="dxa"/>
            <w:vMerge/>
          </w:tcPr>
          <w:p w14:paraId="6F47CBF7" w14:textId="77777777" w:rsidR="006369E6" w:rsidRDefault="006369E6"/>
        </w:tc>
        <w:tc>
          <w:tcPr>
            <w:tcW w:w="3413" w:type="dxa"/>
          </w:tcPr>
          <w:p w14:paraId="3068A796" w14:textId="77777777" w:rsidR="006369E6" w:rsidRDefault="006B5592">
            <w:pPr>
              <w:pStyle w:val="TableParagraph"/>
              <w:ind w:right="30"/>
              <w:rPr>
                <w:sz w:val="11"/>
              </w:rPr>
            </w:pPr>
            <w:r>
              <w:rPr>
                <w:sz w:val="11"/>
              </w:rPr>
              <w:t>(vii) An optional explanatory statement of no more than 500 words in a separate free form text box;</w:t>
            </w:r>
          </w:p>
        </w:tc>
        <w:tc>
          <w:tcPr>
            <w:tcW w:w="3413" w:type="dxa"/>
            <w:vMerge/>
          </w:tcPr>
          <w:p w14:paraId="39F1EBDA" w14:textId="77777777" w:rsidR="006369E6" w:rsidRDefault="006369E6"/>
        </w:tc>
        <w:tc>
          <w:tcPr>
            <w:tcW w:w="3413" w:type="dxa"/>
            <w:vMerge/>
          </w:tcPr>
          <w:p w14:paraId="10F1D32E" w14:textId="77777777" w:rsidR="006369E6" w:rsidRDefault="006369E6"/>
        </w:tc>
        <w:tc>
          <w:tcPr>
            <w:tcW w:w="3413" w:type="dxa"/>
          </w:tcPr>
          <w:p w14:paraId="283F3C0B" w14:textId="77777777" w:rsidR="006369E6" w:rsidRDefault="006369E6"/>
        </w:tc>
      </w:tr>
      <w:tr w:rsidR="006369E6" w14:paraId="230DCD93" w14:textId="77777777">
        <w:trPr>
          <w:trHeight w:hRule="exact" w:val="426"/>
        </w:trPr>
        <w:tc>
          <w:tcPr>
            <w:tcW w:w="179" w:type="dxa"/>
            <w:vMerge/>
          </w:tcPr>
          <w:p w14:paraId="1E663A28" w14:textId="77777777" w:rsidR="006369E6" w:rsidRDefault="006369E6"/>
        </w:tc>
        <w:tc>
          <w:tcPr>
            <w:tcW w:w="3413" w:type="dxa"/>
          </w:tcPr>
          <w:p w14:paraId="52D1CF05" w14:textId="77777777" w:rsidR="006369E6" w:rsidRDefault="006B5592">
            <w:pPr>
              <w:pStyle w:val="TableParagraph"/>
              <w:ind w:right="204"/>
              <w:rPr>
                <w:sz w:val="11"/>
              </w:rPr>
            </w:pPr>
            <w:r>
              <w:rPr>
                <w:sz w:val="11"/>
              </w:rPr>
              <w:t>(viii) Identify any other legal proceedings that have been commenced or terminated in connection with or relating to any of the domain name(s) that are the subject of the Complaint;</w:t>
            </w:r>
          </w:p>
        </w:tc>
        <w:tc>
          <w:tcPr>
            <w:tcW w:w="3413" w:type="dxa"/>
            <w:vMerge/>
          </w:tcPr>
          <w:p w14:paraId="55FFDF63" w14:textId="77777777" w:rsidR="006369E6" w:rsidRDefault="006369E6"/>
        </w:tc>
        <w:tc>
          <w:tcPr>
            <w:tcW w:w="3413" w:type="dxa"/>
            <w:vMerge/>
          </w:tcPr>
          <w:p w14:paraId="5429BA5F" w14:textId="77777777" w:rsidR="006369E6" w:rsidRDefault="006369E6"/>
        </w:tc>
        <w:tc>
          <w:tcPr>
            <w:tcW w:w="3413" w:type="dxa"/>
          </w:tcPr>
          <w:p w14:paraId="5FDFAD72" w14:textId="77777777" w:rsidR="006369E6" w:rsidRDefault="006369E6"/>
        </w:tc>
      </w:tr>
      <w:tr w:rsidR="006369E6" w14:paraId="4366B18F" w14:textId="77777777">
        <w:trPr>
          <w:trHeight w:hRule="exact" w:val="426"/>
        </w:trPr>
        <w:tc>
          <w:tcPr>
            <w:tcW w:w="179" w:type="dxa"/>
            <w:vMerge/>
          </w:tcPr>
          <w:p w14:paraId="63944E1A" w14:textId="77777777" w:rsidR="006369E6" w:rsidRDefault="006369E6"/>
        </w:tc>
        <w:tc>
          <w:tcPr>
            <w:tcW w:w="3413" w:type="dxa"/>
          </w:tcPr>
          <w:p w14:paraId="4B852325" w14:textId="77777777" w:rsidR="006369E6" w:rsidRDefault="006B5592">
            <w:pPr>
              <w:pStyle w:val="TableParagraph"/>
              <w:ind w:right="52"/>
              <w:rPr>
                <w:sz w:val="11"/>
              </w:rPr>
            </w:pPr>
            <w:r>
              <w:rPr>
                <w:sz w:val="11"/>
              </w:rPr>
              <w:t>(ix) State that Complainant will submit, with respect to any challenges to a determination in the URS proceeding, to the jurisdiction of the courts in at least one specified Mutual Jurisdiction;</w:t>
            </w:r>
          </w:p>
        </w:tc>
        <w:tc>
          <w:tcPr>
            <w:tcW w:w="3413" w:type="dxa"/>
            <w:vMerge/>
          </w:tcPr>
          <w:p w14:paraId="4DA22B44" w14:textId="77777777" w:rsidR="006369E6" w:rsidRDefault="006369E6"/>
        </w:tc>
        <w:tc>
          <w:tcPr>
            <w:tcW w:w="3413" w:type="dxa"/>
            <w:vMerge/>
          </w:tcPr>
          <w:p w14:paraId="6162ADF6" w14:textId="77777777" w:rsidR="006369E6" w:rsidRDefault="006369E6"/>
        </w:tc>
        <w:tc>
          <w:tcPr>
            <w:tcW w:w="3413" w:type="dxa"/>
          </w:tcPr>
          <w:p w14:paraId="21B8A38A" w14:textId="77777777" w:rsidR="006369E6" w:rsidRDefault="006369E6"/>
        </w:tc>
      </w:tr>
      <w:tr w:rsidR="006369E6" w14:paraId="4FE0A2EA" w14:textId="77777777">
        <w:trPr>
          <w:trHeight w:hRule="exact" w:val="1949"/>
        </w:trPr>
        <w:tc>
          <w:tcPr>
            <w:tcW w:w="179" w:type="dxa"/>
            <w:vMerge/>
          </w:tcPr>
          <w:p w14:paraId="55B69F47" w14:textId="77777777" w:rsidR="006369E6" w:rsidRDefault="006369E6"/>
        </w:tc>
        <w:tc>
          <w:tcPr>
            <w:tcW w:w="3413" w:type="dxa"/>
          </w:tcPr>
          <w:p w14:paraId="5A0948F3" w14:textId="77777777" w:rsidR="006369E6" w:rsidRDefault="006B5592">
            <w:pPr>
              <w:pStyle w:val="TableParagraph"/>
              <w:ind w:right="40"/>
              <w:rPr>
                <w:sz w:val="11"/>
              </w:rPr>
            </w:pPr>
            <w:r>
              <w:rPr>
                <w:sz w:val="11"/>
              </w:rPr>
              <w:t>(x) Conclude with agreement to the following statement: “Complainant agrees that its claims and remedies concerning the registration of the domain name, the dispute, or the dispute's resolution shall be solely against the domain-name holder and waives all such claims and remedies against (a) the Provider and Examiner, except in the case of deliberate wrongdoing, (b) the Registrar, (c) the Registry Operator, and (d) the Internet Corporation for Assigned Names and Numbers, as well as their directors, officers, employees, and agents. 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w:t>
            </w:r>
            <w:r>
              <w:rPr>
                <w:spacing w:val="15"/>
                <w:sz w:val="11"/>
              </w:rPr>
              <w:t xml:space="preserve"> </w:t>
            </w:r>
            <w:r>
              <w:rPr>
                <w:sz w:val="11"/>
              </w:rPr>
              <w:t>argument.”;</w:t>
            </w:r>
          </w:p>
        </w:tc>
        <w:tc>
          <w:tcPr>
            <w:tcW w:w="3413" w:type="dxa"/>
            <w:vMerge/>
          </w:tcPr>
          <w:p w14:paraId="31406A2B" w14:textId="77777777" w:rsidR="006369E6" w:rsidRDefault="006369E6"/>
        </w:tc>
        <w:tc>
          <w:tcPr>
            <w:tcW w:w="3413" w:type="dxa"/>
            <w:vMerge/>
          </w:tcPr>
          <w:p w14:paraId="0F35CFF0" w14:textId="77777777" w:rsidR="006369E6" w:rsidRDefault="006369E6"/>
        </w:tc>
        <w:tc>
          <w:tcPr>
            <w:tcW w:w="3413" w:type="dxa"/>
          </w:tcPr>
          <w:p w14:paraId="1E76D546" w14:textId="77777777" w:rsidR="006369E6" w:rsidRDefault="006369E6"/>
        </w:tc>
      </w:tr>
      <w:tr w:rsidR="006369E6" w14:paraId="01C6BC8D" w14:textId="77777777">
        <w:trPr>
          <w:trHeight w:hRule="exact" w:val="426"/>
        </w:trPr>
        <w:tc>
          <w:tcPr>
            <w:tcW w:w="3592" w:type="dxa"/>
            <w:gridSpan w:val="2"/>
          </w:tcPr>
          <w:p w14:paraId="77D6C598" w14:textId="77777777" w:rsidR="006369E6" w:rsidRDefault="006B5592">
            <w:pPr>
              <w:pStyle w:val="TableParagraph"/>
              <w:ind w:right="78"/>
              <w:rPr>
                <w:sz w:val="11"/>
              </w:rPr>
            </w:pPr>
            <w:r>
              <w:rPr>
                <w:sz w:val="11"/>
              </w:rPr>
              <w:t>(c) The Complaint may relate to more than one domain name, provided that the domain names are registered by the same domain name holder.</w:t>
            </w:r>
          </w:p>
        </w:tc>
        <w:tc>
          <w:tcPr>
            <w:tcW w:w="3413" w:type="dxa"/>
          </w:tcPr>
          <w:p w14:paraId="05674937" w14:textId="77777777" w:rsidR="006369E6" w:rsidRDefault="006369E6"/>
        </w:tc>
        <w:tc>
          <w:tcPr>
            <w:tcW w:w="3413" w:type="dxa"/>
          </w:tcPr>
          <w:p w14:paraId="66707328" w14:textId="77777777" w:rsidR="006369E6" w:rsidRDefault="006369E6"/>
        </w:tc>
        <w:tc>
          <w:tcPr>
            <w:tcW w:w="3413" w:type="dxa"/>
          </w:tcPr>
          <w:p w14:paraId="02FEBDDF" w14:textId="77777777" w:rsidR="006369E6" w:rsidRDefault="006369E6"/>
        </w:tc>
      </w:tr>
      <w:tr w:rsidR="006369E6" w14:paraId="7E287CC4" w14:textId="77777777">
        <w:trPr>
          <w:trHeight w:hRule="exact" w:val="553"/>
        </w:trPr>
        <w:tc>
          <w:tcPr>
            <w:tcW w:w="3592" w:type="dxa"/>
            <w:gridSpan w:val="2"/>
          </w:tcPr>
          <w:p w14:paraId="403C2AF7" w14:textId="77777777" w:rsidR="006369E6" w:rsidRDefault="006B5592">
            <w:pPr>
              <w:pStyle w:val="TableParagraph"/>
              <w:ind w:right="53"/>
              <w:rPr>
                <w:sz w:val="11"/>
              </w:rPr>
            </w:pPr>
            <w:r>
              <w:rPr>
                <w:sz w:val="11"/>
              </w:rPr>
              <w:t>(d) The Complaint shall be accompanied by the filing fee, as set forth in the Provider’s Supplemental Rules. If fees are not paid within one (1) Business Day of filing, as determined at the location of the Provider, the Complaint shall be automatically dismissed.</w:t>
            </w:r>
          </w:p>
        </w:tc>
        <w:tc>
          <w:tcPr>
            <w:tcW w:w="3413" w:type="dxa"/>
          </w:tcPr>
          <w:p w14:paraId="5F4929FA" w14:textId="77777777" w:rsidR="006369E6" w:rsidRDefault="006369E6"/>
        </w:tc>
        <w:tc>
          <w:tcPr>
            <w:tcW w:w="3413" w:type="dxa"/>
          </w:tcPr>
          <w:p w14:paraId="14DC55BB" w14:textId="77777777" w:rsidR="006369E6" w:rsidRDefault="006369E6"/>
        </w:tc>
        <w:tc>
          <w:tcPr>
            <w:tcW w:w="3413" w:type="dxa"/>
          </w:tcPr>
          <w:p w14:paraId="63D1AEB7" w14:textId="77777777" w:rsidR="006369E6" w:rsidRDefault="006369E6"/>
        </w:tc>
      </w:tr>
      <w:tr w:rsidR="006369E6" w14:paraId="372C9D75" w14:textId="77777777">
        <w:trPr>
          <w:trHeight w:hRule="exact" w:val="681"/>
        </w:trPr>
        <w:tc>
          <w:tcPr>
            <w:tcW w:w="3592" w:type="dxa"/>
            <w:gridSpan w:val="2"/>
          </w:tcPr>
          <w:p w14:paraId="724766AF" w14:textId="77777777" w:rsidR="006369E6" w:rsidRDefault="006B5592">
            <w:pPr>
              <w:pStyle w:val="TableParagraph"/>
              <w:ind w:right="58"/>
              <w:rPr>
                <w:sz w:val="11"/>
              </w:rPr>
            </w:pPr>
            <w:r>
              <w:rPr>
                <w:sz w:val="11"/>
              </w:rPr>
              <w:t>(e) The Complaint will not be accepted if the Provider’s check of the Repository (see Rule 17) finds the Complainant has exceeded its quota of Abusive Complaints.</w:t>
            </w:r>
          </w:p>
        </w:tc>
        <w:tc>
          <w:tcPr>
            <w:tcW w:w="3413" w:type="dxa"/>
          </w:tcPr>
          <w:p w14:paraId="383B2E9A" w14:textId="77777777" w:rsidR="006369E6" w:rsidRDefault="006B5592">
            <w:pPr>
              <w:pStyle w:val="TableParagraph"/>
              <w:numPr>
                <w:ilvl w:val="0"/>
                <w:numId w:val="17"/>
              </w:numPr>
              <w:tabs>
                <w:tab w:val="left" w:pos="100"/>
              </w:tabs>
              <w:ind w:right="180" w:firstLine="0"/>
              <w:rPr>
                <w:sz w:val="11"/>
              </w:rPr>
            </w:pPr>
            <w:r>
              <w:rPr>
                <w:sz w:val="11"/>
              </w:rPr>
              <w:t>Has any Provider used rules related to abusive complaint at all? Has any penalty been set</w:t>
            </w:r>
            <w:r>
              <w:rPr>
                <w:spacing w:val="8"/>
                <w:sz w:val="11"/>
              </w:rPr>
              <w:t xml:space="preserve"> </w:t>
            </w:r>
            <w:r>
              <w:rPr>
                <w:sz w:val="11"/>
              </w:rPr>
              <w:t>forward?</w:t>
            </w:r>
          </w:p>
          <w:p w14:paraId="51779A7E" w14:textId="77777777" w:rsidR="006369E6" w:rsidRDefault="006B5592">
            <w:pPr>
              <w:pStyle w:val="TableParagraph"/>
              <w:numPr>
                <w:ilvl w:val="0"/>
                <w:numId w:val="17"/>
              </w:numPr>
              <w:tabs>
                <w:tab w:val="left" w:pos="100"/>
              </w:tabs>
              <w:spacing w:before="0"/>
              <w:ind w:right="169" w:firstLine="0"/>
              <w:rPr>
                <w:sz w:val="11"/>
              </w:rPr>
            </w:pPr>
            <w:r>
              <w:rPr>
                <w:sz w:val="11"/>
              </w:rPr>
              <w:t>How have Providers complied with their MOU para 2(b)(viii) with regard to establishing and maintaining a process to monitor URS abuse</w:t>
            </w:r>
          </w:p>
        </w:tc>
        <w:tc>
          <w:tcPr>
            <w:tcW w:w="3413" w:type="dxa"/>
          </w:tcPr>
          <w:p w14:paraId="746EB7BA" w14:textId="77777777" w:rsidR="006369E6" w:rsidRDefault="006B5592">
            <w:pPr>
              <w:pStyle w:val="TableParagraph"/>
              <w:ind w:right="40"/>
              <w:rPr>
                <w:sz w:val="11"/>
              </w:rPr>
            </w:pPr>
            <w:r>
              <w:rPr>
                <w:sz w:val="11"/>
              </w:rPr>
              <w:t>Not sure how much inferences we could draw if not many cases that abusive complaint was applied. Most of the cases have been won  by the Complaint. Perhaps check the complaint abuse case database on the Provider's</w:t>
            </w:r>
            <w:r>
              <w:rPr>
                <w:spacing w:val="7"/>
                <w:sz w:val="11"/>
              </w:rPr>
              <w:t xml:space="preserve"> </w:t>
            </w:r>
            <w:r>
              <w:rPr>
                <w:sz w:val="11"/>
              </w:rPr>
              <w:t>site?</w:t>
            </w:r>
          </w:p>
        </w:tc>
        <w:tc>
          <w:tcPr>
            <w:tcW w:w="3413" w:type="dxa"/>
          </w:tcPr>
          <w:p w14:paraId="568B403F" w14:textId="77777777" w:rsidR="006369E6" w:rsidRDefault="006369E6"/>
        </w:tc>
      </w:tr>
      <w:tr w:rsidR="006369E6" w14:paraId="5FC251E2" w14:textId="77777777">
        <w:trPr>
          <w:trHeight w:hRule="exact" w:val="298"/>
        </w:trPr>
        <w:tc>
          <w:tcPr>
            <w:tcW w:w="3592" w:type="dxa"/>
            <w:gridSpan w:val="2"/>
          </w:tcPr>
          <w:p w14:paraId="45A172E9" w14:textId="77777777" w:rsidR="006369E6" w:rsidRDefault="006B5592">
            <w:pPr>
              <w:pStyle w:val="TableParagraph"/>
              <w:ind w:right="75"/>
              <w:rPr>
                <w:sz w:val="11"/>
              </w:rPr>
            </w:pPr>
            <w:r>
              <w:rPr>
                <w:sz w:val="11"/>
              </w:rPr>
              <w:t>(f) URS Complaints may only be filed against domain names registered in a New gTLD.</w:t>
            </w:r>
          </w:p>
        </w:tc>
        <w:tc>
          <w:tcPr>
            <w:tcW w:w="3413" w:type="dxa"/>
          </w:tcPr>
          <w:p w14:paraId="5DC23394" w14:textId="77777777" w:rsidR="006369E6" w:rsidRDefault="006369E6"/>
        </w:tc>
        <w:tc>
          <w:tcPr>
            <w:tcW w:w="3413" w:type="dxa"/>
          </w:tcPr>
          <w:p w14:paraId="7E4193EC" w14:textId="77777777" w:rsidR="006369E6" w:rsidRDefault="006369E6"/>
        </w:tc>
        <w:tc>
          <w:tcPr>
            <w:tcW w:w="3413" w:type="dxa"/>
          </w:tcPr>
          <w:p w14:paraId="34D4B8CD" w14:textId="77777777" w:rsidR="006369E6" w:rsidRDefault="006369E6"/>
        </w:tc>
      </w:tr>
    </w:tbl>
    <w:p w14:paraId="3CCC3AE5" w14:textId="77777777" w:rsidR="006369E6" w:rsidRDefault="006369E6">
      <w:pPr>
        <w:sectPr w:rsidR="006369E6">
          <w:pgSz w:w="15840" w:h="12240" w:orient="landscape"/>
          <w:pgMar w:top="640" w:right="320" w:bottom="620" w:left="320" w:header="438" w:footer="421" w:gutter="0"/>
          <w:cols w:space="720"/>
        </w:sectPr>
      </w:pPr>
    </w:p>
    <w:p w14:paraId="01FC3D56" w14:textId="77777777" w:rsidR="006369E6" w:rsidRDefault="006369E6">
      <w:pPr>
        <w:pStyle w:val="BodyText"/>
        <w:rPr>
          <w:rFonts w:ascii="Times New Roman"/>
          <w:sz w:val="20"/>
        </w:rPr>
      </w:pPr>
    </w:p>
    <w:p w14:paraId="44C9AD10" w14:textId="77777777" w:rsidR="006369E6" w:rsidRDefault="006369E6">
      <w:pPr>
        <w:pStyle w:val="BodyText"/>
        <w:spacing w:before="1"/>
        <w:rPr>
          <w:rFonts w:ascii="Times New Roman"/>
          <w:sz w:val="16"/>
        </w:rPr>
      </w:pPr>
    </w:p>
    <w:tbl>
      <w:tblPr>
        <w:tblW w:w="0" w:type="auto"/>
        <w:tblInd w:w="67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79"/>
        <w:gridCol w:w="3413"/>
        <w:gridCol w:w="3413"/>
        <w:gridCol w:w="3413"/>
        <w:gridCol w:w="3415"/>
      </w:tblGrid>
      <w:tr w:rsidR="006369E6" w14:paraId="450AACE5" w14:textId="77777777">
        <w:trPr>
          <w:trHeight w:hRule="exact" w:val="179"/>
        </w:trPr>
        <w:tc>
          <w:tcPr>
            <w:tcW w:w="3592" w:type="dxa"/>
            <w:gridSpan w:val="2"/>
            <w:shd w:val="clear" w:color="auto" w:fill="CEE1F3"/>
          </w:tcPr>
          <w:p w14:paraId="080107B9" w14:textId="77777777" w:rsidR="006369E6" w:rsidRDefault="006B5592">
            <w:pPr>
              <w:pStyle w:val="TableParagraph"/>
              <w:rPr>
                <w:b/>
                <w:sz w:val="11"/>
              </w:rPr>
            </w:pPr>
            <w:r>
              <w:rPr>
                <w:b/>
                <w:sz w:val="11"/>
              </w:rPr>
              <w:t>URS Rules</w:t>
            </w:r>
          </w:p>
        </w:tc>
        <w:tc>
          <w:tcPr>
            <w:tcW w:w="3413" w:type="dxa"/>
            <w:shd w:val="clear" w:color="auto" w:fill="CEE1F3"/>
          </w:tcPr>
          <w:p w14:paraId="2A920492" w14:textId="77777777" w:rsidR="006369E6" w:rsidRDefault="006B5592">
            <w:pPr>
              <w:pStyle w:val="TableParagraph"/>
              <w:rPr>
                <w:b/>
                <w:sz w:val="11"/>
              </w:rPr>
            </w:pPr>
            <w:r>
              <w:rPr>
                <w:b/>
                <w:sz w:val="11"/>
              </w:rPr>
              <w:t>Proposed Questions</w:t>
            </w:r>
          </w:p>
        </w:tc>
        <w:tc>
          <w:tcPr>
            <w:tcW w:w="3413" w:type="dxa"/>
            <w:shd w:val="clear" w:color="auto" w:fill="CEE1F3"/>
          </w:tcPr>
          <w:p w14:paraId="3EC63001" w14:textId="77777777" w:rsidR="006369E6" w:rsidRDefault="006B5592">
            <w:pPr>
              <w:pStyle w:val="TableParagraph"/>
              <w:rPr>
                <w:b/>
                <w:sz w:val="11"/>
              </w:rPr>
            </w:pPr>
            <w:r>
              <w:rPr>
                <w:b/>
                <w:sz w:val="11"/>
              </w:rPr>
              <w:t>Additional Notes</w:t>
            </w:r>
          </w:p>
        </w:tc>
        <w:tc>
          <w:tcPr>
            <w:tcW w:w="3413" w:type="dxa"/>
            <w:shd w:val="clear" w:color="auto" w:fill="CEE1F3"/>
          </w:tcPr>
          <w:p w14:paraId="542C5D78" w14:textId="77777777" w:rsidR="006369E6" w:rsidRDefault="006B5592">
            <w:pPr>
              <w:pStyle w:val="TableParagraph"/>
              <w:rPr>
                <w:b/>
                <w:sz w:val="11"/>
              </w:rPr>
            </w:pPr>
            <w:r>
              <w:rPr>
                <w:b/>
                <w:sz w:val="11"/>
              </w:rPr>
              <w:t>Findings</w:t>
            </w:r>
          </w:p>
        </w:tc>
      </w:tr>
      <w:tr w:rsidR="006369E6" w14:paraId="23ADA621" w14:textId="77777777">
        <w:trPr>
          <w:trHeight w:hRule="exact" w:val="2332"/>
        </w:trPr>
        <w:tc>
          <w:tcPr>
            <w:tcW w:w="3592" w:type="dxa"/>
            <w:gridSpan w:val="2"/>
          </w:tcPr>
          <w:p w14:paraId="4597A109" w14:textId="77777777" w:rsidR="006369E6" w:rsidRDefault="006B5592">
            <w:pPr>
              <w:pStyle w:val="TableParagraph"/>
              <w:ind w:right="75"/>
              <w:rPr>
                <w:sz w:val="11"/>
              </w:rPr>
            </w:pPr>
            <w:r>
              <w:rPr>
                <w:sz w:val="11"/>
              </w:rPr>
              <w:t>(g) A URS Complaint may not be filed against a domain name that is part of an open and active URS or UDRP case.</w:t>
            </w:r>
          </w:p>
        </w:tc>
        <w:tc>
          <w:tcPr>
            <w:tcW w:w="3413" w:type="dxa"/>
          </w:tcPr>
          <w:p w14:paraId="6509B9EC" w14:textId="77777777" w:rsidR="006369E6" w:rsidRDefault="006B5592">
            <w:pPr>
              <w:pStyle w:val="TableParagraph"/>
              <w:numPr>
                <w:ilvl w:val="0"/>
                <w:numId w:val="16"/>
              </w:numPr>
              <w:tabs>
                <w:tab w:val="left" w:pos="100"/>
              </w:tabs>
              <w:ind w:right="76" w:firstLine="0"/>
              <w:rPr>
                <w:sz w:val="11"/>
              </w:rPr>
            </w:pPr>
            <w:r>
              <w:rPr>
                <w:sz w:val="11"/>
              </w:rPr>
              <w:t>Has a Provider conducted check on whether a domain case is already subject to an open and active URS or UDRP proceeding? If so, how did they find</w:t>
            </w:r>
            <w:r>
              <w:rPr>
                <w:spacing w:val="5"/>
                <w:sz w:val="11"/>
              </w:rPr>
              <w:t xml:space="preserve"> </w:t>
            </w:r>
            <w:r>
              <w:rPr>
                <w:sz w:val="11"/>
              </w:rPr>
              <w:t>out?</w:t>
            </w:r>
          </w:p>
          <w:p w14:paraId="412E82E7" w14:textId="77777777" w:rsidR="006369E6" w:rsidRDefault="006B5592">
            <w:pPr>
              <w:pStyle w:val="TableParagraph"/>
              <w:numPr>
                <w:ilvl w:val="0"/>
                <w:numId w:val="16"/>
              </w:numPr>
              <w:tabs>
                <w:tab w:val="left" w:pos="100"/>
              </w:tabs>
              <w:spacing w:before="0"/>
              <w:ind w:left="99"/>
              <w:rPr>
                <w:sz w:val="11"/>
              </w:rPr>
            </w:pPr>
            <w:r>
              <w:rPr>
                <w:sz w:val="11"/>
              </w:rPr>
              <w:t>Do Providers rely on the information provided by the</w:t>
            </w:r>
            <w:r>
              <w:rPr>
                <w:spacing w:val="15"/>
                <w:sz w:val="11"/>
              </w:rPr>
              <w:t xml:space="preserve"> </w:t>
            </w:r>
            <w:r>
              <w:rPr>
                <w:sz w:val="11"/>
              </w:rPr>
              <w:t>Complaint?</w:t>
            </w:r>
          </w:p>
          <w:p w14:paraId="3060AE89" w14:textId="77777777" w:rsidR="006369E6" w:rsidRDefault="006B5592">
            <w:pPr>
              <w:pStyle w:val="TableParagraph"/>
              <w:numPr>
                <w:ilvl w:val="0"/>
                <w:numId w:val="16"/>
              </w:numPr>
              <w:tabs>
                <w:tab w:val="left" w:pos="100"/>
              </w:tabs>
              <w:spacing w:before="0"/>
              <w:ind w:right="254" w:firstLine="0"/>
              <w:rPr>
                <w:sz w:val="11"/>
              </w:rPr>
            </w:pPr>
            <w:r>
              <w:rPr>
                <w:sz w:val="11"/>
              </w:rPr>
              <w:t>Does anyone check for court cases in the event a Respondent doesn't</w:t>
            </w:r>
            <w:r>
              <w:rPr>
                <w:spacing w:val="4"/>
                <w:sz w:val="11"/>
              </w:rPr>
              <w:t xml:space="preserve"> </w:t>
            </w:r>
            <w:r>
              <w:rPr>
                <w:sz w:val="11"/>
              </w:rPr>
              <w:t>respond?</w:t>
            </w:r>
          </w:p>
          <w:p w14:paraId="081496B7" w14:textId="77777777" w:rsidR="006369E6" w:rsidRDefault="006B5592">
            <w:pPr>
              <w:pStyle w:val="TableParagraph"/>
              <w:numPr>
                <w:ilvl w:val="0"/>
                <w:numId w:val="16"/>
              </w:numPr>
              <w:tabs>
                <w:tab w:val="left" w:pos="100"/>
              </w:tabs>
              <w:spacing w:before="0"/>
              <w:ind w:right="199" w:firstLine="0"/>
              <w:rPr>
                <w:sz w:val="11"/>
              </w:rPr>
            </w:pPr>
            <w:r>
              <w:rPr>
                <w:sz w:val="11"/>
              </w:rPr>
              <w:t>How do Providers view their responsibility under the provision 3 (g)?</w:t>
            </w:r>
          </w:p>
        </w:tc>
        <w:tc>
          <w:tcPr>
            <w:tcW w:w="3413" w:type="dxa"/>
          </w:tcPr>
          <w:p w14:paraId="18E68EE6" w14:textId="77777777" w:rsidR="006369E6" w:rsidRDefault="006B5592">
            <w:pPr>
              <w:pStyle w:val="TableParagraph"/>
              <w:numPr>
                <w:ilvl w:val="0"/>
                <w:numId w:val="15"/>
              </w:numPr>
              <w:tabs>
                <w:tab w:val="left" w:pos="94"/>
              </w:tabs>
              <w:ind w:right="40" w:firstLine="0"/>
              <w:rPr>
                <w:sz w:val="11"/>
              </w:rPr>
            </w:pPr>
            <w:r>
              <w:rPr>
                <w:sz w:val="11"/>
              </w:rPr>
              <w:t>Don’t need to worry too much about this provision. It is a responsibility of a Provider, and the Complaint may run the risk of being abusive if the case is filed with other URS Providers or UDRP. If a case is filed with different Providers, the parties are obligated to inform the Provider if other channels are</w:t>
            </w:r>
            <w:r>
              <w:rPr>
                <w:spacing w:val="11"/>
                <w:sz w:val="11"/>
              </w:rPr>
              <w:t xml:space="preserve"> </w:t>
            </w:r>
            <w:r>
              <w:rPr>
                <w:sz w:val="11"/>
              </w:rPr>
              <w:t>utilized.</w:t>
            </w:r>
          </w:p>
          <w:p w14:paraId="6004CBAB" w14:textId="77777777" w:rsidR="006369E6" w:rsidRDefault="006B5592">
            <w:pPr>
              <w:pStyle w:val="TableParagraph"/>
              <w:numPr>
                <w:ilvl w:val="0"/>
                <w:numId w:val="15"/>
              </w:numPr>
              <w:tabs>
                <w:tab w:val="left" w:pos="94"/>
              </w:tabs>
              <w:spacing w:before="0"/>
              <w:ind w:right="141" w:firstLine="0"/>
              <w:rPr>
                <w:sz w:val="11"/>
              </w:rPr>
            </w:pPr>
            <w:r>
              <w:rPr>
                <w:sz w:val="11"/>
              </w:rPr>
              <w:t>The rule didn't provide clarification on whose responsibility it is to check whether the domain name case is already in an open and active URS or UDRP</w:t>
            </w:r>
            <w:r>
              <w:rPr>
                <w:spacing w:val="8"/>
                <w:sz w:val="11"/>
              </w:rPr>
              <w:t xml:space="preserve"> </w:t>
            </w:r>
            <w:r>
              <w:rPr>
                <w:sz w:val="11"/>
              </w:rPr>
              <w:t>proceeding.</w:t>
            </w:r>
          </w:p>
          <w:p w14:paraId="33064F37" w14:textId="77777777" w:rsidR="006369E6" w:rsidRDefault="006B5592">
            <w:pPr>
              <w:pStyle w:val="TableParagraph"/>
              <w:numPr>
                <w:ilvl w:val="0"/>
                <w:numId w:val="15"/>
              </w:numPr>
              <w:tabs>
                <w:tab w:val="left" w:pos="94"/>
              </w:tabs>
              <w:spacing w:before="0"/>
              <w:ind w:right="353" w:firstLine="0"/>
              <w:rPr>
                <w:sz w:val="11"/>
              </w:rPr>
            </w:pPr>
            <w:r>
              <w:rPr>
                <w:sz w:val="11"/>
              </w:rPr>
              <w:t>There are several cases that a TM holder has put out a URS proceeding when the Respondent couldn't</w:t>
            </w:r>
            <w:r>
              <w:rPr>
                <w:spacing w:val="13"/>
                <w:sz w:val="11"/>
              </w:rPr>
              <w:t xml:space="preserve"> </w:t>
            </w:r>
            <w:r>
              <w:rPr>
                <w:sz w:val="11"/>
              </w:rPr>
              <w:t>respond.</w:t>
            </w:r>
          </w:p>
          <w:p w14:paraId="1419C0A2" w14:textId="77777777" w:rsidR="006369E6" w:rsidRDefault="006B5592">
            <w:pPr>
              <w:pStyle w:val="TableParagraph"/>
              <w:numPr>
                <w:ilvl w:val="0"/>
                <w:numId w:val="15"/>
              </w:numPr>
              <w:tabs>
                <w:tab w:val="left" w:pos="94"/>
              </w:tabs>
              <w:spacing w:before="0"/>
              <w:ind w:right="76" w:firstLine="0"/>
              <w:rPr>
                <w:sz w:val="11"/>
              </w:rPr>
            </w:pPr>
            <w:r>
              <w:rPr>
                <w:sz w:val="11"/>
              </w:rPr>
              <w:t>Unless the Complaint was withdrawn on a without prejudice basis, then they can refile and should not be considered as</w:t>
            </w:r>
            <w:r>
              <w:rPr>
                <w:spacing w:val="15"/>
                <w:sz w:val="11"/>
              </w:rPr>
              <w:t xml:space="preserve"> </w:t>
            </w:r>
            <w:r>
              <w:rPr>
                <w:sz w:val="11"/>
              </w:rPr>
              <w:t>abusive.</w:t>
            </w:r>
          </w:p>
          <w:p w14:paraId="3AFFBD8D" w14:textId="77777777" w:rsidR="006369E6" w:rsidRDefault="006B5592">
            <w:pPr>
              <w:pStyle w:val="TableParagraph"/>
              <w:numPr>
                <w:ilvl w:val="0"/>
                <w:numId w:val="15"/>
              </w:numPr>
              <w:tabs>
                <w:tab w:val="left" w:pos="94"/>
              </w:tabs>
              <w:spacing w:before="0"/>
              <w:ind w:right="175" w:firstLine="0"/>
              <w:rPr>
                <w:sz w:val="11"/>
              </w:rPr>
            </w:pPr>
            <w:r>
              <w:rPr>
                <w:sz w:val="11"/>
              </w:rPr>
              <w:t>What file extension do .SMD files carry? There is no SMD file requirement. Providing a .SMD file is a simpler way to provide the data if a trademark has been registered in the TMCH. The TMCH sends the TM-holder an .SMD file as confirmation. This provision allows TM holders to forward that file to the Provider as their TM proof.</w:t>
            </w:r>
          </w:p>
        </w:tc>
        <w:tc>
          <w:tcPr>
            <w:tcW w:w="3413" w:type="dxa"/>
          </w:tcPr>
          <w:p w14:paraId="001794A1" w14:textId="77777777" w:rsidR="006369E6" w:rsidRDefault="006369E6"/>
        </w:tc>
      </w:tr>
      <w:tr w:rsidR="006369E6" w14:paraId="2D4D730B" w14:textId="77777777">
        <w:trPr>
          <w:trHeight w:hRule="exact" w:val="426"/>
        </w:trPr>
        <w:tc>
          <w:tcPr>
            <w:tcW w:w="3592" w:type="dxa"/>
            <w:gridSpan w:val="2"/>
          </w:tcPr>
          <w:p w14:paraId="57CAF7F6" w14:textId="77777777" w:rsidR="006369E6" w:rsidRDefault="006B5592">
            <w:pPr>
              <w:pStyle w:val="TableParagraph"/>
              <w:rPr>
                <w:sz w:val="11"/>
              </w:rPr>
            </w:pPr>
            <w:r>
              <w:rPr>
                <w:sz w:val="11"/>
              </w:rPr>
              <w:t>(h) The Provider’s Supplemental Rules will specify how the Respondent shall be identified in cases where the domain name is registered with a privacy/proxy service.</w:t>
            </w:r>
          </w:p>
        </w:tc>
        <w:tc>
          <w:tcPr>
            <w:tcW w:w="3413" w:type="dxa"/>
          </w:tcPr>
          <w:p w14:paraId="209773C8" w14:textId="77777777" w:rsidR="006369E6" w:rsidRDefault="006369E6"/>
        </w:tc>
        <w:tc>
          <w:tcPr>
            <w:tcW w:w="3413" w:type="dxa"/>
          </w:tcPr>
          <w:p w14:paraId="6D418A35" w14:textId="77777777" w:rsidR="006369E6" w:rsidRDefault="006369E6"/>
        </w:tc>
        <w:tc>
          <w:tcPr>
            <w:tcW w:w="3413" w:type="dxa"/>
          </w:tcPr>
          <w:p w14:paraId="06600932" w14:textId="77777777" w:rsidR="006369E6" w:rsidRDefault="006369E6"/>
        </w:tc>
      </w:tr>
      <w:tr w:rsidR="006369E6" w14:paraId="2365ECE4" w14:textId="77777777">
        <w:trPr>
          <w:trHeight w:hRule="exact" w:val="179"/>
        </w:trPr>
        <w:tc>
          <w:tcPr>
            <w:tcW w:w="13833" w:type="dxa"/>
            <w:gridSpan w:val="5"/>
            <w:shd w:val="clear" w:color="auto" w:fill="F3F3F3"/>
          </w:tcPr>
          <w:p w14:paraId="0F434976" w14:textId="77777777" w:rsidR="006369E6" w:rsidRDefault="006B5592">
            <w:pPr>
              <w:pStyle w:val="TableParagraph"/>
              <w:rPr>
                <w:b/>
                <w:sz w:val="11"/>
              </w:rPr>
            </w:pPr>
            <w:r>
              <w:rPr>
                <w:b/>
                <w:sz w:val="11"/>
              </w:rPr>
              <w:t>4. Notice of Complaint and Locking of Domain</w:t>
            </w:r>
          </w:p>
        </w:tc>
      </w:tr>
      <w:tr w:rsidR="006369E6" w14:paraId="7BF7188C" w14:textId="77777777">
        <w:trPr>
          <w:trHeight w:hRule="exact" w:val="298"/>
        </w:trPr>
        <w:tc>
          <w:tcPr>
            <w:tcW w:w="3592" w:type="dxa"/>
            <w:gridSpan w:val="2"/>
          </w:tcPr>
          <w:p w14:paraId="183DA313" w14:textId="77777777" w:rsidR="006369E6" w:rsidRDefault="006B5592">
            <w:pPr>
              <w:pStyle w:val="TableParagraph"/>
              <w:rPr>
                <w:sz w:val="11"/>
              </w:rPr>
            </w:pPr>
            <w:r>
              <w:rPr>
                <w:sz w:val="11"/>
              </w:rPr>
              <w:t>(a) The Provider shall include a copy of the Complaint in its notice to the Registry Operator.</w:t>
            </w:r>
          </w:p>
        </w:tc>
        <w:tc>
          <w:tcPr>
            <w:tcW w:w="3413" w:type="dxa"/>
          </w:tcPr>
          <w:p w14:paraId="0FA5C4E1" w14:textId="77777777" w:rsidR="006369E6" w:rsidRDefault="006369E6"/>
        </w:tc>
        <w:tc>
          <w:tcPr>
            <w:tcW w:w="3413" w:type="dxa"/>
          </w:tcPr>
          <w:p w14:paraId="657EAF52" w14:textId="77777777" w:rsidR="006369E6" w:rsidRDefault="006369E6"/>
        </w:tc>
        <w:tc>
          <w:tcPr>
            <w:tcW w:w="3413" w:type="dxa"/>
          </w:tcPr>
          <w:p w14:paraId="4818D6D9" w14:textId="77777777" w:rsidR="006369E6" w:rsidRDefault="006369E6"/>
        </w:tc>
      </w:tr>
      <w:tr w:rsidR="006369E6" w14:paraId="386BC097" w14:textId="77777777">
        <w:trPr>
          <w:trHeight w:hRule="exact" w:val="553"/>
        </w:trPr>
        <w:tc>
          <w:tcPr>
            <w:tcW w:w="3592" w:type="dxa"/>
            <w:gridSpan w:val="2"/>
          </w:tcPr>
          <w:p w14:paraId="5175AB45" w14:textId="77777777" w:rsidR="006369E6" w:rsidRDefault="006B5592">
            <w:pPr>
              <w:pStyle w:val="TableParagraph"/>
              <w:ind w:right="75"/>
              <w:rPr>
                <w:sz w:val="11"/>
              </w:rPr>
            </w:pPr>
            <w:r>
              <w:rPr>
                <w:sz w:val="11"/>
              </w:rPr>
              <w:t>(b) The Notice of Complaint to the Respondent shall be transmitted in English and shall be translated by the Provider into the predominant language used in the registrant’s country or territory, as determined by the country(ies) listed in the Whois record when the Complaint is filed.</w:t>
            </w:r>
          </w:p>
        </w:tc>
        <w:tc>
          <w:tcPr>
            <w:tcW w:w="3413" w:type="dxa"/>
          </w:tcPr>
          <w:p w14:paraId="2A384C03" w14:textId="77777777" w:rsidR="006369E6" w:rsidRDefault="006B5592">
            <w:pPr>
              <w:pStyle w:val="TableParagraph"/>
              <w:ind w:right="315"/>
              <w:rPr>
                <w:sz w:val="11"/>
              </w:rPr>
            </w:pPr>
            <w:r>
              <w:rPr>
                <w:sz w:val="11"/>
              </w:rPr>
              <w:t>* Are Providers checking WHOIS info in order to determine the language to be used to transmit the Notice of Complaint?</w:t>
            </w:r>
          </w:p>
        </w:tc>
        <w:tc>
          <w:tcPr>
            <w:tcW w:w="3413" w:type="dxa"/>
          </w:tcPr>
          <w:p w14:paraId="4CC8CFAD" w14:textId="77777777" w:rsidR="006369E6" w:rsidRDefault="006B5592">
            <w:pPr>
              <w:pStyle w:val="TableParagraph"/>
              <w:rPr>
                <w:sz w:val="11"/>
              </w:rPr>
            </w:pPr>
            <w:r>
              <w:rPr>
                <w:sz w:val="11"/>
              </w:rPr>
              <w:t>Language question is covered in Rule 9</w:t>
            </w:r>
          </w:p>
        </w:tc>
        <w:tc>
          <w:tcPr>
            <w:tcW w:w="3413" w:type="dxa"/>
          </w:tcPr>
          <w:p w14:paraId="4ED40FB7" w14:textId="77777777" w:rsidR="006369E6" w:rsidRDefault="006369E6"/>
        </w:tc>
      </w:tr>
      <w:tr w:rsidR="006369E6" w14:paraId="6BAA17D7" w14:textId="77777777">
        <w:trPr>
          <w:trHeight w:hRule="exact" w:val="426"/>
        </w:trPr>
        <w:tc>
          <w:tcPr>
            <w:tcW w:w="3592" w:type="dxa"/>
            <w:gridSpan w:val="2"/>
          </w:tcPr>
          <w:p w14:paraId="18C823EB" w14:textId="77777777" w:rsidR="006369E6" w:rsidRDefault="006B5592">
            <w:pPr>
              <w:pStyle w:val="TableParagraph"/>
              <w:ind w:right="114"/>
              <w:jc w:val="both"/>
              <w:rPr>
                <w:sz w:val="11"/>
              </w:rPr>
            </w:pPr>
            <w:r>
              <w:rPr>
                <w:sz w:val="11"/>
              </w:rPr>
              <w:t>(c) The electronic copy of the Notice of Complaint may be provided via email or an emailed link to an online platform requiring users to create an account.</w:t>
            </w:r>
          </w:p>
        </w:tc>
        <w:tc>
          <w:tcPr>
            <w:tcW w:w="3413" w:type="dxa"/>
          </w:tcPr>
          <w:p w14:paraId="5116B7A6" w14:textId="77777777" w:rsidR="006369E6" w:rsidRDefault="006B5592">
            <w:pPr>
              <w:pStyle w:val="TableParagraph"/>
              <w:rPr>
                <w:sz w:val="11"/>
              </w:rPr>
            </w:pPr>
            <w:r>
              <w:rPr>
                <w:sz w:val="11"/>
              </w:rPr>
              <w:t>* Are Providers following this provision of rules?</w:t>
            </w:r>
          </w:p>
        </w:tc>
        <w:tc>
          <w:tcPr>
            <w:tcW w:w="3413" w:type="dxa"/>
          </w:tcPr>
          <w:p w14:paraId="6F904DDE" w14:textId="77777777" w:rsidR="006369E6" w:rsidRDefault="006369E6"/>
        </w:tc>
        <w:tc>
          <w:tcPr>
            <w:tcW w:w="3413" w:type="dxa"/>
          </w:tcPr>
          <w:p w14:paraId="0E083370" w14:textId="77777777" w:rsidR="006369E6" w:rsidRDefault="006369E6"/>
        </w:tc>
      </w:tr>
      <w:tr w:rsidR="006369E6" w14:paraId="74E734D2" w14:textId="77777777">
        <w:trPr>
          <w:trHeight w:hRule="exact" w:val="179"/>
        </w:trPr>
        <w:tc>
          <w:tcPr>
            <w:tcW w:w="13833" w:type="dxa"/>
            <w:gridSpan w:val="5"/>
            <w:shd w:val="clear" w:color="auto" w:fill="F3F3F3"/>
          </w:tcPr>
          <w:p w14:paraId="7761903C" w14:textId="77777777" w:rsidR="006369E6" w:rsidRDefault="006B5592">
            <w:pPr>
              <w:pStyle w:val="TableParagraph"/>
              <w:rPr>
                <w:b/>
                <w:sz w:val="11"/>
              </w:rPr>
            </w:pPr>
            <w:r>
              <w:rPr>
                <w:b/>
                <w:sz w:val="11"/>
              </w:rPr>
              <w:t>5. The Response</w:t>
            </w:r>
          </w:p>
        </w:tc>
      </w:tr>
      <w:tr w:rsidR="006369E6" w14:paraId="7C7C8202" w14:textId="77777777">
        <w:trPr>
          <w:trHeight w:hRule="exact" w:val="179"/>
        </w:trPr>
        <w:tc>
          <w:tcPr>
            <w:tcW w:w="3592" w:type="dxa"/>
            <w:gridSpan w:val="2"/>
          </w:tcPr>
          <w:p w14:paraId="64E25333" w14:textId="77777777" w:rsidR="006369E6" w:rsidRDefault="006B5592">
            <w:pPr>
              <w:pStyle w:val="TableParagraph"/>
              <w:rPr>
                <w:sz w:val="11"/>
              </w:rPr>
            </w:pPr>
            <w:r>
              <w:rPr>
                <w:sz w:val="11"/>
              </w:rPr>
              <w:t>(a) The Response shall:</w:t>
            </w:r>
          </w:p>
        </w:tc>
        <w:tc>
          <w:tcPr>
            <w:tcW w:w="3413" w:type="dxa"/>
          </w:tcPr>
          <w:p w14:paraId="599EAF8E" w14:textId="77777777" w:rsidR="006369E6" w:rsidRDefault="006369E6"/>
        </w:tc>
        <w:tc>
          <w:tcPr>
            <w:tcW w:w="3413" w:type="dxa"/>
          </w:tcPr>
          <w:p w14:paraId="37C1C73C" w14:textId="77777777" w:rsidR="006369E6" w:rsidRDefault="006369E6"/>
        </w:tc>
        <w:tc>
          <w:tcPr>
            <w:tcW w:w="3413" w:type="dxa"/>
          </w:tcPr>
          <w:p w14:paraId="20050AD0" w14:textId="77777777" w:rsidR="006369E6" w:rsidRDefault="006369E6"/>
        </w:tc>
      </w:tr>
      <w:tr w:rsidR="006369E6" w14:paraId="45B45B99" w14:textId="77777777">
        <w:trPr>
          <w:trHeight w:hRule="exact" w:val="426"/>
        </w:trPr>
        <w:tc>
          <w:tcPr>
            <w:tcW w:w="179" w:type="dxa"/>
            <w:vMerge w:val="restart"/>
          </w:tcPr>
          <w:p w14:paraId="4F948C9F" w14:textId="77777777" w:rsidR="006369E6" w:rsidRDefault="006369E6"/>
        </w:tc>
        <w:tc>
          <w:tcPr>
            <w:tcW w:w="3413" w:type="dxa"/>
          </w:tcPr>
          <w:p w14:paraId="10E3A062" w14:textId="77777777" w:rsidR="006369E6" w:rsidRDefault="006B5592">
            <w:pPr>
              <w:pStyle w:val="TableParagraph"/>
              <w:rPr>
                <w:sz w:val="11"/>
              </w:rPr>
            </w:pPr>
            <w:r>
              <w:rPr>
                <w:sz w:val="11"/>
              </w:rPr>
              <w:t>(i) Provide the name, postal and email addresses, and the telephone and telefax numbers of the Respondent and of any representative authorized to act for the Respondent in the URS proceeding;</w:t>
            </w:r>
          </w:p>
        </w:tc>
        <w:tc>
          <w:tcPr>
            <w:tcW w:w="3413" w:type="dxa"/>
          </w:tcPr>
          <w:p w14:paraId="078C834E" w14:textId="77777777" w:rsidR="006369E6" w:rsidRDefault="006369E6"/>
        </w:tc>
        <w:tc>
          <w:tcPr>
            <w:tcW w:w="3413" w:type="dxa"/>
          </w:tcPr>
          <w:p w14:paraId="3496078D" w14:textId="77777777" w:rsidR="006369E6" w:rsidRDefault="006369E6"/>
        </w:tc>
        <w:tc>
          <w:tcPr>
            <w:tcW w:w="3413" w:type="dxa"/>
          </w:tcPr>
          <w:p w14:paraId="7AAC793F" w14:textId="77777777" w:rsidR="006369E6" w:rsidRDefault="006369E6"/>
        </w:tc>
      </w:tr>
      <w:tr w:rsidR="006369E6" w14:paraId="6463DDD9" w14:textId="77777777">
        <w:trPr>
          <w:trHeight w:hRule="exact" w:val="426"/>
        </w:trPr>
        <w:tc>
          <w:tcPr>
            <w:tcW w:w="179" w:type="dxa"/>
            <w:vMerge/>
          </w:tcPr>
          <w:p w14:paraId="332AE435" w14:textId="77777777" w:rsidR="006369E6" w:rsidRDefault="006369E6"/>
        </w:tc>
        <w:tc>
          <w:tcPr>
            <w:tcW w:w="3413" w:type="dxa"/>
          </w:tcPr>
          <w:p w14:paraId="0F81A71D" w14:textId="77777777" w:rsidR="006369E6" w:rsidRDefault="006B5592">
            <w:pPr>
              <w:pStyle w:val="TableParagraph"/>
              <w:rPr>
                <w:sz w:val="11"/>
              </w:rPr>
            </w:pPr>
            <w:r>
              <w:rPr>
                <w:sz w:val="11"/>
              </w:rPr>
              <w:t>(ii) Respond specifically to each of the grounds upon which the Complaint is based and include any defense which contradicts the Complainant’s claims;</w:t>
            </w:r>
          </w:p>
        </w:tc>
        <w:tc>
          <w:tcPr>
            <w:tcW w:w="3413" w:type="dxa"/>
          </w:tcPr>
          <w:p w14:paraId="7BF4BF8D" w14:textId="77777777" w:rsidR="006369E6" w:rsidRDefault="006369E6"/>
        </w:tc>
        <w:tc>
          <w:tcPr>
            <w:tcW w:w="3413" w:type="dxa"/>
          </w:tcPr>
          <w:p w14:paraId="77657104" w14:textId="77777777" w:rsidR="006369E6" w:rsidRDefault="006369E6"/>
        </w:tc>
        <w:tc>
          <w:tcPr>
            <w:tcW w:w="3413" w:type="dxa"/>
          </w:tcPr>
          <w:p w14:paraId="09AD9CC5" w14:textId="77777777" w:rsidR="006369E6" w:rsidRDefault="006369E6"/>
        </w:tc>
      </w:tr>
      <w:tr w:rsidR="006369E6" w14:paraId="3E9C47A4" w14:textId="77777777">
        <w:trPr>
          <w:trHeight w:hRule="exact" w:val="426"/>
        </w:trPr>
        <w:tc>
          <w:tcPr>
            <w:tcW w:w="179" w:type="dxa"/>
            <w:vMerge/>
          </w:tcPr>
          <w:p w14:paraId="6642B515" w14:textId="77777777" w:rsidR="006369E6" w:rsidRDefault="006369E6"/>
        </w:tc>
        <w:tc>
          <w:tcPr>
            <w:tcW w:w="3413" w:type="dxa"/>
          </w:tcPr>
          <w:p w14:paraId="2829CC02" w14:textId="77777777" w:rsidR="006369E6" w:rsidRDefault="006B5592">
            <w:pPr>
              <w:pStyle w:val="TableParagraph"/>
              <w:ind w:right="45"/>
              <w:rPr>
                <w:sz w:val="11"/>
              </w:rPr>
            </w:pPr>
            <w:r>
              <w:rPr>
                <w:sz w:val="11"/>
              </w:rPr>
              <w:t>(iii) Respondent may request a finding that the Complaint was brought in abuse of the proceedings per URS Procedure Paragraph (s) 11.2 and/or 11.3;</w:t>
            </w:r>
          </w:p>
        </w:tc>
        <w:tc>
          <w:tcPr>
            <w:tcW w:w="3413" w:type="dxa"/>
          </w:tcPr>
          <w:p w14:paraId="66843959" w14:textId="77777777" w:rsidR="006369E6" w:rsidRDefault="006B5592">
            <w:pPr>
              <w:pStyle w:val="TableParagraph"/>
              <w:ind w:right="6"/>
              <w:rPr>
                <w:sz w:val="11"/>
              </w:rPr>
            </w:pPr>
            <w:r>
              <w:rPr>
                <w:sz w:val="11"/>
              </w:rPr>
              <w:t>* Have Providers gotten Responses alleging any abusive complaint? If so, how did Providers act in those cases?</w:t>
            </w:r>
          </w:p>
        </w:tc>
        <w:tc>
          <w:tcPr>
            <w:tcW w:w="3413" w:type="dxa"/>
          </w:tcPr>
          <w:p w14:paraId="7998F640" w14:textId="77777777" w:rsidR="006369E6" w:rsidRDefault="006369E6"/>
        </w:tc>
        <w:tc>
          <w:tcPr>
            <w:tcW w:w="3413" w:type="dxa"/>
          </w:tcPr>
          <w:p w14:paraId="7C2BFD2B" w14:textId="77777777" w:rsidR="006369E6" w:rsidRDefault="006369E6"/>
        </w:tc>
      </w:tr>
      <w:tr w:rsidR="006369E6" w14:paraId="4986CBCD" w14:textId="77777777">
        <w:trPr>
          <w:trHeight w:hRule="exact" w:val="936"/>
        </w:trPr>
        <w:tc>
          <w:tcPr>
            <w:tcW w:w="179" w:type="dxa"/>
            <w:vMerge/>
          </w:tcPr>
          <w:p w14:paraId="0C754383" w14:textId="77777777" w:rsidR="006369E6" w:rsidRDefault="006369E6"/>
        </w:tc>
        <w:tc>
          <w:tcPr>
            <w:tcW w:w="3413" w:type="dxa"/>
          </w:tcPr>
          <w:p w14:paraId="09AB9F68" w14:textId="77777777" w:rsidR="006369E6" w:rsidRDefault="006B5592">
            <w:pPr>
              <w:pStyle w:val="TableParagraph"/>
              <w:rPr>
                <w:sz w:val="11"/>
              </w:rPr>
            </w:pPr>
            <w:r>
              <w:rPr>
                <w:sz w:val="11"/>
              </w:rPr>
              <w:t>(iv) Identify any other legal proceedings that have been commenced or terminated in connection with or relating to any of the domain name(s) that are the subject of the Complaint;</w:t>
            </w:r>
          </w:p>
        </w:tc>
        <w:tc>
          <w:tcPr>
            <w:tcW w:w="3413" w:type="dxa"/>
          </w:tcPr>
          <w:p w14:paraId="180F0FB5" w14:textId="77777777" w:rsidR="006369E6" w:rsidRDefault="006369E6"/>
        </w:tc>
        <w:tc>
          <w:tcPr>
            <w:tcW w:w="3413" w:type="dxa"/>
          </w:tcPr>
          <w:p w14:paraId="14DA4BB4" w14:textId="77777777" w:rsidR="006369E6" w:rsidRDefault="006B5592">
            <w:pPr>
              <w:pStyle w:val="TableParagraph"/>
              <w:numPr>
                <w:ilvl w:val="0"/>
                <w:numId w:val="14"/>
              </w:numPr>
              <w:tabs>
                <w:tab w:val="left" w:pos="94"/>
              </w:tabs>
              <w:ind w:right="119" w:firstLine="0"/>
              <w:rPr>
                <w:sz w:val="11"/>
              </w:rPr>
            </w:pPr>
            <w:r>
              <w:rPr>
                <w:sz w:val="11"/>
              </w:rPr>
              <w:t>The terminology used in this provision needs to be modified to be consistent. Not clear what does legal proceedings</w:t>
            </w:r>
            <w:r>
              <w:rPr>
                <w:spacing w:val="15"/>
                <w:sz w:val="11"/>
              </w:rPr>
              <w:t xml:space="preserve"> </w:t>
            </w:r>
            <w:r>
              <w:rPr>
                <w:sz w:val="11"/>
              </w:rPr>
              <w:t>encompass.</w:t>
            </w:r>
          </w:p>
          <w:p w14:paraId="1596EDAB" w14:textId="77777777" w:rsidR="006369E6" w:rsidRDefault="006B5592">
            <w:pPr>
              <w:pStyle w:val="TableParagraph"/>
              <w:numPr>
                <w:ilvl w:val="0"/>
                <w:numId w:val="14"/>
              </w:numPr>
              <w:tabs>
                <w:tab w:val="left" w:pos="94"/>
              </w:tabs>
              <w:spacing w:before="0"/>
              <w:ind w:right="1041" w:firstLine="0"/>
              <w:rPr>
                <w:sz w:val="11"/>
              </w:rPr>
            </w:pPr>
            <w:r>
              <w:rPr>
                <w:sz w:val="11"/>
              </w:rPr>
              <w:t>Possible Recommendation: Standardization of language/terminology used in the URS</w:t>
            </w:r>
            <w:r>
              <w:rPr>
                <w:spacing w:val="11"/>
                <w:sz w:val="11"/>
              </w:rPr>
              <w:t xml:space="preserve"> </w:t>
            </w:r>
            <w:r>
              <w:rPr>
                <w:sz w:val="11"/>
              </w:rPr>
              <w:t>Rules.</w:t>
            </w:r>
          </w:p>
          <w:p w14:paraId="5A287237" w14:textId="77777777" w:rsidR="006369E6" w:rsidRDefault="006B5592">
            <w:pPr>
              <w:pStyle w:val="TableParagraph"/>
              <w:numPr>
                <w:ilvl w:val="0"/>
                <w:numId w:val="14"/>
              </w:numPr>
              <w:tabs>
                <w:tab w:val="left" w:pos="94"/>
              </w:tabs>
              <w:spacing w:before="0"/>
              <w:ind w:right="101" w:firstLine="0"/>
              <w:rPr>
                <w:sz w:val="11"/>
              </w:rPr>
            </w:pPr>
            <w:r>
              <w:rPr>
                <w:sz w:val="11"/>
              </w:rPr>
              <w:t>We should see Providers’ forms. There may be different pieces of information required, depending on the forms. This can be done when Supplemental Rules are being</w:t>
            </w:r>
            <w:r>
              <w:rPr>
                <w:spacing w:val="11"/>
                <w:sz w:val="11"/>
              </w:rPr>
              <w:t xml:space="preserve"> </w:t>
            </w:r>
            <w:r>
              <w:rPr>
                <w:sz w:val="11"/>
              </w:rPr>
              <w:t>reviewed.</w:t>
            </w:r>
          </w:p>
        </w:tc>
        <w:tc>
          <w:tcPr>
            <w:tcW w:w="3413" w:type="dxa"/>
          </w:tcPr>
          <w:p w14:paraId="5CB2918E" w14:textId="77777777" w:rsidR="006369E6" w:rsidRDefault="006369E6"/>
        </w:tc>
      </w:tr>
      <w:tr w:rsidR="006369E6" w14:paraId="0C30240E" w14:textId="77777777">
        <w:trPr>
          <w:trHeight w:hRule="exact" w:val="2205"/>
        </w:trPr>
        <w:tc>
          <w:tcPr>
            <w:tcW w:w="179" w:type="dxa"/>
            <w:vMerge/>
          </w:tcPr>
          <w:p w14:paraId="534561CC" w14:textId="77777777" w:rsidR="006369E6" w:rsidRDefault="006369E6"/>
        </w:tc>
        <w:tc>
          <w:tcPr>
            <w:tcW w:w="3413" w:type="dxa"/>
          </w:tcPr>
          <w:p w14:paraId="27C59F49" w14:textId="77777777" w:rsidR="006369E6" w:rsidRDefault="006B5592">
            <w:pPr>
              <w:pStyle w:val="TableParagraph"/>
              <w:ind w:right="45"/>
              <w:rPr>
                <w:sz w:val="11"/>
              </w:rPr>
            </w:pPr>
            <w:r>
              <w:rPr>
                <w:sz w:val="11"/>
              </w:rPr>
              <w:t>(v) Conclude with the following statement followed by the signature (in any electronic format) of the Respondent or its authorized representative:</w:t>
            </w:r>
          </w:p>
          <w:p w14:paraId="637C74A1" w14:textId="77777777" w:rsidR="006369E6" w:rsidRDefault="006369E6">
            <w:pPr>
              <w:pStyle w:val="TableParagraph"/>
              <w:spacing w:before="0"/>
              <w:ind w:left="0"/>
              <w:rPr>
                <w:rFonts w:ascii="Times New Roman"/>
                <w:sz w:val="11"/>
              </w:rPr>
            </w:pPr>
          </w:p>
          <w:p w14:paraId="38933EC6" w14:textId="77777777" w:rsidR="006369E6" w:rsidRDefault="006B5592">
            <w:pPr>
              <w:pStyle w:val="TableParagraph"/>
              <w:spacing w:before="1"/>
              <w:ind w:right="51"/>
              <w:rPr>
                <w:sz w:val="11"/>
              </w:rPr>
            </w:pPr>
            <w:r>
              <w:rPr>
                <w:sz w:val="11"/>
              </w:rPr>
              <w:t>"Respondent agrees that its claims and remedies concerning the dispute, or the dispute resolution, shall be solely against the Complainant and waives all such claims and remedies against (a) the Provider and Examiner, except in the case of deliberate wrongdoing, (b) the Registrar, (c) the Registry Operator, and (d) the Internet Corporation for Assigned Names and Numbers, as well as their directors, officers, employees, and agents. 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r>
              <w:rPr>
                <w:spacing w:val="16"/>
                <w:sz w:val="11"/>
              </w:rPr>
              <w:t xml:space="preserve"> </w:t>
            </w:r>
            <w:r>
              <w:rPr>
                <w:sz w:val="11"/>
              </w:rPr>
              <w:t>and</w:t>
            </w:r>
          </w:p>
        </w:tc>
        <w:tc>
          <w:tcPr>
            <w:tcW w:w="3413" w:type="dxa"/>
          </w:tcPr>
          <w:p w14:paraId="03DBF632" w14:textId="77777777" w:rsidR="006369E6" w:rsidRDefault="006B5592">
            <w:pPr>
              <w:pStyle w:val="TableParagraph"/>
              <w:rPr>
                <w:sz w:val="11"/>
              </w:rPr>
            </w:pPr>
            <w:r>
              <w:rPr>
                <w:sz w:val="11"/>
              </w:rPr>
              <w:t>Is the statement included in the Providers’ forms?</w:t>
            </w:r>
          </w:p>
        </w:tc>
        <w:tc>
          <w:tcPr>
            <w:tcW w:w="3413" w:type="dxa"/>
          </w:tcPr>
          <w:p w14:paraId="28807B7C" w14:textId="77777777" w:rsidR="006369E6" w:rsidRDefault="006369E6"/>
        </w:tc>
        <w:tc>
          <w:tcPr>
            <w:tcW w:w="3413" w:type="dxa"/>
          </w:tcPr>
          <w:p w14:paraId="640E1B09" w14:textId="77777777" w:rsidR="006369E6" w:rsidRDefault="006369E6"/>
        </w:tc>
      </w:tr>
      <w:tr w:rsidR="006369E6" w14:paraId="127E02F4" w14:textId="77777777">
        <w:trPr>
          <w:trHeight w:hRule="exact" w:val="298"/>
        </w:trPr>
        <w:tc>
          <w:tcPr>
            <w:tcW w:w="179" w:type="dxa"/>
            <w:vMerge/>
          </w:tcPr>
          <w:p w14:paraId="2DE3E343" w14:textId="77777777" w:rsidR="006369E6" w:rsidRDefault="006369E6"/>
        </w:tc>
        <w:tc>
          <w:tcPr>
            <w:tcW w:w="3413" w:type="dxa"/>
          </w:tcPr>
          <w:p w14:paraId="1A924155" w14:textId="77777777" w:rsidR="006369E6" w:rsidRDefault="006B5592">
            <w:pPr>
              <w:pStyle w:val="TableParagraph"/>
              <w:ind w:right="339"/>
              <w:rPr>
                <w:sz w:val="11"/>
              </w:rPr>
            </w:pPr>
            <w:r>
              <w:rPr>
                <w:sz w:val="11"/>
              </w:rPr>
              <w:t>(vi) Annex any documentary or other evidence upon which the Respondent relies.</w:t>
            </w:r>
          </w:p>
        </w:tc>
        <w:tc>
          <w:tcPr>
            <w:tcW w:w="3413" w:type="dxa"/>
          </w:tcPr>
          <w:p w14:paraId="77E111FF" w14:textId="77777777" w:rsidR="006369E6" w:rsidRDefault="006369E6"/>
        </w:tc>
        <w:tc>
          <w:tcPr>
            <w:tcW w:w="3413" w:type="dxa"/>
          </w:tcPr>
          <w:p w14:paraId="107C65B7" w14:textId="77777777" w:rsidR="006369E6" w:rsidRDefault="006369E6"/>
        </w:tc>
        <w:tc>
          <w:tcPr>
            <w:tcW w:w="3413" w:type="dxa"/>
          </w:tcPr>
          <w:p w14:paraId="0F56DD8C" w14:textId="77777777" w:rsidR="006369E6" w:rsidRDefault="006369E6"/>
        </w:tc>
      </w:tr>
    </w:tbl>
    <w:p w14:paraId="0743FBDF" w14:textId="77777777" w:rsidR="006369E6" w:rsidRDefault="006369E6">
      <w:pPr>
        <w:sectPr w:rsidR="006369E6">
          <w:pgSz w:w="15840" w:h="12240" w:orient="landscape"/>
          <w:pgMar w:top="640" w:right="320" w:bottom="620" w:left="320" w:header="438" w:footer="421" w:gutter="0"/>
          <w:cols w:space="720"/>
        </w:sectPr>
      </w:pPr>
    </w:p>
    <w:p w14:paraId="56225A73" w14:textId="77777777" w:rsidR="006369E6" w:rsidRDefault="006369E6">
      <w:pPr>
        <w:pStyle w:val="BodyText"/>
        <w:rPr>
          <w:rFonts w:ascii="Times New Roman"/>
          <w:sz w:val="20"/>
        </w:rPr>
      </w:pPr>
    </w:p>
    <w:p w14:paraId="7EF4CFB5" w14:textId="77777777" w:rsidR="006369E6" w:rsidRDefault="006369E6">
      <w:pPr>
        <w:pStyle w:val="BodyText"/>
        <w:spacing w:before="1"/>
        <w:rPr>
          <w:rFonts w:ascii="Times New Roman"/>
          <w:sz w:val="16"/>
        </w:rPr>
      </w:pPr>
    </w:p>
    <w:tbl>
      <w:tblPr>
        <w:tblW w:w="0" w:type="auto"/>
        <w:tblInd w:w="67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592"/>
        <w:gridCol w:w="3413"/>
        <w:gridCol w:w="3413"/>
        <w:gridCol w:w="3415"/>
      </w:tblGrid>
      <w:tr w:rsidR="006369E6" w14:paraId="05B1A495" w14:textId="77777777">
        <w:trPr>
          <w:trHeight w:hRule="exact" w:val="179"/>
        </w:trPr>
        <w:tc>
          <w:tcPr>
            <w:tcW w:w="3592" w:type="dxa"/>
            <w:shd w:val="clear" w:color="auto" w:fill="CEE1F3"/>
          </w:tcPr>
          <w:p w14:paraId="10D13C1B" w14:textId="77777777" w:rsidR="006369E6" w:rsidRDefault="006B5592">
            <w:pPr>
              <w:pStyle w:val="TableParagraph"/>
              <w:rPr>
                <w:b/>
                <w:sz w:val="11"/>
              </w:rPr>
            </w:pPr>
            <w:r>
              <w:rPr>
                <w:b/>
                <w:sz w:val="11"/>
              </w:rPr>
              <w:t>URS Rules</w:t>
            </w:r>
          </w:p>
        </w:tc>
        <w:tc>
          <w:tcPr>
            <w:tcW w:w="3413" w:type="dxa"/>
            <w:shd w:val="clear" w:color="auto" w:fill="CEE1F3"/>
          </w:tcPr>
          <w:p w14:paraId="45FB9A45" w14:textId="77777777" w:rsidR="006369E6" w:rsidRDefault="006B5592">
            <w:pPr>
              <w:pStyle w:val="TableParagraph"/>
              <w:rPr>
                <w:b/>
                <w:sz w:val="11"/>
              </w:rPr>
            </w:pPr>
            <w:r>
              <w:rPr>
                <w:b/>
                <w:sz w:val="11"/>
              </w:rPr>
              <w:t>Proposed Questions</w:t>
            </w:r>
          </w:p>
        </w:tc>
        <w:tc>
          <w:tcPr>
            <w:tcW w:w="3413" w:type="dxa"/>
            <w:shd w:val="clear" w:color="auto" w:fill="CEE1F3"/>
          </w:tcPr>
          <w:p w14:paraId="605A2753" w14:textId="77777777" w:rsidR="006369E6" w:rsidRDefault="006B5592">
            <w:pPr>
              <w:pStyle w:val="TableParagraph"/>
              <w:rPr>
                <w:b/>
                <w:sz w:val="11"/>
              </w:rPr>
            </w:pPr>
            <w:r>
              <w:rPr>
                <w:b/>
                <w:sz w:val="11"/>
              </w:rPr>
              <w:t>Additional Notes</w:t>
            </w:r>
          </w:p>
        </w:tc>
        <w:tc>
          <w:tcPr>
            <w:tcW w:w="3413" w:type="dxa"/>
            <w:shd w:val="clear" w:color="auto" w:fill="CEE1F3"/>
          </w:tcPr>
          <w:p w14:paraId="7DA38852" w14:textId="77777777" w:rsidR="006369E6" w:rsidRDefault="006B5592">
            <w:pPr>
              <w:pStyle w:val="TableParagraph"/>
              <w:rPr>
                <w:b/>
                <w:sz w:val="11"/>
              </w:rPr>
            </w:pPr>
            <w:r>
              <w:rPr>
                <w:b/>
                <w:sz w:val="11"/>
              </w:rPr>
              <w:t>Findings</w:t>
            </w:r>
          </w:p>
        </w:tc>
      </w:tr>
      <w:tr w:rsidR="006369E6" w14:paraId="587B4028" w14:textId="77777777">
        <w:trPr>
          <w:trHeight w:hRule="exact" w:val="681"/>
        </w:trPr>
        <w:tc>
          <w:tcPr>
            <w:tcW w:w="3592" w:type="dxa"/>
          </w:tcPr>
          <w:p w14:paraId="0B03A619" w14:textId="77777777" w:rsidR="006369E6" w:rsidRDefault="006B5592">
            <w:pPr>
              <w:pStyle w:val="TableParagraph"/>
              <w:ind w:right="64"/>
              <w:rPr>
                <w:sz w:val="11"/>
              </w:rPr>
            </w:pPr>
            <w:r>
              <w:rPr>
                <w:sz w:val="11"/>
              </w:rPr>
              <w:t>(e) At the request of the Respondent, the Provider may, in exceptional cases, extend the period of time for the filing of the response. The period may also be extended by written stipulation between the Parties, provided the stipulation is approved by the Provider. Requests for an extension of time shall comply with the Provider’s Supplemental Rules.</w:t>
            </w:r>
          </w:p>
        </w:tc>
        <w:tc>
          <w:tcPr>
            <w:tcW w:w="3413" w:type="dxa"/>
          </w:tcPr>
          <w:p w14:paraId="2607C8E0" w14:textId="77777777" w:rsidR="006369E6" w:rsidRDefault="006B5592">
            <w:pPr>
              <w:pStyle w:val="TableParagraph"/>
              <w:numPr>
                <w:ilvl w:val="0"/>
                <w:numId w:val="13"/>
              </w:numPr>
              <w:tabs>
                <w:tab w:val="left" w:pos="100"/>
              </w:tabs>
              <w:rPr>
                <w:sz w:val="11"/>
              </w:rPr>
            </w:pPr>
            <w:r>
              <w:rPr>
                <w:sz w:val="11"/>
              </w:rPr>
              <w:t>How often has the Respondent asked for an</w:t>
            </w:r>
            <w:r>
              <w:rPr>
                <w:spacing w:val="13"/>
                <w:sz w:val="11"/>
              </w:rPr>
              <w:t xml:space="preserve"> </w:t>
            </w:r>
            <w:r>
              <w:rPr>
                <w:sz w:val="11"/>
              </w:rPr>
              <w:t>extension?</w:t>
            </w:r>
          </w:p>
          <w:p w14:paraId="13B21145" w14:textId="77777777" w:rsidR="006369E6" w:rsidRDefault="006B5592">
            <w:pPr>
              <w:pStyle w:val="TableParagraph"/>
              <w:numPr>
                <w:ilvl w:val="0"/>
                <w:numId w:val="13"/>
              </w:numPr>
              <w:tabs>
                <w:tab w:val="left" w:pos="100"/>
              </w:tabs>
              <w:spacing w:before="0"/>
              <w:rPr>
                <w:sz w:val="11"/>
              </w:rPr>
            </w:pPr>
            <w:r>
              <w:rPr>
                <w:sz w:val="11"/>
              </w:rPr>
              <w:t>How often has the Complaint asked for an</w:t>
            </w:r>
            <w:r>
              <w:rPr>
                <w:spacing w:val="13"/>
                <w:sz w:val="11"/>
              </w:rPr>
              <w:t xml:space="preserve"> </w:t>
            </w:r>
            <w:r>
              <w:rPr>
                <w:sz w:val="11"/>
              </w:rPr>
              <w:t>extension?</w:t>
            </w:r>
          </w:p>
          <w:p w14:paraId="314D3A04" w14:textId="77777777" w:rsidR="006369E6" w:rsidRDefault="006B5592">
            <w:pPr>
              <w:pStyle w:val="TableParagraph"/>
              <w:numPr>
                <w:ilvl w:val="0"/>
                <w:numId w:val="13"/>
              </w:numPr>
              <w:tabs>
                <w:tab w:val="left" w:pos="100"/>
              </w:tabs>
              <w:spacing w:before="0"/>
              <w:rPr>
                <w:sz w:val="11"/>
              </w:rPr>
            </w:pPr>
            <w:r>
              <w:rPr>
                <w:sz w:val="11"/>
              </w:rPr>
              <w:t>What is considered "exceptional</w:t>
            </w:r>
            <w:r>
              <w:rPr>
                <w:spacing w:val="10"/>
                <w:sz w:val="11"/>
              </w:rPr>
              <w:t xml:space="preserve"> </w:t>
            </w:r>
            <w:r>
              <w:rPr>
                <w:sz w:val="11"/>
              </w:rPr>
              <w:t>cases"?</w:t>
            </w:r>
          </w:p>
        </w:tc>
        <w:tc>
          <w:tcPr>
            <w:tcW w:w="3413" w:type="dxa"/>
          </w:tcPr>
          <w:p w14:paraId="7AB77CE6" w14:textId="77777777" w:rsidR="006369E6" w:rsidRDefault="006B5592">
            <w:pPr>
              <w:pStyle w:val="TableParagraph"/>
              <w:ind w:right="45"/>
              <w:rPr>
                <w:sz w:val="11"/>
              </w:rPr>
            </w:pPr>
            <w:r>
              <w:rPr>
                <w:sz w:val="11"/>
              </w:rPr>
              <w:t>- Sub Team should review how Providers handle this provision in their Supplemental Rules.</w:t>
            </w:r>
          </w:p>
        </w:tc>
        <w:tc>
          <w:tcPr>
            <w:tcW w:w="3413" w:type="dxa"/>
          </w:tcPr>
          <w:p w14:paraId="6C3F6E66" w14:textId="77777777" w:rsidR="006369E6" w:rsidRDefault="006369E6"/>
        </w:tc>
      </w:tr>
      <w:tr w:rsidR="006369E6" w14:paraId="7634D738" w14:textId="77777777">
        <w:trPr>
          <w:trHeight w:hRule="exact" w:val="426"/>
        </w:trPr>
        <w:tc>
          <w:tcPr>
            <w:tcW w:w="3592" w:type="dxa"/>
          </w:tcPr>
          <w:p w14:paraId="0B59172D" w14:textId="77777777" w:rsidR="006369E6" w:rsidRDefault="006B5592">
            <w:pPr>
              <w:pStyle w:val="TableParagraph"/>
              <w:rPr>
                <w:sz w:val="11"/>
              </w:rPr>
            </w:pPr>
            <w:r>
              <w:rPr>
                <w:sz w:val="11"/>
              </w:rPr>
              <w:t>(f) No affirmative claims for relief by the Respondent will be permitted except for an allegation that the Complainant has filed an abusive Complaint.</w:t>
            </w:r>
          </w:p>
        </w:tc>
        <w:tc>
          <w:tcPr>
            <w:tcW w:w="3413" w:type="dxa"/>
          </w:tcPr>
          <w:p w14:paraId="73DAC840" w14:textId="77777777" w:rsidR="006369E6" w:rsidRDefault="006B5592">
            <w:pPr>
              <w:pStyle w:val="TableParagraph"/>
              <w:rPr>
                <w:sz w:val="11"/>
              </w:rPr>
            </w:pPr>
            <w:r>
              <w:rPr>
                <w:sz w:val="11"/>
              </w:rPr>
              <w:t>* Has the Provider ever received affirmative claims for relief by the Respondent for reasons beyond an abusive complaint?</w:t>
            </w:r>
          </w:p>
        </w:tc>
        <w:tc>
          <w:tcPr>
            <w:tcW w:w="3413" w:type="dxa"/>
          </w:tcPr>
          <w:p w14:paraId="2B413437" w14:textId="77777777" w:rsidR="006369E6" w:rsidRDefault="006369E6"/>
        </w:tc>
        <w:tc>
          <w:tcPr>
            <w:tcW w:w="3413" w:type="dxa"/>
          </w:tcPr>
          <w:p w14:paraId="7F7CEA48" w14:textId="77777777" w:rsidR="006369E6" w:rsidRDefault="006369E6"/>
        </w:tc>
      </w:tr>
      <w:tr w:rsidR="006369E6" w14:paraId="5A10EBD0" w14:textId="77777777">
        <w:trPr>
          <w:trHeight w:hRule="exact" w:val="553"/>
        </w:trPr>
        <w:tc>
          <w:tcPr>
            <w:tcW w:w="3592" w:type="dxa"/>
          </w:tcPr>
          <w:p w14:paraId="64318457" w14:textId="77777777" w:rsidR="006369E6" w:rsidRDefault="006B5592">
            <w:pPr>
              <w:pStyle w:val="TableParagraph"/>
              <w:ind w:right="75"/>
              <w:rPr>
                <w:sz w:val="11"/>
              </w:rPr>
            </w:pPr>
            <w:r>
              <w:rPr>
                <w:sz w:val="11"/>
              </w:rPr>
              <w:t>(g) The Provider’s compliance check for a Response shall at least consist of: (1) ascertaining the Response has been filed in a language acceptable under the Rules for that case; and (2) checking for payment of required fees.</w:t>
            </w:r>
          </w:p>
        </w:tc>
        <w:tc>
          <w:tcPr>
            <w:tcW w:w="3413" w:type="dxa"/>
          </w:tcPr>
          <w:p w14:paraId="5AAEE754" w14:textId="77777777" w:rsidR="006369E6" w:rsidRDefault="006B5592">
            <w:pPr>
              <w:pStyle w:val="TableParagraph"/>
              <w:rPr>
                <w:sz w:val="11"/>
              </w:rPr>
            </w:pPr>
            <w:r>
              <w:rPr>
                <w:sz w:val="11"/>
              </w:rPr>
              <w:t>* Has the Provider conducted a compliance check for a Respondent for factors beyond the two items stated in the provision?</w:t>
            </w:r>
          </w:p>
        </w:tc>
        <w:tc>
          <w:tcPr>
            <w:tcW w:w="3413" w:type="dxa"/>
          </w:tcPr>
          <w:p w14:paraId="02ED66AC" w14:textId="77777777" w:rsidR="006369E6" w:rsidRDefault="006369E6"/>
        </w:tc>
        <w:tc>
          <w:tcPr>
            <w:tcW w:w="3413" w:type="dxa"/>
          </w:tcPr>
          <w:p w14:paraId="68889033" w14:textId="77777777" w:rsidR="006369E6" w:rsidRDefault="006369E6"/>
        </w:tc>
      </w:tr>
      <w:tr w:rsidR="006369E6" w14:paraId="503B068A" w14:textId="77777777">
        <w:trPr>
          <w:trHeight w:hRule="exact" w:val="553"/>
        </w:trPr>
        <w:tc>
          <w:tcPr>
            <w:tcW w:w="3592" w:type="dxa"/>
          </w:tcPr>
          <w:p w14:paraId="563381FF" w14:textId="77777777" w:rsidR="006369E6" w:rsidRDefault="006B5592">
            <w:pPr>
              <w:pStyle w:val="TableParagraph"/>
              <w:ind w:right="40"/>
              <w:rPr>
                <w:sz w:val="11"/>
              </w:rPr>
            </w:pPr>
            <w:r>
              <w:rPr>
                <w:sz w:val="11"/>
              </w:rPr>
              <w:t>(h) The Response must be accompanied by payment of the Response fee or Reexamination fee, as appropriate in relevant cases. If a required fee is not paid within one (1) Business Day, the Response will not be considered and the case may proceed as a Default.</w:t>
            </w:r>
          </w:p>
        </w:tc>
        <w:tc>
          <w:tcPr>
            <w:tcW w:w="3413" w:type="dxa"/>
          </w:tcPr>
          <w:p w14:paraId="110F0202" w14:textId="77777777" w:rsidR="006369E6" w:rsidRDefault="006369E6"/>
        </w:tc>
        <w:tc>
          <w:tcPr>
            <w:tcW w:w="3413" w:type="dxa"/>
          </w:tcPr>
          <w:p w14:paraId="07CCCF90" w14:textId="77777777" w:rsidR="006369E6" w:rsidRDefault="006369E6"/>
        </w:tc>
        <w:tc>
          <w:tcPr>
            <w:tcW w:w="3413" w:type="dxa"/>
          </w:tcPr>
          <w:p w14:paraId="574369B4" w14:textId="77777777" w:rsidR="006369E6" w:rsidRDefault="006369E6"/>
        </w:tc>
      </w:tr>
      <w:tr w:rsidR="006369E6" w14:paraId="68120399" w14:textId="77777777">
        <w:trPr>
          <w:trHeight w:hRule="exact" w:val="809"/>
        </w:trPr>
        <w:tc>
          <w:tcPr>
            <w:tcW w:w="3592" w:type="dxa"/>
          </w:tcPr>
          <w:p w14:paraId="0376C869" w14:textId="77777777" w:rsidR="006369E6" w:rsidRDefault="006B5592">
            <w:pPr>
              <w:pStyle w:val="TableParagraph"/>
              <w:rPr>
                <w:sz w:val="11"/>
              </w:rPr>
            </w:pPr>
            <w:r>
              <w:rPr>
                <w:sz w:val="11"/>
              </w:rPr>
              <w:t>(i) If the Response is determined to be non-compliant for reasons other than non-payment, the Examiner is permitted to make any reasonable inferences from the inadequacy of the Response.</w:t>
            </w:r>
          </w:p>
        </w:tc>
        <w:tc>
          <w:tcPr>
            <w:tcW w:w="3413" w:type="dxa"/>
          </w:tcPr>
          <w:p w14:paraId="7EF30350" w14:textId="77777777" w:rsidR="006369E6" w:rsidRDefault="006B5592">
            <w:pPr>
              <w:pStyle w:val="TableParagraph"/>
              <w:numPr>
                <w:ilvl w:val="0"/>
                <w:numId w:val="12"/>
              </w:numPr>
              <w:tabs>
                <w:tab w:val="left" w:pos="100"/>
              </w:tabs>
              <w:ind w:firstLine="0"/>
              <w:rPr>
                <w:sz w:val="11"/>
              </w:rPr>
            </w:pPr>
            <w:r>
              <w:rPr>
                <w:sz w:val="11"/>
              </w:rPr>
              <w:t>How many Responses were determined</w:t>
            </w:r>
            <w:r>
              <w:rPr>
                <w:spacing w:val="14"/>
                <w:sz w:val="11"/>
              </w:rPr>
              <w:t xml:space="preserve"> </w:t>
            </w:r>
            <w:r>
              <w:rPr>
                <w:sz w:val="11"/>
              </w:rPr>
              <w:t>non-compliant?</w:t>
            </w:r>
          </w:p>
          <w:p w14:paraId="4BD3037B" w14:textId="77777777" w:rsidR="006369E6" w:rsidRDefault="006B5592">
            <w:pPr>
              <w:pStyle w:val="TableParagraph"/>
              <w:numPr>
                <w:ilvl w:val="0"/>
                <w:numId w:val="12"/>
              </w:numPr>
              <w:tabs>
                <w:tab w:val="left" w:pos="100"/>
              </w:tabs>
              <w:spacing w:before="0"/>
              <w:ind w:left="99"/>
              <w:rPr>
                <w:sz w:val="11"/>
              </w:rPr>
            </w:pPr>
            <w:r>
              <w:rPr>
                <w:sz w:val="11"/>
              </w:rPr>
              <w:t>How many Responses were filed but with fees not</w:t>
            </w:r>
            <w:r>
              <w:rPr>
                <w:spacing w:val="13"/>
                <w:sz w:val="11"/>
              </w:rPr>
              <w:t xml:space="preserve"> </w:t>
            </w:r>
            <w:r>
              <w:rPr>
                <w:sz w:val="11"/>
              </w:rPr>
              <w:t>paid?</w:t>
            </w:r>
          </w:p>
          <w:p w14:paraId="7939636A" w14:textId="77777777" w:rsidR="006369E6" w:rsidRDefault="006B5592">
            <w:pPr>
              <w:pStyle w:val="TableParagraph"/>
              <w:numPr>
                <w:ilvl w:val="0"/>
                <w:numId w:val="12"/>
              </w:numPr>
              <w:tabs>
                <w:tab w:val="left" w:pos="100"/>
              </w:tabs>
              <w:spacing w:before="0"/>
              <w:ind w:right="113" w:firstLine="0"/>
              <w:rPr>
                <w:sz w:val="11"/>
              </w:rPr>
            </w:pPr>
            <w:r>
              <w:rPr>
                <w:sz w:val="11"/>
              </w:rPr>
              <w:t>Can Providers identify any cases in which they determined the Responses is non-compliant for reasons other than the payment of the</w:t>
            </w:r>
            <w:r>
              <w:rPr>
                <w:spacing w:val="1"/>
                <w:sz w:val="11"/>
              </w:rPr>
              <w:t xml:space="preserve"> </w:t>
            </w:r>
            <w:r>
              <w:rPr>
                <w:sz w:val="11"/>
              </w:rPr>
              <w:t>fee?</w:t>
            </w:r>
          </w:p>
        </w:tc>
        <w:tc>
          <w:tcPr>
            <w:tcW w:w="3413" w:type="dxa"/>
          </w:tcPr>
          <w:p w14:paraId="29A7E2A1" w14:textId="77777777" w:rsidR="006369E6" w:rsidRDefault="006B5592">
            <w:pPr>
              <w:pStyle w:val="TableParagraph"/>
              <w:numPr>
                <w:ilvl w:val="0"/>
                <w:numId w:val="11"/>
              </w:numPr>
              <w:tabs>
                <w:tab w:val="left" w:pos="94"/>
              </w:tabs>
              <w:ind w:firstLine="0"/>
              <w:jc w:val="both"/>
              <w:rPr>
                <w:sz w:val="11"/>
              </w:rPr>
            </w:pPr>
            <w:r>
              <w:rPr>
                <w:sz w:val="11"/>
              </w:rPr>
              <w:t>This provision should be addressed in the Practitioners Sub</w:t>
            </w:r>
            <w:r>
              <w:rPr>
                <w:spacing w:val="16"/>
                <w:sz w:val="11"/>
              </w:rPr>
              <w:t xml:space="preserve"> </w:t>
            </w:r>
            <w:r>
              <w:rPr>
                <w:sz w:val="11"/>
              </w:rPr>
              <w:t>Team.</w:t>
            </w:r>
          </w:p>
          <w:p w14:paraId="28ADFD8D" w14:textId="77777777" w:rsidR="006369E6" w:rsidRDefault="006B5592">
            <w:pPr>
              <w:pStyle w:val="TableParagraph"/>
              <w:numPr>
                <w:ilvl w:val="0"/>
                <w:numId w:val="11"/>
              </w:numPr>
              <w:tabs>
                <w:tab w:val="left" w:pos="94"/>
              </w:tabs>
              <w:spacing w:before="0"/>
              <w:ind w:right="217" w:firstLine="0"/>
              <w:rPr>
                <w:sz w:val="11"/>
              </w:rPr>
            </w:pPr>
            <w:r>
              <w:rPr>
                <w:sz w:val="11"/>
              </w:rPr>
              <w:t>Asking these questions can give us a subset of cases to review their decisions</w:t>
            </w:r>
            <w:r>
              <w:rPr>
                <w:spacing w:val="4"/>
                <w:sz w:val="11"/>
              </w:rPr>
              <w:t xml:space="preserve"> </w:t>
            </w:r>
            <w:r>
              <w:rPr>
                <w:sz w:val="11"/>
              </w:rPr>
              <w:t>for.</w:t>
            </w:r>
          </w:p>
          <w:p w14:paraId="35E4D381" w14:textId="77777777" w:rsidR="006369E6" w:rsidRDefault="006B5592">
            <w:pPr>
              <w:pStyle w:val="TableParagraph"/>
              <w:numPr>
                <w:ilvl w:val="0"/>
                <w:numId w:val="11"/>
              </w:numPr>
              <w:tabs>
                <w:tab w:val="left" w:pos="94"/>
              </w:tabs>
              <w:spacing w:before="0"/>
              <w:ind w:right="392" w:firstLine="0"/>
              <w:jc w:val="both"/>
              <w:rPr>
                <w:sz w:val="11"/>
              </w:rPr>
            </w:pPr>
            <w:r>
              <w:rPr>
                <w:sz w:val="11"/>
              </w:rPr>
              <w:t>Respondents don't need to pay any fee unless there are 15 domain cases or more. Reexamination fee applicable for &lt;15 domains</w:t>
            </w:r>
          </w:p>
        </w:tc>
        <w:tc>
          <w:tcPr>
            <w:tcW w:w="3413" w:type="dxa"/>
          </w:tcPr>
          <w:p w14:paraId="2692C811" w14:textId="77777777" w:rsidR="006369E6" w:rsidRDefault="006369E6"/>
        </w:tc>
      </w:tr>
      <w:tr w:rsidR="006369E6" w14:paraId="338F8AB7" w14:textId="77777777">
        <w:trPr>
          <w:trHeight w:hRule="exact" w:val="426"/>
        </w:trPr>
        <w:tc>
          <w:tcPr>
            <w:tcW w:w="3592" w:type="dxa"/>
          </w:tcPr>
          <w:p w14:paraId="1620F31B" w14:textId="77777777" w:rsidR="006369E6" w:rsidRDefault="006B5592">
            <w:pPr>
              <w:pStyle w:val="TableParagraph"/>
              <w:rPr>
                <w:sz w:val="11"/>
              </w:rPr>
            </w:pPr>
            <w:r>
              <w:rPr>
                <w:sz w:val="11"/>
              </w:rPr>
              <w:t>(j) If a Respondent does not submit a response, in the absence of exceptional circumstances, the Complaint shall proceed to a Default Determination.</w:t>
            </w:r>
          </w:p>
        </w:tc>
        <w:tc>
          <w:tcPr>
            <w:tcW w:w="3413" w:type="dxa"/>
          </w:tcPr>
          <w:p w14:paraId="091B0337" w14:textId="77777777" w:rsidR="006369E6" w:rsidRDefault="006369E6"/>
        </w:tc>
        <w:tc>
          <w:tcPr>
            <w:tcW w:w="3413" w:type="dxa"/>
          </w:tcPr>
          <w:p w14:paraId="6C57157E" w14:textId="77777777" w:rsidR="006369E6" w:rsidRDefault="006369E6"/>
        </w:tc>
        <w:tc>
          <w:tcPr>
            <w:tcW w:w="3413" w:type="dxa"/>
          </w:tcPr>
          <w:p w14:paraId="63E06BAC" w14:textId="77777777" w:rsidR="006369E6" w:rsidRDefault="006369E6"/>
        </w:tc>
      </w:tr>
      <w:tr w:rsidR="006369E6" w14:paraId="2ABAFED5" w14:textId="77777777">
        <w:trPr>
          <w:trHeight w:hRule="exact" w:val="681"/>
        </w:trPr>
        <w:tc>
          <w:tcPr>
            <w:tcW w:w="3592" w:type="dxa"/>
          </w:tcPr>
          <w:p w14:paraId="24C9512B" w14:textId="77777777" w:rsidR="006369E6" w:rsidRDefault="006B5592">
            <w:pPr>
              <w:pStyle w:val="TableParagraph"/>
              <w:rPr>
                <w:sz w:val="11"/>
              </w:rPr>
            </w:pPr>
            <w:r>
              <w:rPr>
                <w:sz w:val="11"/>
              </w:rPr>
              <w:t>(k) The Provider should normally not accept a late Response submitted after the domain name registration has expired, even if submitted before the closing date of the late Response window. The provider may in its Supplemental Rules define justified exceptions from this rule.</w:t>
            </w:r>
          </w:p>
        </w:tc>
        <w:tc>
          <w:tcPr>
            <w:tcW w:w="3413" w:type="dxa"/>
          </w:tcPr>
          <w:p w14:paraId="5A3BAB6C" w14:textId="77777777" w:rsidR="006369E6" w:rsidRDefault="006369E6"/>
        </w:tc>
        <w:tc>
          <w:tcPr>
            <w:tcW w:w="3413" w:type="dxa"/>
          </w:tcPr>
          <w:p w14:paraId="3E2C2F0B" w14:textId="77777777" w:rsidR="006369E6" w:rsidRDefault="006B5592">
            <w:pPr>
              <w:pStyle w:val="TableParagraph"/>
              <w:numPr>
                <w:ilvl w:val="0"/>
                <w:numId w:val="10"/>
              </w:numPr>
              <w:tabs>
                <w:tab w:val="left" w:pos="94"/>
              </w:tabs>
              <w:ind w:right="291" w:firstLine="0"/>
              <w:rPr>
                <w:sz w:val="11"/>
              </w:rPr>
            </w:pPr>
            <w:r>
              <w:rPr>
                <w:sz w:val="11"/>
              </w:rPr>
              <w:t>The language used in this provision seems super-confusing &amp; could be</w:t>
            </w:r>
            <w:r>
              <w:rPr>
                <w:spacing w:val="4"/>
                <w:sz w:val="11"/>
              </w:rPr>
              <w:t xml:space="preserve"> </w:t>
            </w:r>
            <w:r>
              <w:rPr>
                <w:sz w:val="11"/>
              </w:rPr>
              <w:t>clarified.</w:t>
            </w:r>
          </w:p>
          <w:p w14:paraId="4015868C" w14:textId="77777777" w:rsidR="006369E6" w:rsidRDefault="006B5592">
            <w:pPr>
              <w:pStyle w:val="TableParagraph"/>
              <w:numPr>
                <w:ilvl w:val="0"/>
                <w:numId w:val="10"/>
              </w:numPr>
              <w:tabs>
                <w:tab w:val="left" w:pos="94"/>
              </w:tabs>
              <w:spacing w:before="0"/>
              <w:ind w:right="255" w:firstLine="0"/>
              <w:rPr>
                <w:sz w:val="11"/>
              </w:rPr>
            </w:pPr>
            <w:r>
              <w:rPr>
                <w:sz w:val="11"/>
              </w:rPr>
              <w:t>Sub Team will not try to form a question now. Check this when reviewing the Supplemental Rules. It seems like an odd fact situation.</w:t>
            </w:r>
          </w:p>
        </w:tc>
        <w:tc>
          <w:tcPr>
            <w:tcW w:w="3413" w:type="dxa"/>
          </w:tcPr>
          <w:p w14:paraId="14D782A0" w14:textId="77777777" w:rsidR="006369E6" w:rsidRDefault="006369E6"/>
        </w:tc>
      </w:tr>
      <w:tr w:rsidR="006369E6" w14:paraId="36BB50E5" w14:textId="77777777">
        <w:trPr>
          <w:trHeight w:hRule="exact" w:val="179"/>
        </w:trPr>
        <w:tc>
          <w:tcPr>
            <w:tcW w:w="13833" w:type="dxa"/>
            <w:gridSpan w:val="4"/>
            <w:shd w:val="clear" w:color="auto" w:fill="F3F3F3"/>
          </w:tcPr>
          <w:p w14:paraId="62CEE886" w14:textId="77777777" w:rsidR="006369E6" w:rsidRDefault="006B5592">
            <w:pPr>
              <w:pStyle w:val="TableParagraph"/>
              <w:rPr>
                <w:b/>
                <w:sz w:val="11"/>
              </w:rPr>
            </w:pPr>
            <w:r>
              <w:rPr>
                <w:b/>
                <w:sz w:val="11"/>
              </w:rPr>
              <w:t>6. Examiner</w:t>
            </w:r>
          </w:p>
        </w:tc>
      </w:tr>
      <w:tr w:rsidR="006369E6" w14:paraId="622C763F" w14:textId="77777777">
        <w:trPr>
          <w:trHeight w:hRule="exact" w:val="1064"/>
        </w:trPr>
        <w:tc>
          <w:tcPr>
            <w:tcW w:w="3592" w:type="dxa"/>
          </w:tcPr>
          <w:p w14:paraId="4B1B3077" w14:textId="77777777" w:rsidR="006369E6" w:rsidRDefault="006B5592">
            <w:pPr>
              <w:pStyle w:val="TableParagraph"/>
              <w:rPr>
                <w:sz w:val="11"/>
              </w:rPr>
            </w:pPr>
            <w:r>
              <w:rPr>
                <w:sz w:val="11"/>
              </w:rPr>
              <w:t>(a) Each Provider shall maintain and publish a publicly available list of Examiners and their qualifications.</w:t>
            </w:r>
          </w:p>
        </w:tc>
        <w:tc>
          <w:tcPr>
            <w:tcW w:w="3413" w:type="dxa"/>
          </w:tcPr>
          <w:p w14:paraId="6D1F25D0" w14:textId="77777777" w:rsidR="006369E6" w:rsidRDefault="006B5592">
            <w:pPr>
              <w:pStyle w:val="TableParagraph"/>
              <w:ind w:right="339"/>
              <w:rPr>
                <w:sz w:val="11"/>
              </w:rPr>
            </w:pPr>
            <w:r>
              <w:rPr>
                <w:sz w:val="11"/>
              </w:rPr>
              <w:t>* Why the qualifications of some Examiners are not published, especially by ADNDRC?</w:t>
            </w:r>
          </w:p>
        </w:tc>
        <w:tc>
          <w:tcPr>
            <w:tcW w:w="3413" w:type="dxa"/>
          </w:tcPr>
          <w:p w14:paraId="5EFA7B92" w14:textId="77777777" w:rsidR="006369E6" w:rsidRDefault="006B5592">
            <w:pPr>
              <w:pStyle w:val="TableParagraph"/>
              <w:rPr>
                <w:sz w:val="11"/>
              </w:rPr>
            </w:pPr>
            <w:r>
              <w:rPr>
                <w:b/>
                <w:sz w:val="11"/>
              </w:rPr>
              <w:t xml:space="preserve">ACTION ITEM: </w:t>
            </w:r>
            <w:r>
              <w:rPr>
                <w:sz w:val="11"/>
              </w:rPr>
              <w:t>Staff to check whether the Providers maintain and make public available the list of URS examiners and their qualifications and present the findings.</w:t>
            </w:r>
          </w:p>
          <w:p w14:paraId="4A63762A" w14:textId="77777777" w:rsidR="006369E6" w:rsidRDefault="006B5592">
            <w:pPr>
              <w:pStyle w:val="TableParagraph"/>
              <w:numPr>
                <w:ilvl w:val="0"/>
                <w:numId w:val="9"/>
              </w:numPr>
              <w:tabs>
                <w:tab w:val="left" w:pos="94"/>
              </w:tabs>
              <w:spacing w:before="0"/>
              <w:ind w:right="33" w:firstLine="0"/>
              <w:rPr>
                <w:sz w:val="11"/>
              </w:rPr>
            </w:pPr>
            <w:r>
              <w:rPr>
                <w:sz w:val="11"/>
              </w:rPr>
              <w:t>One possible recommendation from the WG may be asking ICANN to enforce this rule so all Examiners’ qualifications are</w:t>
            </w:r>
            <w:r>
              <w:rPr>
                <w:spacing w:val="15"/>
                <w:sz w:val="11"/>
              </w:rPr>
              <w:t xml:space="preserve"> </w:t>
            </w:r>
            <w:r>
              <w:rPr>
                <w:sz w:val="11"/>
              </w:rPr>
              <w:t>published.</w:t>
            </w:r>
          </w:p>
          <w:p w14:paraId="64B91933" w14:textId="77777777" w:rsidR="006369E6" w:rsidRDefault="006B5592">
            <w:pPr>
              <w:pStyle w:val="TableParagraph"/>
              <w:numPr>
                <w:ilvl w:val="0"/>
                <w:numId w:val="9"/>
              </w:numPr>
              <w:tabs>
                <w:tab w:val="left" w:pos="94"/>
              </w:tabs>
              <w:spacing w:before="0"/>
              <w:ind w:right="267" w:firstLine="0"/>
              <w:rPr>
                <w:sz w:val="11"/>
              </w:rPr>
            </w:pPr>
            <w:r>
              <w:rPr>
                <w:sz w:val="11"/>
              </w:rPr>
              <w:t>ADNDRC has a number of offices in Asia with some degree of regional autonomy. Does this distributed system cause the qualifications of certain Examiners not being</w:t>
            </w:r>
            <w:r>
              <w:rPr>
                <w:spacing w:val="14"/>
                <w:sz w:val="11"/>
              </w:rPr>
              <w:t xml:space="preserve"> </w:t>
            </w:r>
            <w:r>
              <w:rPr>
                <w:sz w:val="11"/>
              </w:rPr>
              <w:t>published?</w:t>
            </w:r>
          </w:p>
        </w:tc>
        <w:tc>
          <w:tcPr>
            <w:tcW w:w="3413" w:type="dxa"/>
          </w:tcPr>
          <w:p w14:paraId="2C08A19B" w14:textId="77777777" w:rsidR="006369E6" w:rsidRDefault="00DD6050">
            <w:pPr>
              <w:pStyle w:val="TableParagraph"/>
              <w:rPr>
                <w:sz w:val="11"/>
              </w:rPr>
            </w:pPr>
            <w:hyperlink r:id="rId9">
              <w:r w:rsidR="006B5592">
                <w:rPr>
                  <w:color w:val="1155CC"/>
                  <w:sz w:val="11"/>
                  <w:u w:val="single" w:color="1155CC"/>
                </w:rPr>
                <w:t>https://community.icann</w:t>
              </w:r>
              <w:r w:rsidR="006B5592">
                <w:rPr>
                  <w:color w:val="1155CC"/>
                  <w:sz w:val="11"/>
                </w:rPr>
                <w:t>.</w:t>
              </w:r>
            </w:hyperlink>
            <w:r w:rsidR="006B5592">
              <w:rPr>
                <w:color w:val="1155CC"/>
                <w:sz w:val="11"/>
              </w:rPr>
              <w:t xml:space="preserve"> </w:t>
            </w:r>
            <w:hyperlink r:id="rId10">
              <w:r w:rsidR="006B5592">
                <w:rPr>
                  <w:color w:val="1155CC"/>
                  <w:sz w:val="11"/>
                  <w:u w:val="single" w:color="1155CC"/>
                </w:rPr>
                <w:t>org/download/attachments/79436564/URS%20Rules%206a.pdf?</w:t>
              </w:r>
            </w:hyperlink>
            <w:r w:rsidR="006B5592">
              <w:rPr>
                <w:color w:val="1155CC"/>
                <w:sz w:val="11"/>
                <w:u w:val="single" w:color="1155CC"/>
              </w:rPr>
              <w:t xml:space="preserve"> </w:t>
            </w:r>
            <w:hyperlink r:id="rId11">
              <w:r w:rsidR="006B5592">
                <w:rPr>
                  <w:color w:val="1155CC"/>
                  <w:sz w:val="11"/>
                  <w:u w:val="single" w:color="1155CC"/>
                </w:rPr>
                <w:t>version=1&amp;modificationDate=1519357143000&amp;api=v2</w:t>
              </w:r>
            </w:hyperlink>
          </w:p>
        </w:tc>
      </w:tr>
      <w:tr w:rsidR="006369E6" w14:paraId="4263EA25" w14:textId="77777777">
        <w:trPr>
          <w:trHeight w:hRule="exact" w:val="1566"/>
        </w:trPr>
        <w:tc>
          <w:tcPr>
            <w:tcW w:w="3592" w:type="dxa"/>
          </w:tcPr>
          <w:p w14:paraId="5EC13EE7" w14:textId="77777777" w:rsidR="006369E6" w:rsidRDefault="006B5592">
            <w:pPr>
              <w:pStyle w:val="TableParagraph"/>
              <w:ind w:right="34"/>
              <w:rPr>
                <w:sz w:val="11"/>
              </w:rPr>
            </w:pPr>
            <w:r>
              <w:rPr>
                <w:sz w:val="11"/>
              </w:rPr>
              <w:t>(b) An Examiner shall be impartial and independent and shall have, before accepting appointment, disclosed to the Provider any circumstances giving rise to justifiable doubt as to the Examiner’s impartiality or independence. If, at any stage during the URS proceeding, new circumstances arise that could give rise to justifiable doubt as to the impartiality or independence of the Examiner, the Examiner shall promptly disclose such circumstances to the Provider. In such event, the Provider shall have the discretion to appoint a substitute Examiner.</w:t>
            </w:r>
          </w:p>
        </w:tc>
        <w:tc>
          <w:tcPr>
            <w:tcW w:w="3413" w:type="dxa"/>
          </w:tcPr>
          <w:p w14:paraId="369712F6" w14:textId="77777777" w:rsidR="006369E6" w:rsidRDefault="006B5592">
            <w:pPr>
              <w:pStyle w:val="TableParagraph"/>
              <w:numPr>
                <w:ilvl w:val="0"/>
                <w:numId w:val="8"/>
              </w:numPr>
              <w:tabs>
                <w:tab w:val="left" w:pos="100"/>
              </w:tabs>
              <w:ind w:right="119" w:firstLine="0"/>
              <w:rPr>
                <w:sz w:val="11"/>
              </w:rPr>
            </w:pPr>
            <w:r>
              <w:rPr>
                <w:sz w:val="11"/>
              </w:rPr>
              <w:t>Did the Providers make the examiners aware of their needs to be impartial and</w:t>
            </w:r>
            <w:r>
              <w:rPr>
                <w:spacing w:val="7"/>
                <w:sz w:val="11"/>
              </w:rPr>
              <w:t xml:space="preserve"> </w:t>
            </w:r>
            <w:r>
              <w:rPr>
                <w:sz w:val="11"/>
              </w:rPr>
              <w:t>independent?</w:t>
            </w:r>
          </w:p>
          <w:p w14:paraId="5CBF488C" w14:textId="77777777" w:rsidR="006369E6" w:rsidRDefault="006B5592">
            <w:pPr>
              <w:pStyle w:val="TableParagraph"/>
              <w:numPr>
                <w:ilvl w:val="0"/>
                <w:numId w:val="8"/>
              </w:numPr>
              <w:tabs>
                <w:tab w:val="left" w:pos="100"/>
              </w:tabs>
              <w:spacing w:before="0"/>
              <w:ind w:right="39" w:firstLine="0"/>
              <w:rPr>
                <w:sz w:val="11"/>
              </w:rPr>
            </w:pPr>
            <w:r>
              <w:rPr>
                <w:sz w:val="11"/>
              </w:rPr>
              <w:t>Has there been any circumstance that gave rise to justifiable doubt of the independence/impartiality of an examiner? If so, did the examiner disclose this before and/or during the case proceeding? If no, what</w:t>
            </w:r>
            <w:r>
              <w:rPr>
                <w:spacing w:val="5"/>
                <w:sz w:val="11"/>
              </w:rPr>
              <w:t xml:space="preserve"> </w:t>
            </w:r>
            <w:r>
              <w:rPr>
                <w:sz w:val="11"/>
              </w:rPr>
              <w:t>happened?</w:t>
            </w:r>
          </w:p>
          <w:p w14:paraId="314F1341" w14:textId="77777777" w:rsidR="006369E6" w:rsidRDefault="006B5592">
            <w:pPr>
              <w:pStyle w:val="TableParagraph"/>
              <w:numPr>
                <w:ilvl w:val="0"/>
                <w:numId w:val="8"/>
              </w:numPr>
              <w:tabs>
                <w:tab w:val="left" w:pos="100"/>
              </w:tabs>
              <w:spacing w:before="0"/>
              <w:ind w:right="58" w:firstLine="0"/>
              <w:rPr>
                <w:sz w:val="11"/>
              </w:rPr>
            </w:pPr>
            <w:r>
              <w:rPr>
                <w:sz w:val="11"/>
              </w:rPr>
              <w:t>Does the Respondent have the ability to point out the conflict of interest/bias from the examiner? Can they do so in their</w:t>
            </w:r>
            <w:r>
              <w:rPr>
                <w:spacing w:val="16"/>
                <w:sz w:val="11"/>
              </w:rPr>
              <w:t xml:space="preserve"> </w:t>
            </w:r>
            <w:r>
              <w:rPr>
                <w:sz w:val="11"/>
              </w:rPr>
              <w:t>responses?</w:t>
            </w:r>
          </w:p>
          <w:p w14:paraId="41A269C6" w14:textId="77777777" w:rsidR="006369E6" w:rsidRDefault="006B5592">
            <w:pPr>
              <w:pStyle w:val="TableParagraph"/>
              <w:numPr>
                <w:ilvl w:val="0"/>
                <w:numId w:val="8"/>
              </w:numPr>
              <w:tabs>
                <w:tab w:val="left" w:pos="100"/>
              </w:tabs>
              <w:spacing w:before="0"/>
              <w:ind w:right="101" w:firstLine="0"/>
              <w:rPr>
                <w:sz w:val="11"/>
              </w:rPr>
            </w:pPr>
            <w:r>
              <w:rPr>
                <w:sz w:val="11"/>
              </w:rPr>
              <w:t>Is there a situation that a Respondent was aware of the conflict of interest of an examiner? Is there a situation that a Respondent pointed this</w:t>
            </w:r>
            <w:r>
              <w:rPr>
                <w:spacing w:val="4"/>
                <w:sz w:val="11"/>
              </w:rPr>
              <w:t xml:space="preserve"> </w:t>
            </w:r>
            <w:r>
              <w:rPr>
                <w:sz w:val="11"/>
              </w:rPr>
              <w:t>out?</w:t>
            </w:r>
          </w:p>
          <w:p w14:paraId="0EC09D82" w14:textId="77777777" w:rsidR="006369E6" w:rsidRDefault="006B5592">
            <w:pPr>
              <w:pStyle w:val="TableParagraph"/>
              <w:numPr>
                <w:ilvl w:val="0"/>
                <w:numId w:val="8"/>
              </w:numPr>
              <w:tabs>
                <w:tab w:val="left" w:pos="100"/>
              </w:tabs>
              <w:spacing w:before="0"/>
              <w:ind w:left="99"/>
              <w:rPr>
                <w:sz w:val="11"/>
              </w:rPr>
            </w:pPr>
            <w:r>
              <w:rPr>
                <w:sz w:val="11"/>
              </w:rPr>
              <w:t>Is there any possibility for</w:t>
            </w:r>
            <w:r>
              <w:rPr>
                <w:spacing w:val="11"/>
                <w:sz w:val="11"/>
              </w:rPr>
              <w:t xml:space="preserve"> </w:t>
            </w:r>
            <w:r>
              <w:rPr>
                <w:sz w:val="11"/>
              </w:rPr>
              <w:t>examiner-shopping?</w:t>
            </w:r>
          </w:p>
        </w:tc>
        <w:tc>
          <w:tcPr>
            <w:tcW w:w="3413" w:type="dxa"/>
          </w:tcPr>
          <w:p w14:paraId="0E675022" w14:textId="77777777" w:rsidR="006369E6" w:rsidRDefault="006B5592">
            <w:pPr>
              <w:pStyle w:val="TableParagraph"/>
              <w:numPr>
                <w:ilvl w:val="0"/>
                <w:numId w:val="7"/>
              </w:numPr>
              <w:tabs>
                <w:tab w:val="left" w:pos="94"/>
              </w:tabs>
              <w:ind w:right="27" w:firstLine="0"/>
              <w:rPr>
                <w:sz w:val="11"/>
              </w:rPr>
            </w:pPr>
            <w:r>
              <w:rPr>
                <w:sz w:val="11"/>
              </w:rPr>
              <w:t>Who decides exactly on impartiality or independence of an examiner? “Independence”, “impartiality”, and “justifiable doubt” are subjective standards. Would it be useful to dig more into the phrases to understand what they means, what constitutes a conflict, and how does a Provider look into that? Whether it is based on initial disclosure by the examiner, or the interpretation of the</w:t>
            </w:r>
            <w:r>
              <w:rPr>
                <w:spacing w:val="16"/>
                <w:sz w:val="11"/>
              </w:rPr>
              <w:t xml:space="preserve"> </w:t>
            </w:r>
            <w:r>
              <w:rPr>
                <w:sz w:val="11"/>
              </w:rPr>
              <w:t>standards?</w:t>
            </w:r>
          </w:p>
          <w:p w14:paraId="2C79DBE7" w14:textId="77777777" w:rsidR="006369E6" w:rsidRDefault="006B5592">
            <w:pPr>
              <w:pStyle w:val="TableParagraph"/>
              <w:numPr>
                <w:ilvl w:val="0"/>
                <w:numId w:val="7"/>
              </w:numPr>
              <w:tabs>
                <w:tab w:val="left" w:pos="94"/>
              </w:tabs>
              <w:spacing w:before="0"/>
              <w:ind w:right="205" w:firstLine="0"/>
              <w:rPr>
                <w:sz w:val="11"/>
              </w:rPr>
            </w:pPr>
            <w:r>
              <w:rPr>
                <w:sz w:val="11"/>
              </w:rPr>
              <w:t>This question is also related to the background and expertise of the</w:t>
            </w:r>
            <w:r>
              <w:rPr>
                <w:spacing w:val="3"/>
                <w:sz w:val="11"/>
              </w:rPr>
              <w:t xml:space="preserve"> </w:t>
            </w:r>
            <w:r>
              <w:rPr>
                <w:sz w:val="11"/>
              </w:rPr>
              <w:t>examiners.</w:t>
            </w:r>
          </w:p>
          <w:p w14:paraId="59F6058F" w14:textId="77777777" w:rsidR="006369E6" w:rsidRDefault="006B5592">
            <w:pPr>
              <w:pStyle w:val="TableParagraph"/>
              <w:numPr>
                <w:ilvl w:val="0"/>
                <w:numId w:val="7"/>
              </w:numPr>
              <w:tabs>
                <w:tab w:val="left" w:pos="94"/>
              </w:tabs>
              <w:spacing w:before="0"/>
              <w:ind w:right="149" w:firstLine="0"/>
              <w:rPr>
                <w:sz w:val="11"/>
              </w:rPr>
            </w:pPr>
            <w:r>
              <w:rPr>
                <w:sz w:val="11"/>
              </w:rPr>
              <w:t>General rules should be established so that people are confident that examiners are not</w:t>
            </w:r>
            <w:r>
              <w:rPr>
                <w:spacing w:val="7"/>
                <w:sz w:val="11"/>
              </w:rPr>
              <w:t xml:space="preserve"> </w:t>
            </w:r>
            <w:r>
              <w:rPr>
                <w:sz w:val="11"/>
              </w:rPr>
              <w:t>biased.</w:t>
            </w:r>
          </w:p>
          <w:p w14:paraId="4E401438" w14:textId="77777777" w:rsidR="006369E6" w:rsidRDefault="006B5592">
            <w:pPr>
              <w:pStyle w:val="TableParagraph"/>
              <w:numPr>
                <w:ilvl w:val="0"/>
                <w:numId w:val="7"/>
              </w:numPr>
              <w:tabs>
                <w:tab w:val="left" w:pos="94"/>
              </w:tabs>
              <w:spacing w:before="0"/>
              <w:ind w:right="254" w:firstLine="0"/>
              <w:rPr>
                <w:sz w:val="11"/>
              </w:rPr>
            </w:pPr>
            <w:r>
              <w:rPr>
                <w:sz w:val="11"/>
              </w:rPr>
              <w:t>There may be professional conduct requirements/guidelines to enforce the impartiality and independence of the</w:t>
            </w:r>
            <w:r>
              <w:rPr>
                <w:spacing w:val="14"/>
                <w:sz w:val="11"/>
              </w:rPr>
              <w:t xml:space="preserve"> </w:t>
            </w:r>
            <w:r>
              <w:rPr>
                <w:sz w:val="11"/>
              </w:rPr>
              <w:t>examiner.</w:t>
            </w:r>
          </w:p>
        </w:tc>
        <w:tc>
          <w:tcPr>
            <w:tcW w:w="3413" w:type="dxa"/>
          </w:tcPr>
          <w:p w14:paraId="0B5476F2" w14:textId="77777777" w:rsidR="006369E6" w:rsidRDefault="006369E6"/>
        </w:tc>
      </w:tr>
      <w:tr w:rsidR="006369E6" w14:paraId="268E801B" w14:textId="77777777">
        <w:trPr>
          <w:trHeight w:hRule="exact" w:val="179"/>
        </w:trPr>
        <w:tc>
          <w:tcPr>
            <w:tcW w:w="13833" w:type="dxa"/>
            <w:gridSpan w:val="4"/>
            <w:shd w:val="clear" w:color="auto" w:fill="F3F3F3"/>
          </w:tcPr>
          <w:p w14:paraId="0E1A6B2E" w14:textId="77777777" w:rsidR="006369E6" w:rsidRDefault="006B5592">
            <w:pPr>
              <w:pStyle w:val="TableParagraph"/>
              <w:rPr>
                <w:b/>
                <w:sz w:val="11"/>
              </w:rPr>
            </w:pPr>
            <w:r>
              <w:rPr>
                <w:b/>
                <w:sz w:val="11"/>
              </w:rPr>
              <w:t>7. Communication Between Parties and the Examiner</w:t>
            </w:r>
          </w:p>
        </w:tc>
      </w:tr>
      <w:tr w:rsidR="006369E6" w14:paraId="08F0A650" w14:textId="77777777">
        <w:trPr>
          <w:trHeight w:hRule="exact" w:val="553"/>
        </w:trPr>
        <w:tc>
          <w:tcPr>
            <w:tcW w:w="3592" w:type="dxa"/>
          </w:tcPr>
          <w:p w14:paraId="43D54EB8" w14:textId="77777777" w:rsidR="006369E6" w:rsidRDefault="006B5592">
            <w:pPr>
              <w:pStyle w:val="TableParagraph"/>
              <w:rPr>
                <w:sz w:val="11"/>
              </w:rPr>
            </w:pPr>
            <w:r>
              <w:rPr>
                <w:sz w:val="11"/>
              </w:rPr>
              <w:t>No Party or anyone acting on its behalf may have any unilateral communication with the Examiner. All communications between a Party and the Examiner or the Provider shall be made to the Provider in the manner prescribed in the Provider's Supplemental Rules.</w:t>
            </w:r>
          </w:p>
        </w:tc>
        <w:tc>
          <w:tcPr>
            <w:tcW w:w="3413" w:type="dxa"/>
          </w:tcPr>
          <w:p w14:paraId="6939CA8C" w14:textId="77777777" w:rsidR="006369E6" w:rsidRDefault="006369E6"/>
        </w:tc>
        <w:tc>
          <w:tcPr>
            <w:tcW w:w="3413" w:type="dxa"/>
          </w:tcPr>
          <w:p w14:paraId="691C57AA" w14:textId="77777777" w:rsidR="006369E6" w:rsidRDefault="006B5592">
            <w:pPr>
              <w:pStyle w:val="TableParagraph"/>
              <w:ind w:right="373"/>
              <w:rPr>
                <w:sz w:val="11"/>
              </w:rPr>
            </w:pPr>
            <w:r>
              <w:rPr>
                <w:sz w:val="11"/>
              </w:rPr>
              <w:t>Sub Team will revisit this provision when reviewing Providers' Supplemental Rules.</w:t>
            </w:r>
          </w:p>
        </w:tc>
        <w:tc>
          <w:tcPr>
            <w:tcW w:w="3413" w:type="dxa"/>
          </w:tcPr>
          <w:p w14:paraId="7F5C09CB" w14:textId="77777777" w:rsidR="006369E6" w:rsidRDefault="006369E6"/>
        </w:tc>
      </w:tr>
      <w:tr w:rsidR="006369E6" w14:paraId="26B40611" w14:textId="77777777">
        <w:trPr>
          <w:trHeight w:hRule="exact" w:val="179"/>
        </w:trPr>
        <w:tc>
          <w:tcPr>
            <w:tcW w:w="13833" w:type="dxa"/>
            <w:gridSpan w:val="4"/>
            <w:shd w:val="clear" w:color="auto" w:fill="F3F3F3"/>
          </w:tcPr>
          <w:p w14:paraId="1328FE64" w14:textId="77777777" w:rsidR="006369E6" w:rsidRDefault="006B5592">
            <w:pPr>
              <w:pStyle w:val="TableParagraph"/>
              <w:rPr>
                <w:b/>
                <w:sz w:val="11"/>
              </w:rPr>
            </w:pPr>
            <w:r>
              <w:rPr>
                <w:b/>
                <w:sz w:val="11"/>
              </w:rPr>
              <w:t>8. General Powers of the Examiner</w:t>
            </w:r>
          </w:p>
        </w:tc>
      </w:tr>
      <w:tr w:rsidR="006369E6" w14:paraId="192F6349" w14:textId="77777777">
        <w:trPr>
          <w:trHeight w:hRule="exact" w:val="426"/>
        </w:trPr>
        <w:tc>
          <w:tcPr>
            <w:tcW w:w="3592" w:type="dxa"/>
          </w:tcPr>
          <w:p w14:paraId="63597571" w14:textId="77777777" w:rsidR="006369E6" w:rsidRDefault="006B5592">
            <w:pPr>
              <w:pStyle w:val="TableParagraph"/>
              <w:rPr>
                <w:sz w:val="11"/>
              </w:rPr>
            </w:pPr>
            <w:r>
              <w:rPr>
                <w:sz w:val="11"/>
              </w:rPr>
              <w:t>(a) The Examiner shall conduct the URS proceeding in a manner it considers appropriate in accordance with the URS Procedure and these Rules.</w:t>
            </w:r>
          </w:p>
        </w:tc>
        <w:tc>
          <w:tcPr>
            <w:tcW w:w="3413" w:type="dxa"/>
          </w:tcPr>
          <w:p w14:paraId="79FB63E3" w14:textId="77777777" w:rsidR="006369E6" w:rsidRDefault="006369E6"/>
        </w:tc>
        <w:tc>
          <w:tcPr>
            <w:tcW w:w="3413" w:type="dxa"/>
          </w:tcPr>
          <w:p w14:paraId="3C33F4A0" w14:textId="77777777" w:rsidR="006369E6" w:rsidRDefault="006369E6"/>
        </w:tc>
        <w:tc>
          <w:tcPr>
            <w:tcW w:w="3413" w:type="dxa"/>
          </w:tcPr>
          <w:p w14:paraId="303C6D07" w14:textId="77777777" w:rsidR="006369E6" w:rsidRDefault="006369E6"/>
        </w:tc>
      </w:tr>
      <w:tr w:rsidR="006369E6" w14:paraId="78B0D8D0" w14:textId="77777777">
        <w:trPr>
          <w:trHeight w:hRule="exact" w:val="298"/>
        </w:trPr>
        <w:tc>
          <w:tcPr>
            <w:tcW w:w="3592" w:type="dxa"/>
          </w:tcPr>
          <w:p w14:paraId="4A00B4C5" w14:textId="77777777" w:rsidR="006369E6" w:rsidRDefault="006B5592">
            <w:pPr>
              <w:pStyle w:val="TableParagraph"/>
              <w:ind w:right="75"/>
              <w:rPr>
                <w:sz w:val="11"/>
              </w:rPr>
            </w:pPr>
            <w:r>
              <w:rPr>
                <w:sz w:val="11"/>
              </w:rPr>
              <w:t>(b) In all cases, the Examiner shall ensure that the Parties are treated with equality to the extent feasible.</w:t>
            </w:r>
          </w:p>
        </w:tc>
        <w:tc>
          <w:tcPr>
            <w:tcW w:w="3413" w:type="dxa"/>
          </w:tcPr>
          <w:p w14:paraId="1823CDD3" w14:textId="77777777" w:rsidR="006369E6" w:rsidRDefault="006369E6"/>
        </w:tc>
        <w:tc>
          <w:tcPr>
            <w:tcW w:w="3413" w:type="dxa"/>
          </w:tcPr>
          <w:p w14:paraId="309BCC7A" w14:textId="77777777" w:rsidR="006369E6" w:rsidRDefault="006369E6"/>
        </w:tc>
        <w:tc>
          <w:tcPr>
            <w:tcW w:w="3413" w:type="dxa"/>
          </w:tcPr>
          <w:p w14:paraId="64004055" w14:textId="77777777" w:rsidR="006369E6" w:rsidRDefault="006369E6"/>
        </w:tc>
      </w:tr>
      <w:tr w:rsidR="006369E6" w14:paraId="1199E624" w14:textId="77777777">
        <w:trPr>
          <w:trHeight w:hRule="exact" w:val="298"/>
        </w:trPr>
        <w:tc>
          <w:tcPr>
            <w:tcW w:w="3592" w:type="dxa"/>
          </w:tcPr>
          <w:p w14:paraId="337A9EE5" w14:textId="77777777" w:rsidR="006369E6" w:rsidRDefault="006B5592">
            <w:pPr>
              <w:pStyle w:val="TableParagraph"/>
              <w:ind w:right="543"/>
              <w:rPr>
                <w:sz w:val="11"/>
              </w:rPr>
            </w:pPr>
            <w:r>
              <w:rPr>
                <w:sz w:val="11"/>
              </w:rPr>
              <w:t>(c) The Examiner shall determine the admissibility, relevance, materiality and weight of the evidence.</w:t>
            </w:r>
          </w:p>
        </w:tc>
        <w:tc>
          <w:tcPr>
            <w:tcW w:w="3413" w:type="dxa"/>
          </w:tcPr>
          <w:p w14:paraId="022E906F" w14:textId="77777777" w:rsidR="006369E6" w:rsidRDefault="006369E6"/>
        </w:tc>
        <w:tc>
          <w:tcPr>
            <w:tcW w:w="3413" w:type="dxa"/>
          </w:tcPr>
          <w:p w14:paraId="4F67B29D" w14:textId="77777777" w:rsidR="006369E6" w:rsidRDefault="006369E6"/>
        </w:tc>
        <w:tc>
          <w:tcPr>
            <w:tcW w:w="3413" w:type="dxa"/>
          </w:tcPr>
          <w:p w14:paraId="583C0508" w14:textId="77777777" w:rsidR="006369E6" w:rsidRDefault="006369E6"/>
        </w:tc>
      </w:tr>
      <w:tr w:rsidR="006369E6" w14:paraId="2953F133" w14:textId="77777777">
        <w:trPr>
          <w:trHeight w:hRule="exact" w:val="936"/>
        </w:trPr>
        <w:tc>
          <w:tcPr>
            <w:tcW w:w="3592" w:type="dxa"/>
          </w:tcPr>
          <w:p w14:paraId="581EAB93" w14:textId="77777777" w:rsidR="006369E6" w:rsidRDefault="006B5592">
            <w:pPr>
              <w:pStyle w:val="TableParagraph"/>
              <w:rPr>
                <w:sz w:val="11"/>
              </w:rPr>
            </w:pPr>
            <w:r>
              <w:rPr>
                <w:sz w:val="11"/>
              </w:rPr>
              <w:t>(d) If one or more domain names are registered with a privacy or proxy service, or the nominal registrant changes after the complaint is filed, it shall be the sole discretion of the Examiner to determine if the respondents are sufficiently related and to dismiss the Complaint with respect to any unrelated domain names. The Examiner may rely on information submitted by the Complainant and/or the Respondent(s) in making its finding.</w:t>
            </w:r>
          </w:p>
        </w:tc>
        <w:tc>
          <w:tcPr>
            <w:tcW w:w="3413" w:type="dxa"/>
          </w:tcPr>
          <w:p w14:paraId="2BA8FE98" w14:textId="77777777" w:rsidR="006369E6" w:rsidRDefault="006B5592">
            <w:pPr>
              <w:pStyle w:val="TableParagraph"/>
              <w:numPr>
                <w:ilvl w:val="0"/>
                <w:numId w:val="6"/>
              </w:numPr>
              <w:tabs>
                <w:tab w:val="left" w:pos="100"/>
              </w:tabs>
              <w:ind w:right="168" w:firstLine="0"/>
              <w:jc w:val="both"/>
              <w:rPr>
                <w:sz w:val="11"/>
              </w:rPr>
            </w:pPr>
            <w:r>
              <w:rPr>
                <w:sz w:val="11"/>
              </w:rPr>
              <w:t>Does the Provider know any situation that the nominal registrant changed after the complaint was filed? If so, how did the Provider handle</w:t>
            </w:r>
            <w:r>
              <w:rPr>
                <w:spacing w:val="2"/>
                <w:sz w:val="11"/>
              </w:rPr>
              <w:t xml:space="preserve"> </w:t>
            </w:r>
            <w:r>
              <w:rPr>
                <w:sz w:val="11"/>
              </w:rPr>
              <w:t>it?</w:t>
            </w:r>
          </w:p>
          <w:p w14:paraId="0D3BDF0B" w14:textId="77777777" w:rsidR="006369E6" w:rsidRDefault="006B5592">
            <w:pPr>
              <w:pStyle w:val="TableParagraph"/>
              <w:numPr>
                <w:ilvl w:val="0"/>
                <w:numId w:val="6"/>
              </w:numPr>
              <w:tabs>
                <w:tab w:val="left" w:pos="100"/>
              </w:tabs>
              <w:spacing w:before="0"/>
              <w:ind w:right="88" w:firstLine="0"/>
              <w:rPr>
                <w:sz w:val="11"/>
              </w:rPr>
            </w:pPr>
            <w:r>
              <w:rPr>
                <w:sz w:val="11"/>
              </w:rPr>
              <w:t>How many complaints have been dismissed on the basis of the wrong Respondent being named, where the domain was registered with a privacy/proxy</w:t>
            </w:r>
            <w:r>
              <w:rPr>
                <w:spacing w:val="7"/>
                <w:sz w:val="11"/>
              </w:rPr>
              <w:t xml:space="preserve"> </w:t>
            </w:r>
            <w:r>
              <w:rPr>
                <w:sz w:val="11"/>
              </w:rPr>
              <w:t>service?</w:t>
            </w:r>
          </w:p>
        </w:tc>
        <w:tc>
          <w:tcPr>
            <w:tcW w:w="3413" w:type="dxa"/>
          </w:tcPr>
          <w:p w14:paraId="4CE869F5" w14:textId="77777777" w:rsidR="006369E6" w:rsidRDefault="006369E6"/>
        </w:tc>
        <w:tc>
          <w:tcPr>
            <w:tcW w:w="3413" w:type="dxa"/>
          </w:tcPr>
          <w:p w14:paraId="0B35C85B" w14:textId="77777777" w:rsidR="006369E6" w:rsidRDefault="006369E6"/>
        </w:tc>
      </w:tr>
    </w:tbl>
    <w:p w14:paraId="1458F677" w14:textId="77777777" w:rsidR="006369E6" w:rsidRDefault="006369E6">
      <w:pPr>
        <w:sectPr w:rsidR="006369E6">
          <w:pgSz w:w="15840" w:h="12240" w:orient="landscape"/>
          <w:pgMar w:top="640" w:right="320" w:bottom="620" w:left="320" w:header="438" w:footer="421" w:gutter="0"/>
          <w:cols w:space="720"/>
        </w:sectPr>
      </w:pPr>
    </w:p>
    <w:p w14:paraId="33F3EAE7" w14:textId="77777777" w:rsidR="006369E6" w:rsidRDefault="006369E6">
      <w:pPr>
        <w:pStyle w:val="BodyText"/>
        <w:rPr>
          <w:rFonts w:ascii="Times New Roman"/>
          <w:sz w:val="20"/>
        </w:rPr>
      </w:pPr>
    </w:p>
    <w:p w14:paraId="2F87782F" w14:textId="77777777" w:rsidR="006369E6" w:rsidRDefault="006369E6">
      <w:pPr>
        <w:pStyle w:val="BodyText"/>
        <w:spacing w:before="1"/>
        <w:rPr>
          <w:rFonts w:ascii="Times New Roman"/>
          <w:sz w:val="16"/>
        </w:rPr>
      </w:pPr>
    </w:p>
    <w:tbl>
      <w:tblPr>
        <w:tblW w:w="0" w:type="auto"/>
        <w:tblInd w:w="67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592"/>
        <w:gridCol w:w="3413"/>
        <w:gridCol w:w="3413"/>
        <w:gridCol w:w="3415"/>
      </w:tblGrid>
      <w:tr w:rsidR="006369E6" w14:paraId="6EAAA892" w14:textId="77777777">
        <w:trPr>
          <w:trHeight w:hRule="exact" w:val="179"/>
        </w:trPr>
        <w:tc>
          <w:tcPr>
            <w:tcW w:w="3592" w:type="dxa"/>
            <w:shd w:val="clear" w:color="auto" w:fill="CEE1F3"/>
          </w:tcPr>
          <w:p w14:paraId="7B1A7BDC" w14:textId="77777777" w:rsidR="006369E6" w:rsidRDefault="006B5592">
            <w:pPr>
              <w:pStyle w:val="TableParagraph"/>
              <w:rPr>
                <w:b/>
                <w:sz w:val="11"/>
              </w:rPr>
            </w:pPr>
            <w:r>
              <w:rPr>
                <w:b/>
                <w:sz w:val="11"/>
              </w:rPr>
              <w:t>URS Rules</w:t>
            </w:r>
          </w:p>
        </w:tc>
        <w:tc>
          <w:tcPr>
            <w:tcW w:w="3413" w:type="dxa"/>
            <w:shd w:val="clear" w:color="auto" w:fill="CEE1F3"/>
          </w:tcPr>
          <w:p w14:paraId="420EB07E" w14:textId="77777777" w:rsidR="006369E6" w:rsidRDefault="006B5592">
            <w:pPr>
              <w:pStyle w:val="TableParagraph"/>
              <w:rPr>
                <w:b/>
                <w:sz w:val="11"/>
              </w:rPr>
            </w:pPr>
            <w:r>
              <w:rPr>
                <w:b/>
                <w:sz w:val="11"/>
              </w:rPr>
              <w:t>Proposed Questions</w:t>
            </w:r>
          </w:p>
        </w:tc>
        <w:tc>
          <w:tcPr>
            <w:tcW w:w="3413" w:type="dxa"/>
            <w:shd w:val="clear" w:color="auto" w:fill="CEE1F3"/>
          </w:tcPr>
          <w:p w14:paraId="48959822" w14:textId="77777777" w:rsidR="006369E6" w:rsidRDefault="006B5592">
            <w:pPr>
              <w:pStyle w:val="TableParagraph"/>
              <w:rPr>
                <w:b/>
                <w:sz w:val="11"/>
              </w:rPr>
            </w:pPr>
            <w:r>
              <w:rPr>
                <w:b/>
                <w:sz w:val="11"/>
              </w:rPr>
              <w:t>Additional Notes</w:t>
            </w:r>
          </w:p>
        </w:tc>
        <w:tc>
          <w:tcPr>
            <w:tcW w:w="3413" w:type="dxa"/>
            <w:shd w:val="clear" w:color="auto" w:fill="CEE1F3"/>
          </w:tcPr>
          <w:p w14:paraId="2DFA1955" w14:textId="77777777" w:rsidR="006369E6" w:rsidRDefault="006B5592">
            <w:pPr>
              <w:pStyle w:val="TableParagraph"/>
              <w:rPr>
                <w:b/>
                <w:sz w:val="11"/>
              </w:rPr>
            </w:pPr>
            <w:r>
              <w:rPr>
                <w:b/>
                <w:sz w:val="11"/>
              </w:rPr>
              <w:t>Findings</w:t>
            </w:r>
          </w:p>
        </w:tc>
      </w:tr>
      <w:tr w:rsidR="006369E6" w14:paraId="5956D8EF" w14:textId="77777777">
        <w:trPr>
          <w:trHeight w:hRule="exact" w:val="179"/>
        </w:trPr>
        <w:tc>
          <w:tcPr>
            <w:tcW w:w="13833" w:type="dxa"/>
            <w:gridSpan w:val="4"/>
            <w:shd w:val="clear" w:color="auto" w:fill="F3F3F3"/>
          </w:tcPr>
          <w:p w14:paraId="2411C8F3" w14:textId="77777777" w:rsidR="006369E6" w:rsidRDefault="006B5592">
            <w:pPr>
              <w:pStyle w:val="TableParagraph"/>
              <w:rPr>
                <w:b/>
                <w:sz w:val="11"/>
              </w:rPr>
            </w:pPr>
            <w:r>
              <w:rPr>
                <w:b/>
                <w:sz w:val="11"/>
              </w:rPr>
              <w:t>9. Language of Proceedings</w:t>
            </w:r>
          </w:p>
        </w:tc>
      </w:tr>
      <w:tr w:rsidR="006369E6" w14:paraId="18DD09F5" w14:textId="77777777">
        <w:trPr>
          <w:trHeight w:hRule="exact" w:val="298"/>
        </w:trPr>
        <w:tc>
          <w:tcPr>
            <w:tcW w:w="3592" w:type="dxa"/>
          </w:tcPr>
          <w:p w14:paraId="73CD2DAD" w14:textId="77777777" w:rsidR="006369E6" w:rsidRDefault="006B5592">
            <w:pPr>
              <w:pStyle w:val="TableParagraph"/>
              <w:rPr>
                <w:sz w:val="11"/>
              </w:rPr>
            </w:pPr>
            <w:r>
              <w:rPr>
                <w:sz w:val="11"/>
              </w:rPr>
              <w:t>The URS Procedure Paragraph 4.2 specifies the languages in which the Notice of Complaint shall be transmitted.</w:t>
            </w:r>
          </w:p>
        </w:tc>
        <w:tc>
          <w:tcPr>
            <w:tcW w:w="3413" w:type="dxa"/>
            <w:vMerge w:val="restart"/>
          </w:tcPr>
          <w:p w14:paraId="215E326C" w14:textId="77777777" w:rsidR="006369E6" w:rsidRDefault="006B5592">
            <w:pPr>
              <w:pStyle w:val="TableParagraph"/>
              <w:numPr>
                <w:ilvl w:val="0"/>
                <w:numId w:val="5"/>
              </w:numPr>
              <w:tabs>
                <w:tab w:val="left" w:pos="100"/>
              </w:tabs>
              <w:ind w:firstLine="0"/>
              <w:rPr>
                <w:sz w:val="11"/>
              </w:rPr>
            </w:pPr>
            <w:r>
              <w:rPr>
                <w:sz w:val="11"/>
              </w:rPr>
              <w:t>Are all Examiners indeed fluent in</w:t>
            </w:r>
            <w:r>
              <w:rPr>
                <w:spacing w:val="10"/>
                <w:sz w:val="11"/>
              </w:rPr>
              <w:t xml:space="preserve"> </w:t>
            </w:r>
            <w:r>
              <w:rPr>
                <w:sz w:val="11"/>
              </w:rPr>
              <w:t>English?</w:t>
            </w:r>
          </w:p>
          <w:p w14:paraId="35C1145B" w14:textId="77777777" w:rsidR="006369E6" w:rsidRDefault="006B5592">
            <w:pPr>
              <w:pStyle w:val="TableParagraph"/>
              <w:numPr>
                <w:ilvl w:val="0"/>
                <w:numId w:val="5"/>
              </w:numPr>
              <w:tabs>
                <w:tab w:val="left" w:pos="100"/>
              </w:tabs>
              <w:spacing w:before="0"/>
              <w:ind w:right="94" w:firstLine="0"/>
              <w:rPr>
                <w:sz w:val="11"/>
              </w:rPr>
            </w:pPr>
            <w:r>
              <w:rPr>
                <w:sz w:val="11"/>
              </w:rPr>
              <w:t>Are the assigned Examiners fluent in the non-English language of the</w:t>
            </w:r>
            <w:r>
              <w:rPr>
                <w:spacing w:val="4"/>
                <w:sz w:val="11"/>
              </w:rPr>
              <w:t xml:space="preserve"> </w:t>
            </w:r>
            <w:r>
              <w:rPr>
                <w:sz w:val="11"/>
              </w:rPr>
              <w:t>Response?</w:t>
            </w:r>
          </w:p>
          <w:p w14:paraId="4B36A699" w14:textId="77777777" w:rsidR="006369E6" w:rsidRDefault="006B5592">
            <w:pPr>
              <w:pStyle w:val="TableParagraph"/>
              <w:numPr>
                <w:ilvl w:val="0"/>
                <w:numId w:val="5"/>
              </w:numPr>
              <w:tabs>
                <w:tab w:val="left" w:pos="100"/>
              </w:tabs>
              <w:spacing w:before="0"/>
              <w:ind w:right="303" w:firstLine="0"/>
              <w:rPr>
                <w:sz w:val="11"/>
              </w:rPr>
            </w:pPr>
            <w:r>
              <w:rPr>
                <w:sz w:val="11"/>
              </w:rPr>
              <w:t>Is there any challenge in the URS proceedings caused by the linguistic deficiencies of the</w:t>
            </w:r>
            <w:r>
              <w:rPr>
                <w:spacing w:val="10"/>
                <w:sz w:val="11"/>
              </w:rPr>
              <w:t xml:space="preserve"> </w:t>
            </w:r>
            <w:r>
              <w:rPr>
                <w:sz w:val="11"/>
              </w:rPr>
              <w:t>Examiners?</w:t>
            </w:r>
          </w:p>
        </w:tc>
        <w:tc>
          <w:tcPr>
            <w:tcW w:w="3413" w:type="dxa"/>
            <w:vMerge w:val="restart"/>
          </w:tcPr>
          <w:p w14:paraId="0AA216A0" w14:textId="77777777" w:rsidR="006369E6" w:rsidRDefault="006B5592">
            <w:pPr>
              <w:pStyle w:val="TableParagraph"/>
              <w:numPr>
                <w:ilvl w:val="0"/>
                <w:numId w:val="4"/>
              </w:numPr>
              <w:tabs>
                <w:tab w:val="left" w:pos="94"/>
              </w:tabs>
              <w:ind w:right="125" w:firstLine="0"/>
              <w:rPr>
                <w:sz w:val="11"/>
              </w:rPr>
            </w:pPr>
            <w:r>
              <w:rPr>
                <w:sz w:val="11"/>
              </w:rPr>
              <w:t>The indication of English fluency does not apply to all Examiners, but this does not mean they are not fluent in</w:t>
            </w:r>
            <w:r>
              <w:rPr>
                <w:spacing w:val="12"/>
                <w:sz w:val="11"/>
              </w:rPr>
              <w:t xml:space="preserve"> </w:t>
            </w:r>
            <w:r>
              <w:rPr>
                <w:sz w:val="11"/>
              </w:rPr>
              <w:t>English.</w:t>
            </w:r>
          </w:p>
          <w:p w14:paraId="074A9FD7" w14:textId="77777777" w:rsidR="006369E6" w:rsidRDefault="006B5592">
            <w:pPr>
              <w:pStyle w:val="TableParagraph"/>
              <w:numPr>
                <w:ilvl w:val="0"/>
                <w:numId w:val="4"/>
              </w:numPr>
              <w:tabs>
                <w:tab w:val="left" w:pos="94"/>
              </w:tabs>
              <w:spacing w:before="0"/>
              <w:ind w:right="71" w:firstLine="0"/>
              <w:rPr>
                <w:sz w:val="11"/>
              </w:rPr>
            </w:pPr>
            <w:r>
              <w:rPr>
                <w:sz w:val="11"/>
              </w:rPr>
              <w:t>Staff note: Some Examiners did indicate in their resumes that they have “good” or “fair” level of English skills, but not</w:t>
            </w:r>
            <w:r>
              <w:rPr>
                <w:spacing w:val="14"/>
                <w:sz w:val="11"/>
              </w:rPr>
              <w:t xml:space="preserve"> </w:t>
            </w:r>
            <w:r>
              <w:rPr>
                <w:sz w:val="11"/>
              </w:rPr>
              <w:t>“excellent”.</w:t>
            </w:r>
          </w:p>
        </w:tc>
        <w:tc>
          <w:tcPr>
            <w:tcW w:w="3413" w:type="dxa"/>
            <w:vMerge w:val="restart"/>
          </w:tcPr>
          <w:p w14:paraId="54E2B8EC" w14:textId="77777777" w:rsidR="006369E6" w:rsidRDefault="00DD6050">
            <w:pPr>
              <w:pStyle w:val="TableParagraph"/>
              <w:rPr>
                <w:sz w:val="11"/>
              </w:rPr>
            </w:pPr>
            <w:hyperlink r:id="rId12">
              <w:r w:rsidR="006B5592">
                <w:rPr>
                  <w:color w:val="1155CC"/>
                  <w:sz w:val="11"/>
                  <w:u w:val="single" w:color="1155CC"/>
                </w:rPr>
                <w:t>https://community.icann</w:t>
              </w:r>
              <w:r w:rsidR="006B5592">
                <w:rPr>
                  <w:color w:val="1155CC"/>
                  <w:sz w:val="11"/>
                </w:rPr>
                <w:t>.</w:t>
              </w:r>
            </w:hyperlink>
            <w:r w:rsidR="006B5592">
              <w:rPr>
                <w:color w:val="1155CC"/>
                <w:sz w:val="11"/>
              </w:rPr>
              <w:t xml:space="preserve"> </w:t>
            </w:r>
            <w:hyperlink r:id="rId13">
              <w:r w:rsidR="006B5592">
                <w:rPr>
                  <w:color w:val="1155CC"/>
                  <w:sz w:val="11"/>
                  <w:u w:val="single" w:color="1155CC"/>
                </w:rPr>
                <w:t>org/download/attachments/79436564/URS%20Rules%206a.pdf?</w:t>
              </w:r>
            </w:hyperlink>
            <w:r w:rsidR="006B5592">
              <w:rPr>
                <w:color w:val="1155CC"/>
                <w:sz w:val="11"/>
                <w:u w:val="single" w:color="1155CC"/>
              </w:rPr>
              <w:t xml:space="preserve"> </w:t>
            </w:r>
            <w:hyperlink r:id="rId14">
              <w:r w:rsidR="006B5592">
                <w:rPr>
                  <w:color w:val="1155CC"/>
                  <w:sz w:val="11"/>
                  <w:u w:val="single" w:color="1155CC"/>
                </w:rPr>
                <w:t>version=1&amp;modificationDate=1519357143000&amp;api=v2</w:t>
              </w:r>
            </w:hyperlink>
          </w:p>
        </w:tc>
      </w:tr>
      <w:tr w:rsidR="006369E6" w14:paraId="48F48DE4" w14:textId="77777777">
        <w:trPr>
          <w:trHeight w:hRule="exact" w:val="179"/>
        </w:trPr>
        <w:tc>
          <w:tcPr>
            <w:tcW w:w="3592" w:type="dxa"/>
          </w:tcPr>
          <w:p w14:paraId="72D3B5C5" w14:textId="77777777" w:rsidR="006369E6" w:rsidRDefault="006B5592">
            <w:pPr>
              <w:pStyle w:val="TableParagraph"/>
              <w:rPr>
                <w:sz w:val="11"/>
              </w:rPr>
            </w:pPr>
            <w:r>
              <w:rPr>
                <w:sz w:val="11"/>
              </w:rPr>
              <w:t>(a) The Complaint shall be submitted in English.</w:t>
            </w:r>
          </w:p>
        </w:tc>
        <w:tc>
          <w:tcPr>
            <w:tcW w:w="3413" w:type="dxa"/>
            <w:vMerge/>
          </w:tcPr>
          <w:p w14:paraId="3EF1487E" w14:textId="77777777" w:rsidR="006369E6" w:rsidRDefault="006369E6"/>
        </w:tc>
        <w:tc>
          <w:tcPr>
            <w:tcW w:w="3413" w:type="dxa"/>
            <w:vMerge/>
          </w:tcPr>
          <w:p w14:paraId="4976E26A" w14:textId="77777777" w:rsidR="006369E6" w:rsidRDefault="006369E6"/>
        </w:tc>
        <w:tc>
          <w:tcPr>
            <w:tcW w:w="3413" w:type="dxa"/>
            <w:vMerge/>
          </w:tcPr>
          <w:p w14:paraId="70D8D1C6" w14:textId="77777777" w:rsidR="006369E6" w:rsidRDefault="006369E6"/>
        </w:tc>
      </w:tr>
      <w:tr w:rsidR="006369E6" w14:paraId="5A146285" w14:textId="77777777">
        <w:trPr>
          <w:trHeight w:hRule="exact" w:val="298"/>
        </w:trPr>
        <w:tc>
          <w:tcPr>
            <w:tcW w:w="3592" w:type="dxa"/>
          </w:tcPr>
          <w:p w14:paraId="68F4527F" w14:textId="77777777" w:rsidR="006369E6" w:rsidRDefault="006B5592">
            <w:pPr>
              <w:pStyle w:val="TableParagraph"/>
              <w:ind w:right="511"/>
              <w:rPr>
                <w:sz w:val="11"/>
              </w:rPr>
            </w:pPr>
            <w:r>
              <w:rPr>
                <w:sz w:val="11"/>
              </w:rPr>
              <w:t>(b) The Response may be provided in English, or in one of the languages used for the Notice of Complaint.</w:t>
            </w:r>
          </w:p>
        </w:tc>
        <w:tc>
          <w:tcPr>
            <w:tcW w:w="3413" w:type="dxa"/>
            <w:vMerge/>
          </w:tcPr>
          <w:p w14:paraId="000DB6D8" w14:textId="77777777" w:rsidR="006369E6" w:rsidRDefault="006369E6"/>
        </w:tc>
        <w:tc>
          <w:tcPr>
            <w:tcW w:w="3413" w:type="dxa"/>
            <w:vMerge/>
          </w:tcPr>
          <w:p w14:paraId="292C34BE" w14:textId="77777777" w:rsidR="006369E6" w:rsidRDefault="006369E6"/>
        </w:tc>
        <w:tc>
          <w:tcPr>
            <w:tcW w:w="3413" w:type="dxa"/>
            <w:vMerge/>
          </w:tcPr>
          <w:p w14:paraId="1FF02050" w14:textId="77777777" w:rsidR="006369E6" w:rsidRDefault="006369E6"/>
        </w:tc>
      </w:tr>
      <w:tr w:rsidR="006369E6" w14:paraId="54FA964F" w14:textId="77777777">
        <w:trPr>
          <w:trHeight w:hRule="exact" w:val="426"/>
        </w:trPr>
        <w:tc>
          <w:tcPr>
            <w:tcW w:w="3592" w:type="dxa"/>
          </w:tcPr>
          <w:p w14:paraId="5B1470C4" w14:textId="77777777" w:rsidR="006369E6" w:rsidRDefault="006B5592">
            <w:pPr>
              <w:pStyle w:val="TableParagraph"/>
              <w:ind w:right="93"/>
              <w:rPr>
                <w:sz w:val="11"/>
              </w:rPr>
            </w:pPr>
            <w:r>
              <w:rPr>
                <w:sz w:val="11"/>
              </w:rPr>
              <w:t>(c) The Examiner appointed shall be fluent in English and in the language of the Response and will determine in which language to issue its Determination, in its sole discretion.</w:t>
            </w:r>
          </w:p>
        </w:tc>
        <w:tc>
          <w:tcPr>
            <w:tcW w:w="3413" w:type="dxa"/>
            <w:vMerge/>
          </w:tcPr>
          <w:p w14:paraId="3A36F0FC" w14:textId="77777777" w:rsidR="006369E6" w:rsidRDefault="006369E6"/>
        </w:tc>
        <w:tc>
          <w:tcPr>
            <w:tcW w:w="3413" w:type="dxa"/>
            <w:vMerge/>
          </w:tcPr>
          <w:p w14:paraId="68C7CEF5" w14:textId="77777777" w:rsidR="006369E6" w:rsidRDefault="006369E6"/>
        </w:tc>
        <w:tc>
          <w:tcPr>
            <w:tcW w:w="3413" w:type="dxa"/>
            <w:vMerge/>
          </w:tcPr>
          <w:p w14:paraId="545B7DEC" w14:textId="77777777" w:rsidR="006369E6" w:rsidRDefault="006369E6"/>
        </w:tc>
      </w:tr>
      <w:tr w:rsidR="006369E6" w14:paraId="4F7EC2E9" w14:textId="77777777">
        <w:trPr>
          <w:trHeight w:hRule="exact" w:val="298"/>
        </w:trPr>
        <w:tc>
          <w:tcPr>
            <w:tcW w:w="3592" w:type="dxa"/>
          </w:tcPr>
          <w:p w14:paraId="2C652ACB" w14:textId="77777777" w:rsidR="006369E6" w:rsidRDefault="006B5592">
            <w:pPr>
              <w:pStyle w:val="TableParagraph"/>
              <w:ind w:right="75"/>
              <w:rPr>
                <w:sz w:val="11"/>
              </w:rPr>
            </w:pPr>
            <w:r>
              <w:rPr>
                <w:sz w:val="11"/>
              </w:rPr>
              <w:t>(d) In the absence of a Response, the language of the Determination shall be English.</w:t>
            </w:r>
          </w:p>
        </w:tc>
        <w:tc>
          <w:tcPr>
            <w:tcW w:w="3413" w:type="dxa"/>
            <w:vMerge/>
          </w:tcPr>
          <w:p w14:paraId="40277C45" w14:textId="77777777" w:rsidR="006369E6" w:rsidRDefault="006369E6"/>
        </w:tc>
        <w:tc>
          <w:tcPr>
            <w:tcW w:w="3413" w:type="dxa"/>
            <w:vMerge/>
          </w:tcPr>
          <w:p w14:paraId="45D74AB1" w14:textId="77777777" w:rsidR="006369E6" w:rsidRDefault="006369E6"/>
        </w:tc>
        <w:tc>
          <w:tcPr>
            <w:tcW w:w="3413" w:type="dxa"/>
            <w:vMerge/>
          </w:tcPr>
          <w:p w14:paraId="6F594A28" w14:textId="77777777" w:rsidR="006369E6" w:rsidRDefault="006369E6"/>
        </w:tc>
      </w:tr>
      <w:tr w:rsidR="006369E6" w14:paraId="1648E5A9" w14:textId="77777777">
        <w:trPr>
          <w:trHeight w:hRule="exact" w:val="298"/>
        </w:trPr>
        <w:tc>
          <w:tcPr>
            <w:tcW w:w="3592" w:type="dxa"/>
          </w:tcPr>
          <w:p w14:paraId="4D085184" w14:textId="77777777" w:rsidR="006369E6" w:rsidRDefault="006B5592">
            <w:pPr>
              <w:pStyle w:val="TableParagraph"/>
              <w:rPr>
                <w:sz w:val="11"/>
              </w:rPr>
            </w:pPr>
            <w:r>
              <w:rPr>
                <w:sz w:val="11"/>
              </w:rPr>
              <w:t>(e) The Provider is not responsible for translating any documents other than the Notice of Complaint.</w:t>
            </w:r>
          </w:p>
        </w:tc>
        <w:tc>
          <w:tcPr>
            <w:tcW w:w="3413" w:type="dxa"/>
            <w:vMerge/>
          </w:tcPr>
          <w:p w14:paraId="532C0BDE" w14:textId="77777777" w:rsidR="006369E6" w:rsidRDefault="006369E6"/>
        </w:tc>
        <w:tc>
          <w:tcPr>
            <w:tcW w:w="3413" w:type="dxa"/>
            <w:vMerge/>
          </w:tcPr>
          <w:p w14:paraId="5BD03876" w14:textId="77777777" w:rsidR="006369E6" w:rsidRDefault="006369E6"/>
        </w:tc>
        <w:tc>
          <w:tcPr>
            <w:tcW w:w="3413" w:type="dxa"/>
            <w:vMerge/>
          </w:tcPr>
          <w:p w14:paraId="5E12E786" w14:textId="77777777" w:rsidR="006369E6" w:rsidRDefault="006369E6"/>
        </w:tc>
      </w:tr>
      <w:tr w:rsidR="006369E6" w14:paraId="49688996" w14:textId="77777777">
        <w:trPr>
          <w:trHeight w:hRule="exact" w:val="179"/>
        </w:trPr>
        <w:tc>
          <w:tcPr>
            <w:tcW w:w="13833" w:type="dxa"/>
            <w:gridSpan w:val="4"/>
            <w:shd w:val="clear" w:color="auto" w:fill="F3F3F3"/>
          </w:tcPr>
          <w:p w14:paraId="059F400B" w14:textId="77777777" w:rsidR="006369E6" w:rsidRDefault="006B5592">
            <w:pPr>
              <w:pStyle w:val="TableParagraph"/>
              <w:rPr>
                <w:b/>
                <w:sz w:val="11"/>
              </w:rPr>
            </w:pPr>
            <w:r>
              <w:rPr>
                <w:b/>
                <w:sz w:val="11"/>
              </w:rPr>
              <w:t>10. Further Statements</w:t>
            </w:r>
          </w:p>
        </w:tc>
      </w:tr>
      <w:tr w:rsidR="006369E6" w14:paraId="38757DEF" w14:textId="77777777">
        <w:trPr>
          <w:trHeight w:hRule="exact" w:val="298"/>
        </w:trPr>
        <w:tc>
          <w:tcPr>
            <w:tcW w:w="3592" w:type="dxa"/>
          </w:tcPr>
          <w:p w14:paraId="4A73240C" w14:textId="77777777" w:rsidR="006369E6" w:rsidRDefault="006B5592">
            <w:pPr>
              <w:pStyle w:val="TableParagraph"/>
              <w:rPr>
                <w:sz w:val="11"/>
              </w:rPr>
            </w:pPr>
            <w:r>
              <w:rPr>
                <w:sz w:val="11"/>
              </w:rPr>
              <w:t>In order to ensure expedience of the proceeding, the Examiner may not request further statements or documents from either of the Parties.</w:t>
            </w:r>
          </w:p>
        </w:tc>
        <w:tc>
          <w:tcPr>
            <w:tcW w:w="3413" w:type="dxa"/>
          </w:tcPr>
          <w:p w14:paraId="3E3AB10F" w14:textId="77777777" w:rsidR="006369E6" w:rsidRDefault="006B5592">
            <w:pPr>
              <w:pStyle w:val="TableParagraph"/>
              <w:ind w:right="522"/>
              <w:rPr>
                <w:sz w:val="11"/>
              </w:rPr>
            </w:pPr>
            <w:r>
              <w:rPr>
                <w:sz w:val="11"/>
              </w:rPr>
              <w:t>* Has any Examiner violated this rule by requesting further statements or documents from either of the Parties?</w:t>
            </w:r>
          </w:p>
        </w:tc>
        <w:tc>
          <w:tcPr>
            <w:tcW w:w="3413" w:type="dxa"/>
          </w:tcPr>
          <w:p w14:paraId="6CA757F9" w14:textId="77777777" w:rsidR="006369E6" w:rsidRDefault="006369E6"/>
        </w:tc>
        <w:tc>
          <w:tcPr>
            <w:tcW w:w="3413" w:type="dxa"/>
          </w:tcPr>
          <w:p w14:paraId="6AE6EF41" w14:textId="77777777" w:rsidR="006369E6" w:rsidRDefault="006369E6"/>
        </w:tc>
      </w:tr>
      <w:tr w:rsidR="006369E6" w14:paraId="09AF3166" w14:textId="77777777">
        <w:trPr>
          <w:trHeight w:hRule="exact" w:val="179"/>
        </w:trPr>
        <w:tc>
          <w:tcPr>
            <w:tcW w:w="13833" w:type="dxa"/>
            <w:gridSpan w:val="4"/>
            <w:shd w:val="clear" w:color="auto" w:fill="F3F3F3"/>
          </w:tcPr>
          <w:p w14:paraId="0E6D1444" w14:textId="77777777" w:rsidR="006369E6" w:rsidRDefault="006B5592">
            <w:pPr>
              <w:pStyle w:val="TableParagraph"/>
              <w:rPr>
                <w:b/>
                <w:sz w:val="11"/>
              </w:rPr>
            </w:pPr>
            <w:r>
              <w:rPr>
                <w:b/>
                <w:sz w:val="11"/>
              </w:rPr>
              <w:t>11. In-Person Hearings</w:t>
            </w:r>
          </w:p>
        </w:tc>
      </w:tr>
      <w:tr w:rsidR="006369E6" w14:paraId="3C6C1515" w14:textId="77777777">
        <w:trPr>
          <w:trHeight w:hRule="exact" w:val="426"/>
        </w:trPr>
        <w:tc>
          <w:tcPr>
            <w:tcW w:w="3592" w:type="dxa"/>
          </w:tcPr>
          <w:p w14:paraId="2106CE7A" w14:textId="77777777" w:rsidR="006369E6" w:rsidRDefault="006B5592">
            <w:pPr>
              <w:pStyle w:val="TableParagraph"/>
              <w:ind w:right="646"/>
              <w:rPr>
                <w:sz w:val="11"/>
              </w:rPr>
            </w:pPr>
            <w:r>
              <w:rPr>
                <w:sz w:val="11"/>
              </w:rPr>
              <w:t>There shall be no in-person hearings (including hearings by teleconference, videoconference, and web conference).</w:t>
            </w:r>
          </w:p>
        </w:tc>
        <w:tc>
          <w:tcPr>
            <w:tcW w:w="3413" w:type="dxa"/>
          </w:tcPr>
          <w:p w14:paraId="1D2BEF8C" w14:textId="77777777" w:rsidR="006369E6" w:rsidRDefault="006B5592">
            <w:pPr>
              <w:pStyle w:val="TableParagraph"/>
              <w:rPr>
                <w:sz w:val="11"/>
              </w:rPr>
            </w:pPr>
            <w:r>
              <w:rPr>
                <w:sz w:val="11"/>
              </w:rPr>
              <w:t>* Has the lack of in-person hearings been raised as an issue?</w:t>
            </w:r>
          </w:p>
        </w:tc>
        <w:tc>
          <w:tcPr>
            <w:tcW w:w="3413" w:type="dxa"/>
          </w:tcPr>
          <w:p w14:paraId="39917D71" w14:textId="77777777" w:rsidR="006369E6" w:rsidRDefault="006B5592">
            <w:pPr>
              <w:pStyle w:val="TableParagraph"/>
              <w:ind w:right="272"/>
              <w:rPr>
                <w:sz w:val="11"/>
              </w:rPr>
            </w:pPr>
            <w:r>
              <w:rPr>
                <w:sz w:val="11"/>
              </w:rPr>
              <w:t>MFSD confirmed that they have never conducted any in-person hearings (including teleconference, video conference, web conference, etc.) and only reviewed written submissions.</w:t>
            </w:r>
          </w:p>
        </w:tc>
        <w:tc>
          <w:tcPr>
            <w:tcW w:w="3413" w:type="dxa"/>
          </w:tcPr>
          <w:p w14:paraId="1D8618A4" w14:textId="77777777" w:rsidR="006369E6" w:rsidRDefault="006369E6"/>
        </w:tc>
      </w:tr>
      <w:tr w:rsidR="006369E6" w14:paraId="383CC0B9" w14:textId="77777777">
        <w:trPr>
          <w:trHeight w:hRule="exact" w:val="179"/>
        </w:trPr>
        <w:tc>
          <w:tcPr>
            <w:tcW w:w="13833" w:type="dxa"/>
            <w:gridSpan w:val="4"/>
            <w:shd w:val="clear" w:color="auto" w:fill="F3F3F3"/>
          </w:tcPr>
          <w:p w14:paraId="1971A7BD" w14:textId="77777777" w:rsidR="006369E6" w:rsidRDefault="006B5592">
            <w:pPr>
              <w:pStyle w:val="TableParagraph"/>
              <w:rPr>
                <w:b/>
                <w:sz w:val="11"/>
              </w:rPr>
            </w:pPr>
            <w:r>
              <w:rPr>
                <w:b/>
                <w:sz w:val="11"/>
              </w:rPr>
              <w:t>12. Default</w:t>
            </w:r>
          </w:p>
        </w:tc>
      </w:tr>
      <w:tr w:rsidR="006369E6" w14:paraId="1B8202F3" w14:textId="77777777">
        <w:trPr>
          <w:trHeight w:hRule="exact" w:val="681"/>
        </w:trPr>
        <w:tc>
          <w:tcPr>
            <w:tcW w:w="3592" w:type="dxa"/>
          </w:tcPr>
          <w:p w14:paraId="0DBA427E" w14:textId="77777777" w:rsidR="006369E6" w:rsidRDefault="006B5592">
            <w:pPr>
              <w:pStyle w:val="TableParagraph"/>
              <w:ind w:right="230"/>
              <w:rPr>
                <w:sz w:val="11"/>
              </w:rPr>
            </w:pPr>
            <w:r>
              <w:rPr>
                <w:sz w:val="11"/>
              </w:rPr>
              <w:t>(a) If at the expiration of the 14-day Response period (or extended period if granted), the Respondent does not submit an answer, the Complaint proceeds to Default. In case of Default, the Provider shall appoint an Examiner to review the Complaint for a prima facie case, including complete and appropriate evidence.</w:t>
            </w:r>
          </w:p>
        </w:tc>
        <w:tc>
          <w:tcPr>
            <w:tcW w:w="3413" w:type="dxa"/>
          </w:tcPr>
          <w:p w14:paraId="3D95819D" w14:textId="77777777" w:rsidR="006369E6" w:rsidRDefault="006369E6"/>
        </w:tc>
        <w:tc>
          <w:tcPr>
            <w:tcW w:w="3413" w:type="dxa"/>
          </w:tcPr>
          <w:p w14:paraId="2B9A3376" w14:textId="77777777" w:rsidR="006369E6" w:rsidRDefault="006369E6"/>
        </w:tc>
        <w:tc>
          <w:tcPr>
            <w:tcW w:w="3413" w:type="dxa"/>
          </w:tcPr>
          <w:p w14:paraId="55B4FE06" w14:textId="77777777" w:rsidR="006369E6" w:rsidRDefault="006369E6"/>
        </w:tc>
      </w:tr>
      <w:tr w:rsidR="006369E6" w14:paraId="152C7C79" w14:textId="77777777">
        <w:trPr>
          <w:trHeight w:hRule="exact" w:val="681"/>
        </w:trPr>
        <w:tc>
          <w:tcPr>
            <w:tcW w:w="3592" w:type="dxa"/>
          </w:tcPr>
          <w:p w14:paraId="65B7E4CA" w14:textId="77777777" w:rsidR="006369E6" w:rsidRDefault="006B5592">
            <w:pPr>
              <w:pStyle w:val="TableParagraph"/>
              <w:ind w:right="93"/>
              <w:rPr>
                <w:sz w:val="11"/>
              </w:rPr>
            </w:pPr>
            <w:r>
              <w:rPr>
                <w:sz w:val="11"/>
              </w:rPr>
              <w:t>(b) When a case enters Default, the Provider shall notify the Registry Operator that the Registrant is prohibited from changing content found on the site and that the Registrant is prohibited from changing the Whois information. See URS Procedure Paragraph 6.2.</w:t>
            </w:r>
          </w:p>
        </w:tc>
        <w:tc>
          <w:tcPr>
            <w:tcW w:w="3413" w:type="dxa"/>
          </w:tcPr>
          <w:p w14:paraId="5AD10248" w14:textId="77777777" w:rsidR="006369E6" w:rsidRDefault="006B5592">
            <w:pPr>
              <w:pStyle w:val="TableParagraph"/>
              <w:ind w:right="204"/>
              <w:rPr>
                <w:sz w:val="11"/>
              </w:rPr>
            </w:pPr>
            <w:r>
              <w:rPr>
                <w:sz w:val="11"/>
              </w:rPr>
              <w:t>* Can the Registry Operator block any change to the content of a website when a case enters Default?</w:t>
            </w:r>
          </w:p>
        </w:tc>
        <w:tc>
          <w:tcPr>
            <w:tcW w:w="3413" w:type="dxa"/>
          </w:tcPr>
          <w:p w14:paraId="1F516963" w14:textId="77777777" w:rsidR="006369E6" w:rsidRDefault="006B5592">
            <w:pPr>
              <w:pStyle w:val="TableParagraph"/>
              <w:ind w:right="45"/>
              <w:rPr>
                <w:sz w:val="11"/>
              </w:rPr>
            </w:pPr>
            <w:r>
              <w:rPr>
                <w:b/>
                <w:sz w:val="11"/>
              </w:rPr>
              <w:t>ACTION ITEM</w:t>
            </w:r>
            <w:r>
              <w:rPr>
                <w:sz w:val="11"/>
              </w:rPr>
              <w:t>: Staff to check how would the website resolve when the Respondent responded to the Complaint within the six-month period after the Default Determination, which rendered the suspension of the website due to infringement/being used in bad faith.</w:t>
            </w:r>
          </w:p>
        </w:tc>
        <w:tc>
          <w:tcPr>
            <w:tcW w:w="3413" w:type="dxa"/>
          </w:tcPr>
          <w:p w14:paraId="1144BDA7" w14:textId="77777777" w:rsidR="006369E6" w:rsidRDefault="006369E6"/>
        </w:tc>
      </w:tr>
      <w:tr w:rsidR="006369E6" w14:paraId="6F6D40A2" w14:textId="77777777">
        <w:trPr>
          <w:trHeight w:hRule="exact" w:val="179"/>
        </w:trPr>
        <w:tc>
          <w:tcPr>
            <w:tcW w:w="3592" w:type="dxa"/>
          </w:tcPr>
          <w:p w14:paraId="66AFE866" w14:textId="77777777" w:rsidR="006369E6" w:rsidRDefault="006B5592">
            <w:pPr>
              <w:pStyle w:val="TableParagraph"/>
              <w:rPr>
                <w:sz w:val="11"/>
              </w:rPr>
            </w:pPr>
            <w:r>
              <w:rPr>
                <w:sz w:val="11"/>
              </w:rPr>
              <w:t>(c) The Examiner shall prepare a written Default Determination</w:t>
            </w:r>
          </w:p>
        </w:tc>
        <w:tc>
          <w:tcPr>
            <w:tcW w:w="3413" w:type="dxa"/>
          </w:tcPr>
          <w:p w14:paraId="057384F9" w14:textId="77777777" w:rsidR="006369E6" w:rsidRDefault="006369E6"/>
        </w:tc>
        <w:tc>
          <w:tcPr>
            <w:tcW w:w="3413" w:type="dxa"/>
          </w:tcPr>
          <w:p w14:paraId="3BC0F7DC" w14:textId="77777777" w:rsidR="006369E6" w:rsidRDefault="006369E6"/>
        </w:tc>
        <w:tc>
          <w:tcPr>
            <w:tcW w:w="3413" w:type="dxa"/>
          </w:tcPr>
          <w:p w14:paraId="74F17D9F" w14:textId="77777777" w:rsidR="006369E6" w:rsidRDefault="006369E6"/>
        </w:tc>
      </w:tr>
      <w:tr w:rsidR="006369E6" w14:paraId="4403E84B" w14:textId="77777777">
        <w:trPr>
          <w:trHeight w:hRule="exact" w:val="809"/>
        </w:trPr>
        <w:tc>
          <w:tcPr>
            <w:tcW w:w="3592" w:type="dxa"/>
          </w:tcPr>
          <w:p w14:paraId="4D557B11" w14:textId="77777777" w:rsidR="006369E6" w:rsidRDefault="006B5592">
            <w:pPr>
              <w:pStyle w:val="TableParagraph"/>
              <w:ind w:right="58"/>
              <w:rPr>
                <w:sz w:val="11"/>
              </w:rPr>
            </w:pPr>
            <w:r>
              <w:rPr>
                <w:sz w:val="11"/>
              </w:rPr>
              <w:t>(d) If the Examiner finds that the Complainant has made a prima facie case according to the URS Procedure Paragraph 1.2.6 for any of the domain names in the Complaint, the Default Determination shall so state, including any additional written reasoning the Examiner wishes to append. The Examiner shall order suspension of the domain names for which a prima facie case has been established.</w:t>
            </w:r>
          </w:p>
        </w:tc>
        <w:tc>
          <w:tcPr>
            <w:tcW w:w="3413" w:type="dxa"/>
          </w:tcPr>
          <w:p w14:paraId="635F0A86" w14:textId="77777777" w:rsidR="006369E6" w:rsidRDefault="006369E6"/>
        </w:tc>
        <w:tc>
          <w:tcPr>
            <w:tcW w:w="3413" w:type="dxa"/>
          </w:tcPr>
          <w:p w14:paraId="50239E3B" w14:textId="77777777" w:rsidR="006369E6" w:rsidRDefault="006369E6"/>
        </w:tc>
        <w:tc>
          <w:tcPr>
            <w:tcW w:w="3413" w:type="dxa"/>
          </w:tcPr>
          <w:p w14:paraId="017A1853" w14:textId="77777777" w:rsidR="006369E6" w:rsidRDefault="006369E6"/>
        </w:tc>
      </w:tr>
      <w:tr w:rsidR="006369E6" w14:paraId="16C49F58" w14:textId="77777777">
        <w:trPr>
          <w:trHeight w:hRule="exact" w:val="809"/>
        </w:trPr>
        <w:tc>
          <w:tcPr>
            <w:tcW w:w="3592" w:type="dxa"/>
          </w:tcPr>
          <w:p w14:paraId="64F34B4E" w14:textId="77777777" w:rsidR="006369E6" w:rsidRDefault="006B5592">
            <w:pPr>
              <w:pStyle w:val="TableParagraph"/>
              <w:ind w:right="93"/>
              <w:rPr>
                <w:sz w:val="11"/>
              </w:rPr>
            </w:pPr>
            <w:r>
              <w:rPr>
                <w:sz w:val="11"/>
              </w:rPr>
              <w:t>(e) If the Examiner finds that the Complainant has not made a prima facie case according to the URS Procedure Paragraph 1.2.6, the Default Determination shall so state including any additional written reasoning the Examiner wishes to append. The Provider shall dismiss the Complaint as to the domain names for which a prima facie case is lacking.</w:t>
            </w:r>
          </w:p>
        </w:tc>
        <w:tc>
          <w:tcPr>
            <w:tcW w:w="3413" w:type="dxa"/>
          </w:tcPr>
          <w:p w14:paraId="649CCE45" w14:textId="77777777" w:rsidR="006369E6" w:rsidRDefault="006B5592">
            <w:pPr>
              <w:pStyle w:val="TableParagraph"/>
              <w:ind w:right="326"/>
              <w:rPr>
                <w:sz w:val="11"/>
              </w:rPr>
            </w:pPr>
            <w:r>
              <w:rPr>
                <w:sz w:val="11"/>
              </w:rPr>
              <w:t>* What percentage of cases that the Respondent submitted an answer within six (6) months after a Default Determination?</w:t>
            </w:r>
          </w:p>
        </w:tc>
        <w:tc>
          <w:tcPr>
            <w:tcW w:w="3413" w:type="dxa"/>
          </w:tcPr>
          <w:p w14:paraId="6EA20C39" w14:textId="77777777" w:rsidR="006369E6" w:rsidRDefault="006369E6"/>
        </w:tc>
        <w:tc>
          <w:tcPr>
            <w:tcW w:w="3413" w:type="dxa"/>
          </w:tcPr>
          <w:p w14:paraId="59BBDAC5" w14:textId="77777777" w:rsidR="006369E6" w:rsidRDefault="006369E6"/>
        </w:tc>
      </w:tr>
      <w:tr w:rsidR="006369E6" w14:paraId="23214EB4" w14:textId="77777777">
        <w:trPr>
          <w:trHeight w:hRule="exact" w:val="936"/>
        </w:trPr>
        <w:tc>
          <w:tcPr>
            <w:tcW w:w="3592" w:type="dxa"/>
          </w:tcPr>
          <w:p w14:paraId="1021BC67" w14:textId="77777777" w:rsidR="006369E6" w:rsidRDefault="006B5592">
            <w:pPr>
              <w:pStyle w:val="TableParagraph"/>
              <w:ind w:right="75"/>
              <w:rPr>
                <w:sz w:val="11"/>
              </w:rPr>
            </w:pPr>
            <w:r>
              <w:rPr>
                <w:sz w:val="11"/>
              </w:rPr>
              <w:t>(e) If a Response is filed within six (6) months after a Default Determination (or within any extension period granted under URS Procedure Paragraph 6.4), the Provider shall notify the Registry Operator. The Registry Operator shall modify the nameservers so that the domain name(s) resolve to the relevant IP address(es) for the domain name(s) as soon as practical, but remain locked as if the Response had been filed in a timely manner before Default.</w:t>
            </w:r>
          </w:p>
        </w:tc>
        <w:tc>
          <w:tcPr>
            <w:tcW w:w="3413" w:type="dxa"/>
          </w:tcPr>
          <w:p w14:paraId="79456F31" w14:textId="77777777" w:rsidR="006369E6" w:rsidRDefault="006369E6"/>
        </w:tc>
        <w:tc>
          <w:tcPr>
            <w:tcW w:w="3413" w:type="dxa"/>
          </w:tcPr>
          <w:p w14:paraId="77C79858" w14:textId="77777777" w:rsidR="006369E6" w:rsidRDefault="006369E6"/>
        </w:tc>
        <w:tc>
          <w:tcPr>
            <w:tcW w:w="3413" w:type="dxa"/>
          </w:tcPr>
          <w:p w14:paraId="3F2C5763" w14:textId="77777777" w:rsidR="006369E6" w:rsidRDefault="006369E6"/>
        </w:tc>
      </w:tr>
      <w:tr w:rsidR="006369E6" w14:paraId="30E714DA" w14:textId="77777777">
        <w:trPr>
          <w:trHeight w:hRule="exact" w:val="553"/>
        </w:trPr>
        <w:tc>
          <w:tcPr>
            <w:tcW w:w="3592" w:type="dxa"/>
          </w:tcPr>
          <w:p w14:paraId="4FD50BC8" w14:textId="77777777" w:rsidR="006369E6" w:rsidRDefault="006B5592">
            <w:pPr>
              <w:pStyle w:val="TableParagraph"/>
              <w:ind w:right="75"/>
              <w:rPr>
                <w:sz w:val="11"/>
              </w:rPr>
            </w:pPr>
            <w:r>
              <w:rPr>
                <w:sz w:val="11"/>
              </w:rPr>
              <w:t>(f) If a Party, in the absence of exceptional circumstances, does not comply with any provision of, or requirement under, these Rules, the URS Procedure or the Provider’s Supplemental Rules, the Examiner shall draw such inferences therefrom as it considers appropriate.</w:t>
            </w:r>
          </w:p>
        </w:tc>
        <w:tc>
          <w:tcPr>
            <w:tcW w:w="3413" w:type="dxa"/>
          </w:tcPr>
          <w:p w14:paraId="3B31E0EE" w14:textId="77777777" w:rsidR="006369E6" w:rsidRDefault="006B5592">
            <w:pPr>
              <w:pStyle w:val="TableParagraph"/>
              <w:ind w:right="45"/>
              <w:rPr>
                <w:sz w:val="11"/>
              </w:rPr>
            </w:pPr>
            <w:r>
              <w:rPr>
                <w:sz w:val="11"/>
              </w:rPr>
              <w:t>* Has any Examiner drawn such inferences when a Party is not in compliance with URS Rules, Procedures, and Supplemental Rules, in the absence of exceptional circumstances?</w:t>
            </w:r>
          </w:p>
        </w:tc>
        <w:tc>
          <w:tcPr>
            <w:tcW w:w="3413" w:type="dxa"/>
          </w:tcPr>
          <w:p w14:paraId="038EEC2C" w14:textId="77777777" w:rsidR="006369E6" w:rsidRDefault="006369E6"/>
        </w:tc>
        <w:tc>
          <w:tcPr>
            <w:tcW w:w="3413" w:type="dxa"/>
          </w:tcPr>
          <w:p w14:paraId="1D070211" w14:textId="77777777" w:rsidR="006369E6" w:rsidRDefault="006369E6"/>
        </w:tc>
      </w:tr>
      <w:tr w:rsidR="006369E6" w14:paraId="25F0024F" w14:textId="77777777">
        <w:trPr>
          <w:trHeight w:hRule="exact" w:val="179"/>
        </w:trPr>
        <w:tc>
          <w:tcPr>
            <w:tcW w:w="13833" w:type="dxa"/>
            <w:gridSpan w:val="4"/>
            <w:shd w:val="clear" w:color="auto" w:fill="F3F3F3"/>
          </w:tcPr>
          <w:p w14:paraId="2C17BE65" w14:textId="77777777" w:rsidR="006369E6" w:rsidRDefault="006B5592">
            <w:pPr>
              <w:pStyle w:val="TableParagraph"/>
              <w:rPr>
                <w:b/>
                <w:sz w:val="11"/>
              </w:rPr>
            </w:pPr>
            <w:r>
              <w:rPr>
                <w:b/>
                <w:sz w:val="11"/>
              </w:rPr>
              <w:t>13. Examiner Determination</w:t>
            </w:r>
          </w:p>
        </w:tc>
      </w:tr>
      <w:tr w:rsidR="006369E6" w14:paraId="25A76432" w14:textId="77777777">
        <w:trPr>
          <w:trHeight w:hRule="exact" w:val="426"/>
        </w:trPr>
        <w:tc>
          <w:tcPr>
            <w:tcW w:w="3592" w:type="dxa"/>
          </w:tcPr>
          <w:p w14:paraId="03954D78" w14:textId="77777777" w:rsidR="006369E6" w:rsidRDefault="006B5592">
            <w:pPr>
              <w:pStyle w:val="TableParagraph"/>
              <w:ind w:right="46"/>
              <w:rPr>
                <w:sz w:val="11"/>
              </w:rPr>
            </w:pPr>
            <w:r>
              <w:rPr>
                <w:sz w:val="11"/>
              </w:rPr>
              <w:t>(a) An Examiner shall make a Determination (Default, Final or Appeal) of a Complaint in accordance with the URS Procedure, these Rules and any rules and principles of law that it deems</w:t>
            </w:r>
            <w:r>
              <w:rPr>
                <w:spacing w:val="13"/>
                <w:sz w:val="11"/>
              </w:rPr>
              <w:t xml:space="preserve"> </w:t>
            </w:r>
            <w:r>
              <w:rPr>
                <w:sz w:val="11"/>
              </w:rPr>
              <w:t>applicable.</w:t>
            </w:r>
          </w:p>
        </w:tc>
        <w:tc>
          <w:tcPr>
            <w:tcW w:w="3413" w:type="dxa"/>
          </w:tcPr>
          <w:p w14:paraId="11C9B3FC" w14:textId="77777777" w:rsidR="006369E6" w:rsidRDefault="006B5592">
            <w:pPr>
              <w:pStyle w:val="TableParagraph"/>
              <w:ind w:right="553"/>
              <w:rPr>
                <w:sz w:val="11"/>
              </w:rPr>
            </w:pPr>
            <w:r>
              <w:rPr>
                <w:sz w:val="11"/>
              </w:rPr>
              <w:t>* Has any Examiner evoked rules beyond the URS Rules, Procedures, and Supplemental Rules?</w:t>
            </w:r>
          </w:p>
        </w:tc>
        <w:tc>
          <w:tcPr>
            <w:tcW w:w="3413" w:type="dxa"/>
          </w:tcPr>
          <w:p w14:paraId="020A97A7" w14:textId="77777777" w:rsidR="006369E6" w:rsidRDefault="006369E6"/>
        </w:tc>
        <w:tc>
          <w:tcPr>
            <w:tcW w:w="3413" w:type="dxa"/>
          </w:tcPr>
          <w:p w14:paraId="6B68919F" w14:textId="77777777" w:rsidR="006369E6" w:rsidRDefault="006369E6"/>
        </w:tc>
      </w:tr>
      <w:tr w:rsidR="006369E6" w14:paraId="79CC5154" w14:textId="77777777">
        <w:trPr>
          <w:trHeight w:hRule="exact" w:val="936"/>
        </w:trPr>
        <w:tc>
          <w:tcPr>
            <w:tcW w:w="3592" w:type="dxa"/>
          </w:tcPr>
          <w:p w14:paraId="21BB9E12" w14:textId="77777777" w:rsidR="006369E6" w:rsidRDefault="006B5592">
            <w:pPr>
              <w:pStyle w:val="TableParagraph"/>
              <w:ind w:right="40"/>
              <w:rPr>
                <w:sz w:val="11"/>
              </w:rPr>
            </w:pPr>
            <w:r>
              <w:rPr>
                <w:sz w:val="11"/>
              </w:rPr>
              <w:t>(b) The Examiner's Determination shall be in writing, provide the reasons on which it is based, indicate the date on which it was rendered and identify the name of the</w:t>
            </w:r>
            <w:r>
              <w:rPr>
                <w:spacing w:val="9"/>
                <w:sz w:val="11"/>
              </w:rPr>
              <w:t xml:space="preserve"> </w:t>
            </w:r>
            <w:r>
              <w:rPr>
                <w:sz w:val="11"/>
              </w:rPr>
              <w:t>Examiner.</w:t>
            </w:r>
          </w:p>
        </w:tc>
        <w:tc>
          <w:tcPr>
            <w:tcW w:w="3413" w:type="dxa"/>
          </w:tcPr>
          <w:p w14:paraId="35ABCC17" w14:textId="77777777" w:rsidR="006369E6" w:rsidRDefault="006B5592">
            <w:pPr>
              <w:pStyle w:val="TableParagraph"/>
              <w:rPr>
                <w:sz w:val="11"/>
              </w:rPr>
            </w:pPr>
            <w:r>
              <w:rPr>
                <w:sz w:val="11"/>
              </w:rPr>
              <w:t>* Among Examiner’s Determinations, how many do not provide the reasons on which the Determination is based?</w:t>
            </w:r>
          </w:p>
        </w:tc>
        <w:tc>
          <w:tcPr>
            <w:tcW w:w="3413" w:type="dxa"/>
          </w:tcPr>
          <w:p w14:paraId="1AC16700" w14:textId="77777777" w:rsidR="006369E6" w:rsidRDefault="006B5592">
            <w:pPr>
              <w:pStyle w:val="TableParagraph"/>
              <w:numPr>
                <w:ilvl w:val="0"/>
                <w:numId w:val="3"/>
              </w:numPr>
              <w:tabs>
                <w:tab w:val="left" w:pos="94"/>
              </w:tabs>
              <w:ind w:right="65" w:firstLine="0"/>
              <w:rPr>
                <w:sz w:val="11"/>
              </w:rPr>
            </w:pPr>
            <w:r>
              <w:rPr>
                <w:sz w:val="11"/>
              </w:rPr>
              <w:t>This concerns with the qualitative review of the URS cases. Not all URS Determinations state the names of the attorneys of the Complaints and</w:t>
            </w:r>
            <w:r>
              <w:rPr>
                <w:spacing w:val="7"/>
                <w:sz w:val="11"/>
              </w:rPr>
              <w:t xml:space="preserve"> </w:t>
            </w:r>
            <w:r>
              <w:rPr>
                <w:sz w:val="11"/>
              </w:rPr>
              <w:t>Respondents.</w:t>
            </w:r>
          </w:p>
          <w:p w14:paraId="089919E9" w14:textId="77777777" w:rsidR="006369E6" w:rsidRDefault="006B5592">
            <w:pPr>
              <w:pStyle w:val="TableParagraph"/>
              <w:numPr>
                <w:ilvl w:val="0"/>
                <w:numId w:val="3"/>
              </w:numPr>
              <w:tabs>
                <w:tab w:val="left" w:pos="94"/>
              </w:tabs>
              <w:spacing w:before="0"/>
              <w:ind w:right="218" w:firstLine="0"/>
              <w:rPr>
                <w:sz w:val="11"/>
              </w:rPr>
            </w:pPr>
            <w:r>
              <w:rPr>
                <w:sz w:val="11"/>
              </w:rPr>
              <w:t>A potential recommendation from the WG may be that the URS Determination to include additional required data elements (e.g., legal counsel involved, trademark, website content), which are required in UDRP cases, without overburden the</w:t>
            </w:r>
            <w:r>
              <w:rPr>
                <w:spacing w:val="15"/>
                <w:sz w:val="11"/>
              </w:rPr>
              <w:t xml:space="preserve"> </w:t>
            </w:r>
            <w:r>
              <w:rPr>
                <w:sz w:val="11"/>
              </w:rPr>
              <w:t>Examiners.</w:t>
            </w:r>
          </w:p>
        </w:tc>
        <w:tc>
          <w:tcPr>
            <w:tcW w:w="3413" w:type="dxa"/>
          </w:tcPr>
          <w:p w14:paraId="7483A7E1" w14:textId="77777777" w:rsidR="006369E6" w:rsidRDefault="006369E6"/>
        </w:tc>
      </w:tr>
    </w:tbl>
    <w:p w14:paraId="2E59079E" w14:textId="77777777" w:rsidR="006369E6" w:rsidRDefault="006369E6">
      <w:pPr>
        <w:sectPr w:rsidR="006369E6">
          <w:pgSz w:w="15840" w:h="12240" w:orient="landscape"/>
          <w:pgMar w:top="640" w:right="320" w:bottom="620" w:left="320" w:header="438" w:footer="421" w:gutter="0"/>
          <w:cols w:space="720"/>
        </w:sectPr>
      </w:pPr>
    </w:p>
    <w:p w14:paraId="2885F4DE" w14:textId="77777777" w:rsidR="006369E6" w:rsidRDefault="006369E6">
      <w:pPr>
        <w:pStyle w:val="BodyText"/>
        <w:rPr>
          <w:rFonts w:ascii="Times New Roman"/>
          <w:sz w:val="20"/>
        </w:rPr>
      </w:pPr>
    </w:p>
    <w:p w14:paraId="360FB287" w14:textId="77777777" w:rsidR="006369E6" w:rsidRDefault="006369E6">
      <w:pPr>
        <w:pStyle w:val="BodyText"/>
        <w:spacing w:before="1"/>
        <w:rPr>
          <w:rFonts w:ascii="Times New Roman"/>
          <w:sz w:val="16"/>
        </w:rPr>
      </w:pPr>
    </w:p>
    <w:tbl>
      <w:tblPr>
        <w:tblW w:w="0" w:type="auto"/>
        <w:tblInd w:w="67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592"/>
        <w:gridCol w:w="3413"/>
        <w:gridCol w:w="3413"/>
        <w:gridCol w:w="3415"/>
      </w:tblGrid>
      <w:tr w:rsidR="006369E6" w14:paraId="2DA723A8" w14:textId="77777777">
        <w:trPr>
          <w:trHeight w:hRule="exact" w:val="179"/>
        </w:trPr>
        <w:tc>
          <w:tcPr>
            <w:tcW w:w="3592" w:type="dxa"/>
            <w:shd w:val="clear" w:color="auto" w:fill="CEE1F3"/>
          </w:tcPr>
          <w:p w14:paraId="1340C2A2" w14:textId="77777777" w:rsidR="006369E6" w:rsidRDefault="006B5592">
            <w:pPr>
              <w:pStyle w:val="TableParagraph"/>
              <w:rPr>
                <w:b/>
                <w:sz w:val="11"/>
              </w:rPr>
            </w:pPr>
            <w:r>
              <w:rPr>
                <w:b/>
                <w:sz w:val="11"/>
              </w:rPr>
              <w:t>URS Rules</w:t>
            </w:r>
          </w:p>
        </w:tc>
        <w:tc>
          <w:tcPr>
            <w:tcW w:w="3413" w:type="dxa"/>
            <w:shd w:val="clear" w:color="auto" w:fill="CEE1F3"/>
          </w:tcPr>
          <w:p w14:paraId="36776F4F" w14:textId="77777777" w:rsidR="006369E6" w:rsidRDefault="006B5592">
            <w:pPr>
              <w:pStyle w:val="TableParagraph"/>
              <w:rPr>
                <w:b/>
                <w:sz w:val="11"/>
              </w:rPr>
            </w:pPr>
            <w:r>
              <w:rPr>
                <w:b/>
                <w:sz w:val="11"/>
              </w:rPr>
              <w:t>Proposed Questions</w:t>
            </w:r>
          </w:p>
        </w:tc>
        <w:tc>
          <w:tcPr>
            <w:tcW w:w="3413" w:type="dxa"/>
            <w:shd w:val="clear" w:color="auto" w:fill="CEE1F3"/>
          </w:tcPr>
          <w:p w14:paraId="1EF5F4DB" w14:textId="77777777" w:rsidR="006369E6" w:rsidRDefault="006B5592">
            <w:pPr>
              <w:pStyle w:val="TableParagraph"/>
              <w:rPr>
                <w:b/>
                <w:sz w:val="11"/>
              </w:rPr>
            </w:pPr>
            <w:r>
              <w:rPr>
                <w:b/>
                <w:sz w:val="11"/>
              </w:rPr>
              <w:t>Additional Notes</w:t>
            </w:r>
          </w:p>
        </w:tc>
        <w:tc>
          <w:tcPr>
            <w:tcW w:w="3413" w:type="dxa"/>
            <w:shd w:val="clear" w:color="auto" w:fill="CEE1F3"/>
          </w:tcPr>
          <w:p w14:paraId="5CBF3027" w14:textId="77777777" w:rsidR="006369E6" w:rsidRDefault="006B5592">
            <w:pPr>
              <w:pStyle w:val="TableParagraph"/>
              <w:rPr>
                <w:b/>
                <w:sz w:val="11"/>
              </w:rPr>
            </w:pPr>
            <w:r>
              <w:rPr>
                <w:b/>
                <w:sz w:val="11"/>
              </w:rPr>
              <w:t>Findings</w:t>
            </w:r>
          </w:p>
        </w:tc>
      </w:tr>
      <w:tr w:rsidR="006369E6" w14:paraId="38469101" w14:textId="77777777">
        <w:trPr>
          <w:trHeight w:hRule="exact" w:val="553"/>
        </w:trPr>
        <w:tc>
          <w:tcPr>
            <w:tcW w:w="3592" w:type="dxa"/>
          </w:tcPr>
          <w:p w14:paraId="000FB58F" w14:textId="77777777" w:rsidR="006369E6" w:rsidRDefault="006B5592">
            <w:pPr>
              <w:pStyle w:val="TableParagraph"/>
              <w:ind w:right="75"/>
              <w:rPr>
                <w:sz w:val="11"/>
              </w:rPr>
            </w:pPr>
            <w:r>
              <w:rPr>
                <w:sz w:val="11"/>
              </w:rPr>
              <w:t>(c) Examiner Determinations shall normally comply with the guidelines as to length set forth in the Provider's Supplemental Rules. If the Examiner concludes that the dispute is not within the scope of the URS Provider, it shall so state.</w:t>
            </w:r>
          </w:p>
        </w:tc>
        <w:tc>
          <w:tcPr>
            <w:tcW w:w="3413" w:type="dxa"/>
          </w:tcPr>
          <w:p w14:paraId="75B4D409" w14:textId="77777777" w:rsidR="006369E6" w:rsidRDefault="006B5592">
            <w:pPr>
              <w:pStyle w:val="TableParagraph"/>
              <w:ind w:right="192"/>
              <w:rPr>
                <w:sz w:val="11"/>
              </w:rPr>
            </w:pPr>
            <w:r>
              <w:rPr>
                <w:sz w:val="11"/>
              </w:rPr>
              <w:t>* What are the “guidelines”? Are they referring to the Provider’s Supplemental Rules? If not, can Providers provide a copy of their guidelines?</w:t>
            </w:r>
          </w:p>
        </w:tc>
        <w:tc>
          <w:tcPr>
            <w:tcW w:w="3413" w:type="dxa"/>
          </w:tcPr>
          <w:p w14:paraId="35375A1A" w14:textId="77777777" w:rsidR="006369E6" w:rsidRDefault="006369E6"/>
        </w:tc>
        <w:tc>
          <w:tcPr>
            <w:tcW w:w="3413" w:type="dxa"/>
          </w:tcPr>
          <w:p w14:paraId="2788703D" w14:textId="77777777" w:rsidR="006369E6" w:rsidRDefault="006369E6"/>
        </w:tc>
      </w:tr>
      <w:tr w:rsidR="006369E6" w14:paraId="2FFBE637" w14:textId="77777777">
        <w:trPr>
          <w:trHeight w:hRule="exact" w:val="681"/>
        </w:trPr>
        <w:tc>
          <w:tcPr>
            <w:tcW w:w="3592" w:type="dxa"/>
          </w:tcPr>
          <w:p w14:paraId="063599BA" w14:textId="77777777" w:rsidR="006369E6" w:rsidRDefault="006B5592">
            <w:pPr>
              <w:pStyle w:val="TableParagraph"/>
              <w:ind w:right="93"/>
              <w:rPr>
                <w:sz w:val="11"/>
              </w:rPr>
            </w:pPr>
            <w:r>
              <w:rPr>
                <w:sz w:val="11"/>
              </w:rPr>
              <w:t>(d) If after considering the submissions the Examiner finds that the Complaint was brought in bad faith or was brought primarily to harass the domain name holder, the Examiner shall declare in its Determination that the Complaint was brought in bad faith and constitutes an abuse of the URS proceeding.</w:t>
            </w:r>
          </w:p>
        </w:tc>
        <w:tc>
          <w:tcPr>
            <w:tcW w:w="3413" w:type="dxa"/>
          </w:tcPr>
          <w:p w14:paraId="51571730" w14:textId="77777777" w:rsidR="006369E6" w:rsidRDefault="006B5592">
            <w:pPr>
              <w:pStyle w:val="TableParagraph"/>
              <w:ind w:right="467"/>
              <w:rPr>
                <w:sz w:val="11"/>
              </w:rPr>
            </w:pPr>
            <w:r>
              <w:rPr>
                <w:sz w:val="11"/>
              </w:rPr>
              <w:t>* How often was this rule invoked? What factors have been considered by the Examiners in making that determination?</w:t>
            </w:r>
          </w:p>
        </w:tc>
        <w:tc>
          <w:tcPr>
            <w:tcW w:w="3413" w:type="dxa"/>
          </w:tcPr>
          <w:p w14:paraId="15216322" w14:textId="77777777" w:rsidR="006369E6" w:rsidRDefault="006369E6"/>
        </w:tc>
        <w:tc>
          <w:tcPr>
            <w:tcW w:w="3413" w:type="dxa"/>
          </w:tcPr>
          <w:p w14:paraId="3CE4C8E6" w14:textId="77777777" w:rsidR="006369E6" w:rsidRDefault="006369E6"/>
        </w:tc>
      </w:tr>
      <w:tr w:rsidR="006369E6" w14:paraId="4EBC0A2A" w14:textId="77777777">
        <w:trPr>
          <w:trHeight w:hRule="exact" w:val="179"/>
        </w:trPr>
        <w:tc>
          <w:tcPr>
            <w:tcW w:w="13833" w:type="dxa"/>
            <w:gridSpan w:val="4"/>
            <w:shd w:val="clear" w:color="auto" w:fill="F3F3F3"/>
          </w:tcPr>
          <w:p w14:paraId="6DBB8A78" w14:textId="77777777" w:rsidR="006369E6" w:rsidRDefault="006B5592">
            <w:pPr>
              <w:pStyle w:val="TableParagraph"/>
              <w:rPr>
                <w:b/>
                <w:sz w:val="11"/>
              </w:rPr>
            </w:pPr>
            <w:r>
              <w:rPr>
                <w:b/>
                <w:sz w:val="11"/>
              </w:rPr>
              <w:t>14. Remedies</w:t>
            </w:r>
          </w:p>
        </w:tc>
      </w:tr>
      <w:tr w:rsidR="006369E6" w14:paraId="6205B8BE" w14:textId="77777777">
        <w:trPr>
          <w:trHeight w:hRule="exact" w:val="426"/>
        </w:trPr>
        <w:tc>
          <w:tcPr>
            <w:tcW w:w="3592" w:type="dxa"/>
          </w:tcPr>
          <w:p w14:paraId="1EDECEBE" w14:textId="77777777" w:rsidR="006369E6" w:rsidRDefault="006B5592">
            <w:pPr>
              <w:pStyle w:val="TableParagraph"/>
              <w:rPr>
                <w:sz w:val="11"/>
              </w:rPr>
            </w:pPr>
            <w:r>
              <w:rPr>
                <w:sz w:val="11"/>
              </w:rPr>
              <w:t>(a) The sole remedy available to Complainant pursuant to any URS proceeding before an Examiner shall be limited to suspension of the domain name for the balance of the registration period.</w:t>
            </w:r>
          </w:p>
        </w:tc>
        <w:tc>
          <w:tcPr>
            <w:tcW w:w="3413" w:type="dxa"/>
          </w:tcPr>
          <w:p w14:paraId="64AE0E90" w14:textId="77777777" w:rsidR="006369E6" w:rsidRDefault="006369E6"/>
        </w:tc>
        <w:tc>
          <w:tcPr>
            <w:tcW w:w="3413" w:type="dxa"/>
          </w:tcPr>
          <w:p w14:paraId="0471855B" w14:textId="77777777" w:rsidR="006369E6" w:rsidRDefault="006369E6"/>
        </w:tc>
        <w:tc>
          <w:tcPr>
            <w:tcW w:w="3413" w:type="dxa"/>
          </w:tcPr>
          <w:p w14:paraId="12159BC6" w14:textId="77777777" w:rsidR="006369E6" w:rsidRDefault="006369E6"/>
        </w:tc>
      </w:tr>
      <w:tr w:rsidR="006369E6" w14:paraId="4282DC60" w14:textId="77777777">
        <w:trPr>
          <w:trHeight w:hRule="exact" w:val="426"/>
        </w:trPr>
        <w:tc>
          <w:tcPr>
            <w:tcW w:w="3592" w:type="dxa"/>
          </w:tcPr>
          <w:p w14:paraId="108D4B9C" w14:textId="77777777" w:rsidR="006369E6" w:rsidRDefault="006B5592">
            <w:pPr>
              <w:pStyle w:val="TableParagraph"/>
              <w:ind w:right="40"/>
              <w:rPr>
                <w:sz w:val="11"/>
              </w:rPr>
            </w:pPr>
            <w:r>
              <w:rPr>
                <w:sz w:val="11"/>
              </w:rPr>
              <w:t>(b) If the Complainant wishes to extend the remedy for an additional year per URS Procedure Paragraph 10.3, Complainant shall contact the Registry Operator directly regarding this</w:t>
            </w:r>
            <w:r>
              <w:rPr>
                <w:spacing w:val="11"/>
                <w:sz w:val="11"/>
              </w:rPr>
              <w:t xml:space="preserve"> </w:t>
            </w:r>
            <w:r>
              <w:rPr>
                <w:sz w:val="11"/>
              </w:rPr>
              <w:t>option.</w:t>
            </w:r>
          </w:p>
        </w:tc>
        <w:tc>
          <w:tcPr>
            <w:tcW w:w="3413" w:type="dxa"/>
          </w:tcPr>
          <w:p w14:paraId="179A5972" w14:textId="77777777" w:rsidR="006369E6" w:rsidRDefault="006369E6"/>
        </w:tc>
        <w:tc>
          <w:tcPr>
            <w:tcW w:w="3413" w:type="dxa"/>
          </w:tcPr>
          <w:p w14:paraId="17661F9E" w14:textId="77777777" w:rsidR="006369E6" w:rsidRDefault="006369E6"/>
        </w:tc>
        <w:tc>
          <w:tcPr>
            <w:tcW w:w="3413" w:type="dxa"/>
          </w:tcPr>
          <w:p w14:paraId="43D7A287" w14:textId="77777777" w:rsidR="006369E6" w:rsidRDefault="006369E6"/>
        </w:tc>
      </w:tr>
      <w:tr w:rsidR="006369E6" w14:paraId="77ACCB53" w14:textId="77777777">
        <w:trPr>
          <w:trHeight w:hRule="exact" w:val="179"/>
        </w:trPr>
        <w:tc>
          <w:tcPr>
            <w:tcW w:w="13833" w:type="dxa"/>
            <w:gridSpan w:val="4"/>
            <w:shd w:val="clear" w:color="auto" w:fill="F3F3F3"/>
          </w:tcPr>
          <w:p w14:paraId="314D25B8" w14:textId="77777777" w:rsidR="006369E6" w:rsidRDefault="006B5592">
            <w:pPr>
              <w:pStyle w:val="TableParagraph"/>
              <w:rPr>
                <w:b/>
                <w:sz w:val="11"/>
              </w:rPr>
            </w:pPr>
            <w:r>
              <w:rPr>
                <w:b/>
                <w:sz w:val="11"/>
              </w:rPr>
              <w:t>15. Determinations and Publication</w:t>
            </w:r>
          </w:p>
        </w:tc>
      </w:tr>
      <w:tr w:rsidR="006369E6" w14:paraId="7091FC37" w14:textId="77777777">
        <w:trPr>
          <w:trHeight w:hRule="exact" w:val="681"/>
        </w:trPr>
        <w:tc>
          <w:tcPr>
            <w:tcW w:w="3592" w:type="dxa"/>
          </w:tcPr>
          <w:p w14:paraId="3B0113EE" w14:textId="77777777" w:rsidR="006369E6" w:rsidRDefault="006B5592">
            <w:pPr>
              <w:pStyle w:val="TableParagraph"/>
              <w:ind w:right="212"/>
              <w:rPr>
                <w:sz w:val="11"/>
              </w:rPr>
            </w:pPr>
            <w:r>
              <w:rPr>
                <w:sz w:val="11"/>
              </w:rPr>
              <w:t>(a) The Provider shall publish the Determinations and the dates of implementation on a publicly accessible web site, subject to the considerations in Rule 15 (c) and (d) below. See URS Procedure Paragraphs 9.2 and 9.4. The portion of any Determination that a Complaint was brought in bad faith (see Rule 17) shall be published.</w:t>
            </w:r>
          </w:p>
        </w:tc>
        <w:tc>
          <w:tcPr>
            <w:tcW w:w="3413" w:type="dxa"/>
          </w:tcPr>
          <w:p w14:paraId="33667724" w14:textId="77777777" w:rsidR="006369E6" w:rsidRDefault="006369E6"/>
        </w:tc>
        <w:tc>
          <w:tcPr>
            <w:tcW w:w="3413" w:type="dxa"/>
          </w:tcPr>
          <w:p w14:paraId="7CF56635" w14:textId="77777777" w:rsidR="006369E6" w:rsidRDefault="006B5592">
            <w:pPr>
              <w:pStyle w:val="TableParagraph"/>
              <w:rPr>
                <w:sz w:val="11"/>
              </w:rPr>
            </w:pPr>
            <w:r>
              <w:rPr>
                <w:b/>
                <w:sz w:val="11"/>
              </w:rPr>
              <w:t>ACTION ITEM</w:t>
            </w:r>
            <w:r>
              <w:rPr>
                <w:sz w:val="11"/>
              </w:rPr>
              <w:t>: Staff to check whether URS Determinations have been published by all Providers.</w:t>
            </w:r>
          </w:p>
        </w:tc>
        <w:tc>
          <w:tcPr>
            <w:tcW w:w="3413" w:type="dxa"/>
          </w:tcPr>
          <w:p w14:paraId="6D5F000E" w14:textId="77777777" w:rsidR="006369E6" w:rsidRDefault="006369E6"/>
        </w:tc>
      </w:tr>
      <w:tr w:rsidR="006369E6" w14:paraId="286B7676" w14:textId="77777777">
        <w:trPr>
          <w:trHeight w:hRule="exact" w:val="426"/>
        </w:trPr>
        <w:tc>
          <w:tcPr>
            <w:tcW w:w="3592" w:type="dxa"/>
          </w:tcPr>
          <w:p w14:paraId="2B85AFCF" w14:textId="77777777" w:rsidR="006369E6" w:rsidRDefault="006B5592">
            <w:pPr>
              <w:pStyle w:val="TableParagraph"/>
              <w:ind w:right="58"/>
              <w:rPr>
                <w:sz w:val="11"/>
              </w:rPr>
            </w:pPr>
            <w:r>
              <w:rPr>
                <w:sz w:val="11"/>
              </w:rPr>
              <w:t>(b) Determinations are subject to change only to correct typographical and clerical errors and shall not be subject to substantive change at the request of any party.</w:t>
            </w:r>
          </w:p>
        </w:tc>
        <w:tc>
          <w:tcPr>
            <w:tcW w:w="3413" w:type="dxa"/>
          </w:tcPr>
          <w:p w14:paraId="42B66C58" w14:textId="77777777" w:rsidR="006369E6" w:rsidRDefault="006369E6"/>
        </w:tc>
        <w:tc>
          <w:tcPr>
            <w:tcW w:w="3413" w:type="dxa"/>
          </w:tcPr>
          <w:p w14:paraId="6B674522" w14:textId="77777777" w:rsidR="006369E6" w:rsidRDefault="006369E6"/>
        </w:tc>
        <w:tc>
          <w:tcPr>
            <w:tcW w:w="3413" w:type="dxa"/>
          </w:tcPr>
          <w:p w14:paraId="73D40908" w14:textId="77777777" w:rsidR="006369E6" w:rsidRDefault="006369E6"/>
        </w:tc>
      </w:tr>
      <w:tr w:rsidR="006369E6" w14:paraId="41EDCE5B" w14:textId="77777777">
        <w:trPr>
          <w:trHeight w:hRule="exact" w:val="553"/>
        </w:trPr>
        <w:tc>
          <w:tcPr>
            <w:tcW w:w="3592" w:type="dxa"/>
          </w:tcPr>
          <w:p w14:paraId="3DAC5EC4" w14:textId="77777777" w:rsidR="006369E6" w:rsidRDefault="006B5592">
            <w:pPr>
              <w:pStyle w:val="TableParagraph"/>
              <w:ind w:right="93"/>
              <w:rPr>
                <w:sz w:val="11"/>
              </w:rPr>
            </w:pPr>
            <w:r>
              <w:rPr>
                <w:sz w:val="11"/>
              </w:rPr>
              <w:t>(c) A Final Determination that changes a Default Determination outcome for the same case, shall replace the Default Determination on the Provider’s website, unless the Examiner determines both shall be made available and so states in its Final Determination.</w:t>
            </w:r>
          </w:p>
        </w:tc>
        <w:tc>
          <w:tcPr>
            <w:tcW w:w="3413" w:type="dxa"/>
          </w:tcPr>
          <w:p w14:paraId="18BC4D23" w14:textId="77777777" w:rsidR="006369E6" w:rsidRDefault="006B5592">
            <w:pPr>
              <w:pStyle w:val="TableParagraph"/>
              <w:ind w:right="285"/>
              <w:jc w:val="both"/>
              <w:rPr>
                <w:sz w:val="11"/>
              </w:rPr>
            </w:pPr>
            <w:r>
              <w:rPr>
                <w:sz w:val="11"/>
              </w:rPr>
              <w:t>* Has any Examiner determined to publish both the Default and Final Determination, when the Final Determination changes the Default Determination outcome for the same case?</w:t>
            </w:r>
          </w:p>
        </w:tc>
        <w:tc>
          <w:tcPr>
            <w:tcW w:w="3413" w:type="dxa"/>
          </w:tcPr>
          <w:p w14:paraId="0AE7F995" w14:textId="77777777" w:rsidR="006369E6" w:rsidRDefault="006369E6"/>
        </w:tc>
        <w:tc>
          <w:tcPr>
            <w:tcW w:w="3413" w:type="dxa"/>
          </w:tcPr>
          <w:p w14:paraId="005E6FA5" w14:textId="77777777" w:rsidR="006369E6" w:rsidRDefault="006369E6"/>
        </w:tc>
      </w:tr>
      <w:tr w:rsidR="006369E6" w14:paraId="07086F99" w14:textId="77777777">
        <w:trPr>
          <w:trHeight w:hRule="exact" w:val="553"/>
        </w:trPr>
        <w:tc>
          <w:tcPr>
            <w:tcW w:w="3592" w:type="dxa"/>
          </w:tcPr>
          <w:p w14:paraId="5B12427D" w14:textId="77777777" w:rsidR="006369E6" w:rsidRDefault="006B5592">
            <w:pPr>
              <w:pStyle w:val="TableParagraph"/>
              <w:ind w:right="28"/>
              <w:jc w:val="both"/>
              <w:rPr>
                <w:sz w:val="11"/>
              </w:rPr>
            </w:pPr>
            <w:r>
              <w:rPr>
                <w:sz w:val="11"/>
              </w:rPr>
              <w:t>(d) A Final Determination that upholds a Default Determination outcome for the same case may be published together on the Provider’s website, or the Final Determination may replace the Default Determination, at the Examiner’s discretion.</w:t>
            </w:r>
          </w:p>
        </w:tc>
        <w:tc>
          <w:tcPr>
            <w:tcW w:w="3413" w:type="dxa"/>
          </w:tcPr>
          <w:p w14:paraId="668D9DEF" w14:textId="77777777" w:rsidR="006369E6" w:rsidRDefault="006B5592">
            <w:pPr>
              <w:pStyle w:val="TableParagraph"/>
              <w:ind w:right="285"/>
              <w:jc w:val="both"/>
              <w:rPr>
                <w:sz w:val="11"/>
              </w:rPr>
            </w:pPr>
            <w:r>
              <w:rPr>
                <w:sz w:val="11"/>
              </w:rPr>
              <w:t>* Has any Examiner determined to publish both the Default and Final Determination, when the Final Determination upholds the Default Determination outcome for the same case?</w:t>
            </w:r>
          </w:p>
        </w:tc>
        <w:tc>
          <w:tcPr>
            <w:tcW w:w="3413" w:type="dxa"/>
          </w:tcPr>
          <w:p w14:paraId="61F0C292" w14:textId="77777777" w:rsidR="006369E6" w:rsidRDefault="006369E6"/>
        </w:tc>
        <w:tc>
          <w:tcPr>
            <w:tcW w:w="3413" w:type="dxa"/>
          </w:tcPr>
          <w:p w14:paraId="6C6558B1" w14:textId="77777777" w:rsidR="006369E6" w:rsidRDefault="006369E6"/>
        </w:tc>
      </w:tr>
      <w:tr w:rsidR="006369E6" w14:paraId="124FCC0D" w14:textId="77777777">
        <w:trPr>
          <w:trHeight w:hRule="exact" w:val="426"/>
        </w:trPr>
        <w:tc>
          <w:tcPr>
            <w:tcW w:w="3592" w:type="dxa"/>
          </w:tcPr>
          <w:p w14:paraId="69ADE645" w14:textId="77777777" w:rsidR="006369E6" w:rsidRDefault="006B5592">
            <w:pPr>
              <w:pStyle w:val="TableParagraph"/>
              <w:rPr>
                <w:sz w:val="11"/>
              </w:rPr>
            </w:pPr>
            <w:r>
              <w:rPr>
                <w:sz w:val="11"/>
              </w:rPr>
              <w:t>(e) The Examiner or Panel has the sole discretion to require the Appeal Determination to be published either instead of, or together with, the Default or Final Determination it has overruled or upheld.</w:t>
            </w:r>
          </w:p>
        </w:tc>
        <w:tc>
          <w:tcPr>
            <w:tcW w:w="3413" w:type="dxa"/>
          </w:tcPr>
          <w:p w14:paraId="4F67CCEB" w14:textId="77777777" w:rsidR="006369E6" w:rsidRDefault="006B5592">
            <w:pPr>
              <w:pStyle w:val="TableParagraph"/>
              <w:rPr>
                <w:sz w:val="11"/>
              </w:rPr>
            </w:pPr>
            <w:r>
              <w:rPr>
                <w:sz w:val="11"/>
              </w:rPr>
              <w:t>* What are your Examiners’ practice with regard to the publication of Appeal Determination?</w:t>
            </w:r>
          </w:p>
        </w:tc>
        <w:tc>
          <w:tcPr>
            <w:tcW w:w="3413" w:type="dxa"/>
          </w:tcPr>
          <w:p w14:paraId="5C2D23C5" w14:textId="77777777" w:rsidR="006369E6" w:rsidRDefault="006369E6"/>
        </w:tc>
        <w:tc>
          <w:tcPr>
            <w:tcW w:w="3413" w:type="dxa"/>
          </w:tcPr>
          <w:p w14:paraId="4AC21295" w14:textId="77777777" w:rsidR="006369E6" w:rsidRDefault="006369E6"/>
        </w:tc>
      </w:tr>
      <w:tr w:rsidR="006369E6" w14:paraId="3CA8D424" w14:textId="77777777">
        <w:trPr>
          <w:trHeight w:hRule="exact" w:val="936"/>
        </w:trPr>
        <w:tc>
          <w:tcPr>
            <w:tcW w:w="3592" w:type="dxa"/>
          </w:tcPr>
          <w:p w14:paraId="1A53D41C" w14:textId="77777777" w:rsidR="006369E6" w:rsidRDefault="006B5592">
            <w:pPr>
              <w:pStyle w:val="TableParagraph"/>
              <w:ind w:right="93"/>
              <w:rPr>
                <w:sz w:val="11"/>
              </w:rPr>
            </w:pPr>
            <w:r>
              <w:rPr>
                <w:sz w:val="11"/>
              </w:rPr>
              <w:t>(f) Determinations related to the same domain names and/or parties, but not part of the same case, need not be linked in any way on the Provider’s website.</w:t>
            </w:r>
          </w:p>
        </w:tc>
        <w:tc>
          <w:tcPr>
            <w:tcW w:w="3413" w:type="dxa"/>
          </w:tcPr>
          <w:p w14:paraId="1CFCF14B" w14:textId="77777777" w:rsidR="006369E6" w:rsidRDefault="006B5592">
            <w:pPr>
              <w:pStyle w:val="TableParagraph"/>
              <w:numPr>
                <w:ilvl w:val="0"/>
                <w:numId w:val="2"/>
              </w:numPr>
              <w:tabs>
                <w:tab w:val="left" w:pos="100"/>
              </w:tabs>
              <w:ind w:right="76" w:firstLine="0"/>
              <w:jc w:val="both"/>
              <w:rPr>
                <w:sz w:val="11"/>
              </w:rPr>
            </w:pPr>
            <w:r>
              <w:rPr>
                <w:sz w:val="11"/>
              </w:rPr>
              <w:t>What is the rationale behind not linking the Determinations related to the same domain names and/or parties, but not part of the same case?</w:t>
            </w:r>
          </w:p>
          <w:p w14:paraId="2EC189C9" w14:textId="77777777" w:rsidR="006369E6" w:rsidRDefault="006B5592">
            <w:pPr>
              <w:pStyle w:val="TableParagraph"/>
              <w:numPr>
                <w:ilvl w:val="0"/>
                <w:numId w:val="2"/>
              </w:numPr>
              <w:tabs>
                <w:tab w:val="left" w:pos="100"/>
              </w:tabs>
              <w:spacing w:before="0"/>
              <w:ind w:right="334" w:firstLine="0"/>
              <w:rPr>
                <w:sz w:val="11"/>
              </w:rPr>
            </w:pPr>
            <w:r>
              <w:rPr>
                <w:sz w:val="11"/>
              </w:rPr>
              <w:t>Have you ever linked the Determinations related to the same domain names? If not, why</w:t>
            </w:r>
            <w:r>
              <w:rPr>
                <w:spacing w:val="7"/>
                <w:sz w:val="11"/>
              </w:rPr>
              <w:t xml:space="preserve"> </w:t>
            </w:r>
            <w:r>
              <w:rPr>
                <w:sz w:val="11"/>
              </w:rPr>
              <w:t>not?</w:t>
            </w:r>
          </w:p>
          <w:p w14:paraId="51CFBF0F" w14:textId="77777777" w:rsidR="006369E6" w:rsidRDefault="006B5592">
            <w:pPr>
              <w:pStyle w:val="TableParagraph"/>
              <w:numPr>
                <w:ilvl w:val="0"/>
                <w:numId w:val="2"/>
              </w:numPr>
              <w:tabs>
                <w:tab w:val="left" w:pos="100"/>
              </w:tabs>
              <w:spacing w:before="0"/>
              <w:ind w:right="27" w:firstLine="0"/>
              <w:jc w:val="both"/>
              <w:rPr>
                <w:sz w:val="11"/>
              </w:rPr>
            </w:pPr>
            <w:r>
              <w:rPr>
                <w:sz w:val="11"/>
              </w:rPr>
              <w:t>How many Final Determinations were made by the same Examiner who also made the Default Determinations for the same</w:t>
            </w:r>
            <w:r>
              <w:rPr>
                <w:spacing w:val="15"/>
                <w:sz w:val="11"/>
              </w:rPr>
              <w:t xml:space="preserve"> </w:t>
            </w:r>
            <w:r>
              <w:rPr>
                <w:sz w:val="11"/>
              </w:rPr>
              <w:t>case?</w:t>
            </w:r>
          </w:p>
        </w:tc>
        <w:tc>
          <w:tcPr>
            <w:tcW w:w="3413" w:type="dxa"/>
          </w:tcPr>
          <w:p w14:paraId="29E17087" w14:textId="77777777" w:rsidR="006369E6" w:rsidRDefault="006B5592">
            <w:pPr>
              <w:pStyle w:val="TableParagraph"/>
              <w:ind w:right="45"/>
              <w:rPr>
                <w:sz w:val="11"/>
              </w:rPr>
            </w:pPr>
            <w:r>
              <w:rPr>
                <w:sz w:val="11"/>
              </w:rPr>
              <w:t>- Should the WG recommend ICANN to aggregate the Determinations from the separate databases managed by the three Providers and place them in one central database? By doing so, it may be helpful to detect bad faith registrants and detect other patterns.</w:t>
            </w:r>
          </w:p>
        </w:tc>
        <w:tc>
          <w:tcPr>
            <w:tcW w:w="3413" w:type="dxa"/>
          </w:tcPr>
          <w:p w14:paraId="48A6A8DC" w14:textId="77777777" w:rsidR="006369E6" w:rsidRDefault="006369E6"/>
        </w:tc>
      </w:tr>
      <w:tr w:rsidR="006369E6" w14:paraId="1808782F" w14:textId="77777777">
        <w:trPr>
          <w:trHeight w:hRule="exact" w:val="179"/>
        </w:trPr>
        <w:tc>
          <w:tcPr>
            <w:tcW w:w="13833" w:type="dxa"/>
            <w:gridSpan w:val="4"/>
            <w:shd w:val="clear" w:color="auto" w:fill="F3F3F3"/>
          </w:tcPr>
          <w:p w14:paraId="33DF4936" w14:textId="77777777" w:rsidR="006369E6" w:rsidRDefault="006B5592">
            <w:pPr>
              <w:pStyle w:val="TableParagraph"/>
              <w:rPr>
                <w:b/>
                <w:sz w:val="11"/>
              </w:rPr>
            </w:pPr>
            <w:r>
              <w:rPr>
                <w:b/>
                <w:sz w:val="11"/>
              </w:rPr>
              <w:t>16. Settlement or Other Grounds for Termination</w:t>
            </w:r>
          </w:p>
        </w:tc>
      </w:tr>
      <w:tr w:rsidR="006369E6" w14:paraId="0DE58E2C" w14:textId="77777777">
        <w:trPr>
          <w:trHeight w:hRule="exact" w:val="298"/>
        </w:trPr>
        <w:tc>
          <w:tcPr>
            <w:tcW w:w="3592" w:type="dxa"/>
          </w:tcPr>
          <w:p w14:paraId="17F75534" w14:textId="77777777" w:rsidR="006369E6" w:rsidRDefault="006B5592">
            <w:pPr>
              <w:pStyle w:val="TableParagraph"/>
              <w:ind w:right="322"/>
              <w:rPr>
                <w:sz w:val="11"/>
              </w:rPr>
            </w:pPr>
            <w:r>
              <w:rPr>
                <w:sz w:val="11"/>
              </w:rPr>
              <w:t>(a) If, before the Examiner’s Determination, the Parties agree on a settlement, the Examiner shall terminate the URS proceeding.</w:t>
            </w:r>
          </w:p>
        </w:tc>
        <w:tc>
          <w:tcPr>
            <w:tcW w:w="3413" w:type="dxa"/>
          </w:tcPr>
          <w:p w14:paraId="068C733A" w14:textId="77777777" w:rsidR="006369E6" w:rsidRDefault="006369E6"/>
        </w:tc>
        <w:tc>
          <w:tcPr>
            <w:tcW w:w="3413" w:type="dxa"/>
          </w:tcPr>
          <w:p w14:paraId="552D288C" w14:textId="77777777" w:rsidR="006369E6" w:rsidRDefault="006369E6"/>
        </w:tc>
        <w:tc>
          <w:tcPr>
            <w:tcW w:w="3413" w:type="dxa"/>
          </w:tcPr>
          <w:p w14:paraId="407970B4" w14:textId="77777777" w:rsidR="006369E6" w:rsidRDefault="006369E6"/>
        </w:tc>
      </w:tr>
      <w:tr w:rsidR="006369E6" w14:paraId="3EA1EEF7" w14:textId="77777777">
        <w:trPr>
          <w:trHeight w:hRule="exact" w:val="681"/>
        </w:trPr>
        <w:tc>
          <w:tcPr>
            <w:tcW w:w="3592" w:type="dxa"/>
          </w:tcPr>
          <w:p w14:paraId="3A8BED39" w14:textId="77777777" w:rsidR="006369E6" w:rsidRDefault="006B5592">
            <w:pPr>
              <w:pStyle w:val="TableParagraph"/>
              <w:rPr>
                <w:sz w:val="11"/>
              </w:rPr>
            </w:pPr>
            <w:r>
              <w:rPr>
                <w:sz w:val="11"/>
              </w:rPr>
              <w:t>(b) If, before the Examiner’s Determination is made, it becomes unnecessary or impossible to continue the URS proceeding for any reason, the Examiner shall terminate the proceeding, unless a Party raises justifiable grounds for objection within a period of time to be determined by the Examiner.</w:t>
            </w:r>
          </w:p>
        </w:tc>
        <w:tc>
          <w:tcPr>
            <w:tcW w:w="3413" w:type="dxa"/>
          </w:tcPr>
          <w:p w14:paraId="2518893D" w14:textId="77777777" w:rsidR="006369E6" w:rsidRDefault="006B5592">
            <w:pPr>
              <w:pStyle w:val="TableParagraph"/>
              <w:ind w:right="45"/>
              <w:rPr>
                <w:sz w:val="11"/>
              </w:rPr>
            </w:pPr>
            <w:r>
              <w:rPr>
                <w:sz w:val="11"/>
              </w:rPr>
              <w:t>* How many such incidents have been recorded by the Provider (before the Examiner’s Determination is made, it became unnecessary or impossible to continue the URS proceeding for any reason)?</w:t>
            </w:r>
          </w:p>
        </w:tc>
        <w:tc>
          <w:tcPr>
            <w:tcW w:w="3413" w:type="dxa"/>
          </w:tcPr>
          <w:p w14:paraId="3955A15B" w14:textId="77777777" w:rsidR="006369E6" w:rsidRDefault="006369E6"/>
        </w:tc>
        <w:tc>
          <w:tcPr>
            <w:tcW w:w="3413" w:type="dxa"/>
          </w:tcPr>
          <w:p w14:paraId="251C02BE" w14:textId="77777777" w:rsidR="006369E6" w:rsidRDefault="006369E6"/>
        </w:tc>
      </w:tr>
      <w:tr w:rsidR="006369E6" w14:paraId="30B3C505" w14:textId="77777777">
        <w:trPr>
          <w:trHeight w:hRule="exact" w:val="179"/>
        </w:trPr>
        <w:tc>
          <w:tcPr>
            <w:tcW w:w="13833" w:type="dxa"/>
            <w:gridSpan w:val="4"/>
            <w:shd w:val="clear" w:color="auto" w:fill="F3F3F3"/>
          </w:tcPr>
          <w:p w14:paraId="65595F8E" w14:textId="77777777" w:rsidR="006369E6" w:rsidRDefault="006B5592">
            <w:pPr>
              <w:pStyle w:val="TableParagraph"/>
              <w:rPr>
                <w:b/>
                <w:sz w:val="11"/>
              </w:rPr>
            </w:pPr>
            <w:r>
              <w:rPr>
                <w:b/>
                <w:sz w:val="11"/>
              </w:rPr>
              <w:t>17. Effect of Court Proceedings</w:t>
            </w:r>
          </w:p>
        </w:tc>
      </w:tr>
      <w:tr w:rsidR="006369E6" w14:paraId="5544EA37" w14:textId="77777777">
        <w:trPr>
          <w:trHeight w:hRule="exact" w:val="681"/>
        </w:trPr>
        <w:tc>
          <w:tcPr>
            <w:tcW w:w="3592" w:type="dxa"/>
          </w:tcPr>
          <w:p w14:paraId="7B9A2302" w14:textId="77777777" w:rsidR="006369E6" w:rsidRDefault="006B5592">
            <w:pPr>
              <w:pStyle w:val="TableParagraph"/>
              <w:ind w:right="40"/>
              <w:rPr>
                <w:sz w:val="11"/>
              </w:rPr>
            </w:pPr>
            <w:r>
              <w:rPr>
                <w:sz w:val="11"/>
              </w:rPr>
              <w:t>(a) In the event of any legal proceedings initiated prior to or during a URS proceeding in respect to the domain-name that is the subject of  the Complaint, the Examiner shall have the discretion to decide whether to suspend or terminate the URS proceeding, or to proceed to a Determination.</w:t>
            </w:r>
          </w:p>
        </w:tc>
        <w:tc>
          <w:tcPr>
            <w:tcW w:w="3413" w:type="dxa"/>
          </w:tcPr>
          <w:p w14:paraId="633E0DE4" w14:textId="77777777" w:rsidR="006369E6" w:rsidRDefault="006B5592">
            <w:pPr>
              <w:pStyle w:val="TableParagraph"/>
              <w:rPr>
                <w:sz w:val="11"/>
              </w:rPr>
            </w:pPr>
            <w:r>
              <w:rPr>
                <w:sz w:val="11"/>
              </w:rPr>
              <w:t>* How often was a legal proceeding initiated prior to or during a URS proceeding? Have there been any intervening lawsuit?</w:t>
            </w:r>
          </w:p>
        </w:tc>
        <w:tc>
          <w:tcPr>
            <w:tcW w:w="3413" w:type="dxa"/>
          </w:tcPr>
          <w:p w14:paraId="5EA7E1EE" w14:textId="77777777" w:rsidR="006369E6" w:rsidRDefault="006B5592">
            <w:pPr>
              <w:pStyle w:val="TableParagraph"/>
              <w:ind w:right="357"/>
              <w:rPr>
                <w:sz w:val="11"/>
              </w:rPr>
            </w:pPr>
            <w:r>
              <w:rPr>
                <w:sz w:val="11"/>
              </w:rPr>
              <w:t>- WG should check the data gathered by Berry and see what Examiners have been done in dealing with court proceedings.</w:t>
            </w:r>
          </w:p>
        </w:tc>
        <w:tc>
          <w:tcPr>
            <w:tcW w:w="3413" w:type="dxa"/>
          </w:tcPr>
          <w:p w14:paraId="69935C32" w14:textId="77777777" w:rsidR="006369E6" w:rsidRDefault="006369E6"/>
        </w:tc>
      </w:tr>
      <w:tr w:rsidR="006369E6" w14:paraId="03632FF6" w14:textId="77777777">
        <w:trPr>
          <w:trHeight w:hRule="exact" w:val="553"/>
        </w:trPr>
        <w:tc>
          <w:tcPr>
            <w:tcW w:w="3592" w:type="dxa"/>
          </w:tcPr>
          <w:p w14:paraId="4FDA2A14" w14:textId="77777777" w:rsidR="006369E6" w:rsidRDefault="006B5592">
            <w:pPr>
              <w:pStyle w:val="TableParagraph"/>
              <w:ind w:right="75"/>
              <w:rPr>
                <w:sz w:val="11"/>
              </w:rPr>
            </w:pPr>
            <w:r>
              <w:rPr>
                <w:sz w:val="11"/>
              </w:rPr>
              <w:t>(b) In the event that a Party initiates any legal proceedings during the pendency of a URS proceeding in respect to the domain-name that is the subject of the Complaint, the Party shall promptly notify the Examiner and the Provider. See Rule 7 above.</w:t>
            </w:r>
          </w:p>
        </w:tc>
        <w:tc>
          <w:tcPr>
            <w:tcW w:w="3413" w:type="dxa"/>
          </w:tcPr>
          <w:p w14:paraId="7F8D22E5" w14:textId="77777777" w:rsidR="006369E6" w:rsidRDefault="006369E6"/>
        </w:tc>
        <w:tc>
          <w:tcPr>
            <w:tcW w:w="3413" w:type="dxa"/>
          </w:tcPr>
          <w:p w14:paraId="64809F07" w14:textId="77777777" w:rsidR="006369E6" w:rsidRDefault="006369E6"/>
        </w:tc>
        <w:tc>
          <w:tcPr>
            <w:tcW w:w="3413" w:type="dxa"/>
          </w:tcPr>
          <w:p w14:paraId="3561C8DA" w14:textId="77777777" w:rsidR="006369E6" w:rsidRDefault="006369E6"/>
        </w:tc>
      </w:tr>
      <w:tr w:rsidR="006369E6" w14:paraId="4A63AFAD" w14:textId="77777777">
        <w:trPr>
          <w:trHeight w:hRule="exact" w:val="179"/>
        </w:trPr>
        <w:tc>
          <w:tcPr>
            <w:tcW w:w="13833" w:type="dxa"/>
            <w:gridSpan w:val="4"/>
            <w:shd w:val="clear" w:color="auto" w:fill="F3F3F3"/>
          </w:tcPr>
          <w:p w14:paraId="0F339EE7" w14:textId="77777777" w:rsidR="006369E6" w:rsidRDefault="006B5592">
            <w:pPr>
              <w:pStyle w:val="TableParagraph"/>
              <w:rPr>
                <w:b/>
                <w:sz w:val="11"/>
              </w:rPr>
            </w:pPr>
            <w:r>
              <w:rPr>
                <w:b/>
                <w:sz w:val="11"/>
              </w:rPr>
              <w:t>18. Abusive Complaints</w:t>
            </w:r>
          </w:p>
        </w:tc>
      </w:tr>
      <w:tr w:rsidR="006369E6" w14:paraId="7D68D1EC" w14:textId="77777777">
        <w:trPr>
          <w:trHeight w:hRule="exact" w:val="298"/>
        </w:trPr>
        <w:tc>
          <w:tcPr>
            <w:tcW w:w="3592" w:type="dxa"/>
          </w:tcPr>
          <w:p w14:paraId="6D575CAE" w14:textId="77777777" w:rsidR="006369E6" w:rsidRDefault="006B5592">
            <w:pPr>
              <w:pStyle w:val="TableParagraph"/>
              <w:ind w:right="384"/>
              <w:rPr>
                <w:sz w:val="11"/>
              </w:rPr>
            </w:pPr>
            <w:r>
              <w:rPr>
                <w:sz w:val="11"/>
              </w:rPr>
              <w:t>(a) The Examiner may, of its own accord, find that a Complaint is abusive or contains deliberate material falsehoods.</w:t>
            </w:r>
          </w:p>
        </w:tc>
        <w:tc>
          <w:tcPr>
            <w:tcW w:w="3413" w:type="dxa"/>
          </w:tcPr>
          <w:p w14:paraId="4B8B8170" w14:textId="77777777" w:rsidR="006369E6" w:rsidRDefault="006369E6"/>
        </w:tc>
        <w:tc>
          <w:tcPr>
            <w:tcW w:w="3413" w:type="dxa"/>
          </w:tcPr>
          <w:p w14:paraId="41F173D7" w14:textId="77777777" w:rsidR="006369E6" w:rsidRDefault="006369E6"/>
        </w:tc>
        <w:tc>
          <w:tcPr>
            <w:tcW w:w="3413" w:type="dxa"/>
          </w:tcPr>
          <w:p w14:paraId="66F5C3E3" w14:textId="77777777" w:rsidR="006369E6" w:rsidRDefault="006369E6"/>
        </w:tc>
      </w:tr>
      <w:tr w:rsidR="006369E6" w14:paraId="6E12AC37" w14:textId="77777777">
        <w:trPr>
          <w:trHeight w:hRule="exact" w:val="426"/>
        </w:trPr>
        <w:tc>
          <w:tcPr>
            <w:tcW w:w="3592" w:type="dxa"/>
          </w:tcPr>
          <w:p w14:paraId="394A519B" w14:textId="77777777" w:rsidR="006369E6" w:rsidRDefault="006B5592">
            <w:pPr>
              <w:pStyle w:val="TableParagraph"/>
              <w:rPr>
                <w:sz w:val="11"/>
              </w:rPr>
            </w:pPr>
            <w:r>
              <w:rPr>
                <w:sz w:val="11"/>
              </w:rPr>
              <w:t>(b) A Respondent may, in its Response, allege that a Complaint was brought in an abuse of the URS process or contains deliberate material falsehoods.</w:t>
            </w:r>
          </w:p>
        </w:tc>
        <w:tc>
          <w:tcPr>
            <w:tcW w:w="3413" w:type="dxa"/>
          </w:tcPr>
          <w:p w14:paraId="73297F59" w14:textId="77777777" w:rsidR="006369E6" w:rsidRDefault="006369E6"/>
        </w:tc>
        <w:tc>
          <w:tcPr>
            <w:tcW w:w="3413" w:type="dxa"/>
          </w:tcPr>
          <w:p w14:paraId="1A076395" w14:textId="77777777" w:rsidR="006369E6" w:rsidRDefault="006369E6"/>
        </w:tc>
        <w:tc>
          <w:tcPr>
            <w:tcW w:w="3413" w:type="dxa"/>
          </w:tcPr>
          <w:p w14:paraId="2884147C" w14:textId="77777777" w:rsidR="006369E6" w:rsidRDefault="006369E6"/>
        </w:tc>
      </w:tr>
    </w:tbl>
    <w:p w14:paraId="5D65ABA5" w14:textId="77777777" w:rsidR="006369E6" w:rsidRDefault="006369E6">
      <w:pPr>
        <w:sectPr w:rsidR="006369E6">
          <w:pgSz w:w="15840" w:h="12240" w:orient="landscape"/>
          <w:pgMar w:top="640" w:right="320" w:bottom="620" w:left="320" w:header="438" w:footer="421" w:gutter="0"/>
          <w:cols w:space="720"/>
        </w:sectPr>
      </w:pPr>
    </w:p>
    <w:p w14:paraId="2076C7EA" w14:textId="77777777" w:rsidR="006369E6" w:rsidRDefault="006369E6">
      <w:pPr>
        <w:pStyle w:val="BodyText"/>
        <w:rPr>
          <w:rFonts w:ascii="Times New Roman"/>
          <w:sz w:val="20"/>
        </w:rPr>
      </w:pPr>
    </w:p>
    <w:p w14:paraId="07E00FDD" w14:textId="77777777" w:rsidR="006369E6" w:rsidRDefault="006369E6">
      <w:pPr>
        <w:pStyle w:val="BodyText"/>
        <w:spacing w:before="1"/>
        <w:rPr>
          <w:rFonts w:ascii="Times New Roman"/>
          <w:sz w:val="16"/>
        </w:rPr>
      </w:pPr>
    </w:p>
    <w:tbl>
      <w:tblPr>
        <w:tblW w:w="0" w:type="auto"/>
        <w:tblInd w:w="679"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79"/>
        <w:gridCol w:w="3413"/>
        <w:gridCol w:w="3413"/>
        <w:gridCol w:w="3413"/>
        <w:gridCol w:w="3415"/>
      </w:tblGrid>
      <w:tr w:rsidR="006369E6" w14:paraId="1F70A956" w14:textId="77777777">
        <w:trPr>
          <w:trHeight w:hRule="exact" w:val="179"/>
        </w:trPr>
        <w:tc>
          <w:tcPr>
            <w:tcW w:w="3592" w:type="dxa"/>
            <w:gridSpan w:val="2"/>
            <w:shd w:val="clear" w:color="auto" w:fill="CEE1F3"/>
          </w:tcPr>
          <w:p w14:paraId="39CD3913" w14:textId="77777777" w:rsidR="006369E6" w:rsidRDefault="006B5592">
            <w:pPr>
              <w:pStyle w:val="TableParagraph"/>
              <w:rPr>
                <w:b/>
                <w:sz w:val="11"/>
              </w:rPr>
            </w:pPr>
            <w:r>
              <w:rPr>
                <w:b/>
                <w:sz w:val="11"/>
              </w:rPr>
              <w:t>URS Rules</w:t>
            </w:r>
          </w:p>
        </w:tc>
        <w:tc>
          <w:tcPr>
            <w:tcW w:w="3413" w:type="dxa"/>
            <w:shd w:val="clear" w:color="auto" w:fill="CEE1F3"/>
          </w:tcPr>
          <w:p w14:paraId="111352B1" w14:textId="77777777" w:rsidR="006369E6" w:rsidRDefault="006B5592">
            <w:pPr>
              <w:pStyle w:val="TableParagraph"/>
              <w:rPr>
                <w:b/>
                <w:sz w:val="11"/>
              </w:rPr>
            </w:pPr>
            <w:r>
              <w:rPr>
                <w:b/>
                <w:sz w:val="11"/>
              </w:rPr>
              <w:t>Proposed Questions</w:t>
            </w:r>
          </w:p>
        </w:tc>
        <w:tc>
          <w:tcPr>
            <w:tcW w:w="3413" w:type="dxa"/>
            <w:shd w:val="clear" w:color="auto" w:fill="CEE1F3"/>
          </w:tcPr>
          <w:p w14:paraId="2D57FA0A" w14:textId="77777777" w:rsidR="006369E6" w:rsidRDefault="006B5592">
            <w:pPr>
              <w:pStyle w:val="TableParagraph"/>
              <w:rPr>
                <w:b/>
                <w:sz w:val="11"/>
              </w:rPr>
            </w:pPr>
            <w:r>
              <w:rPr>
                <w:b/>
                <w:sz w:val="11"/>
              </w:rPr>
              <w:t>Additional Notes</w:t>
            </w:r>
          </w:p>
        </w:tc>
        <w:tc>
          <w:tcPr>
            <w:tcW w:w="3413" w:type="dxa"/>
            <w:shd w:val="clear" w:color="auto" w:fill="CEE1F3"/>
          </w:tcPr>
          <w:p w14:paraId="23200BC7" w14:textId="77777777" w:rsidR="006369E6" w:rsidRDefault="006B5592">
            <w:pPr>
              <w:pStyle w:val="TableParagraph"/>
              <w:rPr>
                <w:b/>
                <w:sz w:val="11"/>
              </w:rPr>
            </w:pPr>
            <w:r>
              <w:rPr>
                <w:b/>
                <w:sz w:val="11"/>
              </w:rPr>
              <w:t>Findings</w:t>
            </w:r>
          </w:p>
        </w:tc>
      </w:tr>
      <w:tr w:rsidR="006369E6" w14:paraId="5FDD15BA" w14:textId="77777777">
        <w:trPr>
          <w:trHeight w:hRule="exact" w:val="426"/>
        </w:trPr>
        <w:tc>
          <w:tcPr>
            <w:tcW w:w="3592" w:type="dxa"/>
            <w:gridSpan w:val="2"/>
          </w:tcPr>
          <w:p w14:paraId="401D0C21" w14:textId="77777777" w:rsidR="006369E6" w:rsidRDefault="006B5592">
            <w:pPr>
              <w:pStyle w:val="TableParagraph"/>
              <w:ind w:right="70"/>
              <w:jc w:val="both"/>
              <w:rPr>
                <w:sz w:val="11"/>
              </w:rPr>
            </w:pPr>
            <w:r>
              <w:rPr>
                <w:sz w:val="11"/>
              </w:rPr>
              <w:t>(c) Any findings by an Examiner as to abusive Complaints or deliberate materials falsehoods shall be so stated in the Determination, along with sufficient rationale to justify the finding to any potential Appeal Panel.</w:t>
            </w:r>
          </w:p>
        </w:tc>
        <w:tc>
          <w:tcPr>
            <w:tcW w:w="3413" w:type="dxa"/>
          </w:tcPr>
          <w:p w14:paraId="35671732" w14:textId="77777777" w:rsidR="006369E6" w:rsidRDefault="006369E6"/>
        </w:tc>
        <w:tc>
          <w:tcPr>
            <w:tcW w:w="3413" w:type="dxa"/>
          </w:tcPr>
          <w:p w14:paraId="4EF19E66" w14:textId="77777777" w:rsidR="006369E6" w:rsidRDefault="006369E6"/>
        </w:tc>
        <w:tc>
          <w:tcPr>
            <w:tcW w:w="3413" w:type="dxa"/>
          </w:tcPr>
          <w:p w14:paraId="2656829A" w14:textId="77777777" w:rsidR="006369E6" w:rsidRDefault="006369E6"/>
        </w:tc>
      </w:tr>
      <w:tr w:rsidR="006369E6" w14:paraId="71AA69A2" w14:textId="77777777">
        <w:trPr>
          <w:trHeight w:hRule="exact" w:val="426"/>
        </w:trPr>
        <w:tc>
          <w:tcPr>
            <w:tcW w:w="3592" w:type="dxa"/>
            <w:gridSpan w:val="2"/>
          </w:tcPr>
          <w:p w14:paraId="3F975ADC" w14:textId="77777777" w:rsidR="006369E6" w:rsidRDefault="006B5592">
            <w:pPr>
              <w:pStyle w:val="TableParagraph"/>
              <w:rPr>
                <w:sz w:val="11"/>
              </w:rPr>
            </w:pPr>
            <w:r>
              <w:rPr>
                <w:sz w:val="11"/>
              </w:rPr>
              <w:t>(d) Any Provider registering a case of abuse as described in the URS Procedure Paragraph 11 shall, within one (1) Business Day submit information of the abuse case to an abuse case database.</w:t>
            </w:r>
          </w:p>
        </w:tc>
        <w:tc>
          <w:tcPr>
            <w:tcW w:w="3413" w:type="dxa"/>
          </w:tcPr>
          <w:p w14:paraId="2C857F0B" w14:textId="77777777" w:rsidR="006369E6" w:rsidRDefault="006B5592">
            <w:pPr>
              <w:pStyle w:val="TableParagraph"/>
              <w:rPr>
                <w:sz w:val="11"/>
              </w:rPr>
            </w:pPr>
            <w:r>
              <w:rPr>
                <w:sz w:val="11"/>
              </w:rPr>
              <w:t>* Have the Providers registered any case of abuse?</w:t>
            </w:r>
          </w:p>
        </w:tc>
        <w:tc>
          <w:tcPr>
            <w:tcW w:w="3413" w:type="dxa"/>
          </w:tcPr>
          <w:p w14:paraId="186789A9" w14:textId="77777777" w:rsidR="006369E6" w:rsidRDefault="006369E6"/>
        </w:tc>
        <w:tc>
          <w:tcPr>
            <w:tcW w:w="3413" w:type="dxa"/>
          </w:tcPr>
          <w:p w14:paraId="5718E8DE" w14:textId="77777777" w:rsidR="006369E6" w:rsidRDefault="006369E6"/>
        </w:tc>
      </w:tr>
      <w:tr w:rsidR="006369E6" w14:paraId="021D9CCD" w14:textId="77777777">
        <w:trPr>
          <w:trHeight w:hRule="exact" w:val="298"/>
        </w:trPr>
        <w:tc>
          <w:tcPr>
            <w:tcW w:w="3592" w:type="dxa"/>
            <w:gridSpan w:val="2"/>
          </w:tcPr>
          <w:p w14:paraId="31A355A7" w14:textId="77777777" w:rsidR="006369E6" w:rsidRDefault="006B5592">
            <w:pPr>
              <w:pStyle w:val="TableParagraph"/>
              <w:rPr>
                <w:sz w:val="11"/>
              </w:rPr>
            </w:pPr>
            <w:r>
              <w:rPr>
                <w:sz w:val="11"/>
              </w:rPr>
              <w:t>(e) The abuse case database shall be electronically accessible to all Providers.</w:t>
            </w:r>
          </w:p>
        </w:tc>
        <w:tc>
          <w:tcPr>
            <w:tcW w:w="3413" w:type="dxa"/>
          </w:tcPr>
          <w:p w14:paraId="6219AD6D" w14:textId="77777777" w:rsidR="006369E6" w:rsidRDefault="006369E6"/>
        </w:tc>
        <w:tc>
          <w:tcPr>
            <w:tcW w:w="3413" w:type="dxa"/>
          </w:tcPr>
          <w:p w14:paraId="0E1F0C90" w14:textId="77777777" w:rsidR="006369E6" w:rsidRDefault="006B5592">
            <w:pPr>
              <w:pStyle w:val="TableParagraph"/>
              <w:rPr>
                <w:sz w:val="11"/>
              </w:rPr>
            </w:pPr>
            <w:r>
              <w:rPr>
                <w:b/>
                <w:sz w:val="11"/>
              </w:rPr>
              <w:t>ACTION ITEM</w:t>
            </w:r>
            <w:r>
              <w:rPr>
                <w:sz w:val="11"/>
              </w:rPr>
              <w:t>: Staff to check whether the three Providers establish and maintain the electronic abuse case database.</w:t>
            </w:r>
          </w:p>
        </w:tc>
        <w:tc>
          <w:tcPr>
            <w:tcW w:w="3413" w:type="dxa"/>
          </w:tcPr>
          <w:p w14:paraId="58319B3F" w14:textId="77777777" w:rsidR="006369E6" w:rsidRDefault="006369E6"/>
        </w:tc>
      </w:tr>
      <w:tr w:rsidR="006369E6" w14:paraId="1CE591E0" w14:textId="77777777">
        <w:trPr>
          <w:trHeight w:hRule="exact" w:val="553"/>
        </w:trPr>
        <w:tc>
          <w:tcPr>
            <w:tcW w:w="3592" w:type="dxa"/>
            <w:gridSpan w:val="2"/>
          </w:tcPr>
          <w:p w14:paraId="451520F1" w14:textId="77777777" w:rsidR="006369E6" w:rsidRDefault="006B5592">
            <w:pPr>
              <w:pStyle w:val="TableParagraph"/>
              <w:ind w:right="29"/>
              <w:rPr>
                <w:sz w:val="11"/>
              </w:rPr>
            </w:pPr>
            <w:r>
              <w:rPr>
                <w:sz w:val="11"/>
              </w:rPr>
              <w:t>(f) Upon receipt of a Complaint, the Provider shall verify the admissibility of the Complaint against the abuse case database in line with  applicable URS Procedure provisions and dismiss the Complaint if not admissible.</w:t>
            </w:r>
          </w:p>
        </w:tc>
        <w:tc>
          <w:tcPr>
            <w:tcW w:w="3413" w:type="dxa"/>
          </w:tcPr>
          <w:p w14:paraId="569D876E" w14:textId="77777777" w:rsidR="006369E6" w:rsidRDefault="006B5592">
            <w:pPr>
              <w:pStyle w:val="TableParagraph"/>
              <w:ind w:right="45"/>
              <w:rPr>
                <w:sz w:val="11"/>
              </w:rPr>
            </w:pPr>
            <w:r>
              <w:rPr>
                <w:sz w:val="11"/>
              </w:rPr>
              <w:t>* Do the Providers verify the admissibility of the Complaint against the abuse case database for every single URS case?</w:t>
            </w:r>
          </w:p>
        </w:tc>
        <w:tc>
          <w:tcPr>
            <w:tcW w:w="3413" w:type="dxa"/>
          </w:tcPr>
          <w:p w14:paraId="74617B8C" w14:textId="77777777" w:rsidR="006369E6" w:rsidRDefault="006369E6"/>
        </w:tc>
        <w:tc>
          <w:tcPr>
            <w:tcW w:w="3413" w:type="dxa"/>
          </w:tcPr>
          <w:p w14:paraId="5ACD9BF9" w14:textId="77777777" w:rsidR="006369E6" w:rsidRDefault="006369E6"/>
        </w:tc>
      </w:tr>
      <w:tr w:rsidR="006369E6" w14:paraId="367991AF" w14:textId="77777777">
        <w:trPr>
          <w:trHeight w:hRule="exact" w:val="179"/>
        </w:trPr>
        <w:tc>
          <w:tcPr>
            <w:tcW w:w="13833" w:type="dxa"/>
            <w:gridSpan w:val="5"/>
            <w:shd w:val="clear" w:color="auto" w:fill="F3F3F3"/>
          </w:tcPr>
          <w:p w14:paraId="2E19FFDD" w14:textId="77777777" w:rsidR="006369E6" w:rsidRDefault="006B5592">
            <w:pPr>
              <w:pStyle w:val="TableParagraph"/>
              <w:rPr>
                <w:b/>
                <w:sz w:val="11"/>
              </w:rPr>
            </w:pPr>
            <w:r>
              <w:rPr>
                <w:b/>
                <w:sz w:val="11"/>
              </w:rPr>
              <w:t>19. Appeal</w:t>
            </w:r>
          </w:p>
        </w:tc>
      </w:tr>
      <w:tr w:rsidR="006369E6" w14:paraId="75906D2D" w14:textId="77777777">
        <w:trPr>
          <w:trHeight w:hRule="exact" w:val="298"/>
        </w:trPr>
        <w:tc>
          <w:tcPr>
            <w:tcW w:w="3592" w:type="dxa"/>
            <w:gridSpan w:val="2"/>
          </w:tcPr>
          <w:p w14:paraId="70D6BC97" w14:textId="77777777" w:rsidR="006369E6" w:rsidRDefault="006B5592">
            <w:pPr>
              <w:pStyle w:val="TableParagraph"/>
              <w:rPr>
                <w:sz w:val="11"/>
              </w:rPr>
            </w:pPr>
            <w:r>
              <w:rPr>
                <w:sz w:val="11"/>
              </w:rPr>
              <w:t>(a) The Provider is responsible for providing the entire record in the underlying proceeding to the Appeal Panel.</w:t>
            </w:r>
          </w:p>
        </w:tc>
        <w:tc>
          <w:tcPr>
            <w:tcW w:w="3413" w:type="dxa"/>
          </w:tcPr>
          <w:p w14:paraId="790DDAC6" w14:textId="77777777" w:rsidR="006369E6" w:rsidRDefault="006369E6"/>
        </w:tc>
        <w:tc>
          <w:tcPr>
            <w:tcW w:w="3413" w:type="dxa"/>
          </w:tcPr>
          <w:p w14:paraId="238EC9C1" w14:textId="77777777" w:rsidR="006369E6" w:rsidRDefault="006369E6"/>
        </w:tc>
        <w:tc>
          <w:tcPr>
            <w:tcW w:w="3413" w:type="dxa"/>
          </w:tcPr>
          <w:p w14:paraId="37DEB347" w14:textId="77777777" w:rsidR="006369E6" w:rsidRDefault="006369E6"/>
        </w:tc>
      </w:tr>
      <w:tr w:rsidR="006369E6" w14:paraId="1BEE398C" w14:textId="77777777">
        <w:trPr>
          <w:trHeight w:hRule="exact" w:val="681"/>
        </w:trPr>
        <w:tc>
          <w:tcPr>
            <w:tcW w:w="3592" w:type="dxa"/>
            <w:gridSpan w:val="2"/>
          </w:tcPr>
          <w:p w14:paraId="40B95501" w14:textId="77777777" w:rsidR="006369E6" w:rsidRDefault="006B5592">
            <w:pPr>
              <w:pStyle w:val="TableParagraph"/>
              <w:rPr>
                <w:sz w:val="11"/>
              </w:rPr>
            </w:pPr>
            <w:r>
              <w:rPr>
                <w:sz w:val="11"/>
              </w:rPr>
              <w:t>(b) Appellant shall have a limited right to introduce new admissible evidence that is material to the Determination subject to payment of an additional fee, provided the evidence clearly pre-dates the filing of the Complaint.</w:t>
            </w:r>
          </w:p>
        </w:tc>
        <w:tc>
          <w:tcPr>
            <w:tcW w:w="3413" w:type="dxa"/>
          </w:tcPr>
          <w:p w14:paraId="20FED25E" w14:textId="77777777" w:rsidR="006369E6" w:rsidRDefault="006B5592">
            <w:pPr>
              <w:pStyle w:val="TableParagraph"/>
              <w:ind w:right="138"/>
              <w:rPr>
                <w:sz w:val="11"/>
              </w:rPr>
            </w:pPr>
            <w:r>
              <w:rPr>
                <w:sz w:val="11"/>
              </w:rPr>
              <w:t>* How do the Providers implement this rule? How do the Providers determine that the Appellant is in fact seeking to introduce new admissible evidence that is material to the Determination, clearly pre-dating the filing of the Complaint? Do the Providers conduct administrative check on this?</w:t>
            </w:r>
          </w:p>
        </w:tc>
        <w:tc>
          <w:tcPr>
            <w:tcW w:w="3413" w:type="dxa"/>
          </w:tcPr>
          <w:p w14:paraId="6AD9332B" w14:textId="77777777" w:rsidR="006369E6" w:rsidRDefault="006B5592">
            <w:pPr>
              <w:pStyle w:val="TableParagraph"/>
              <w:rPr>
                <w:sz w:val="11"/>
              </w:rPr>
            </w:pPr>
            <w:r>
              <w:rPr>
                <w:sz w:val="11"/>
              </w:rPr>
              <w:t>- This may be explained in the Supplemental Rules.</w:t>
            </w:r>
          </w:p>
        </w:tc>
        <w:tc>
          <w:tcPr>
            <w:tcW w:w="3413" w:type="dxa"/>
          </w:tcPr>
          <w:p w14:paraId="298CDC5A" w14:textId="77777777" w:rsidR="006369E6" w:rsidRDefault="006369E6"/>
        </w:tc>
      </w:tr>
      <w:tr w:rsidR="006369E6" w14:paraId="43FACD10" w14:textId="77777777">
        <w:trPr>
          <w:trHeight w:hRule="exact" w:val="426"/>
        </w:trPr>
        <w:tc>
          <w:tcPr>
            <w:tcW w:w="3592" w:type="dxa"/>
            <w:gridSpan w:val="2"/>
          </w:tcPr>
          <w:p w14:paraId="1D2262F7" w14:textId="77777777" w:rsidR="006369E6" w:rsidRDefault="006B5592">
            <w:pPr>
              <w:pStyle w:val="TableParagraph"/>
              <w:ind w:right="75"/>
              <w:rPr>
                <w:sz w:val="11"/>
              </w:rPr>
            </w:pPr>
            <w:r>
              <w:rPr>
                <w:sz w:val="11"/>
              </w:rPr>
              <w:t>(c) Appellee shall not be charged any additional fee and shall have the right to file a Reply to the Appellant’s additional statements within the time period identified in the Provider’s Supplemental Rules.</w:t>
            </w:r>
          </w:p>
        </w:tc>
        <w:tc>
          <w:tcPr>
            <w:tcW w:w="3413" w:type="dxa"/>
          </w:tcPr>
          <w:p w14:paraId="4B3B4C8F" w14:textId="77777777" w:rsidR="006369E6" w:rsidRDefault="006369E6"/>
        </w:tc>
        <w:tc>
          <w:tcPr>
            <w:tcW w:w="3413" w:type="dxa"/>
          </w:tcPr>
          <w:p w14:paraId="3CF4F7F2" w14:textId="77777777" w:rsidR="006369E6" w:rsidRDefault="006369E6"/>
        </w:tc>
        <w:tc>
          <w:tcPr>
            <w:tcW w:w="3413" w:type="dxa"/>
          </w:tcPr>
          <w:p w14:paraId="1CD8CB45" w14:textId="77777777" w:rsidR="006369E6" w:rsidRDefault="006369E6"/>
        </w:tc>
      </w:tr>
      <w:tr w:rsidR="006369E6" w14:paraId="0ACAE74B" w14:textId="77777777">
        <w:trPr>
          <w:trHeight w:hRule="exact" w:val="681"/>
        </w:trPr>
        <w:tc>
          <w:tcPr>
            <w:tcW w:w="3592" w:type="dxa"/>
            <w:gridSpan w:val="2"/>
          </w:tcPr>
          <w:p w14:paraId="0799C518" w14:textId="77777777" w:rsidR="006369E6" w:rsidRDefault="006B5592">
            <w:pPr>
              <w:pStyle w:val="TableParagraph"/>
              <w:ind w:right="46"/>
              <w:rPr>
                <w:sz w:val="11"/>
              </w:rPr>
            </w:pPr>
            <w:r>
              <w:rPr>
                <w:sz w:val="11"/>
              </w:rPr>
              <w:t>(d) If the Respondent prevailed and the domain name is no longer under the Registry Operator’s suspension or lock, the Provider shall notify the Registry Operator to re-lock the domain name subject to the outcome of the Appeals process, but the domain name shall continue to resolve per URS Procedure Paragraph</w:t>
            </w:r>
            <w:r>
              <w:rPr>
                <w:spacing w:val="11"/>
                <w:sz w:val="11"/>
              </w:rPr>
              <w:t xml:space="preserve"> </w:t>
            </w:r>
            <w:r>
              <w:rPr>
                <w:sz w:val="11"/>
              </w:rPr>
              <w:t>12.3.</w:t>
            </w:r>
          </w:p>
        </w:tc>
        <w:tc>
          <w:tcPr>
            <w:tcW w:w="3413" w:type="dxa"/>
          </w:tcPr>
          <w:p w14:paraId="312ADADF" w14:textId="77777777" w:rsidR="006369E6" w:rsidRDefault="006369E6"/>
        </w:tc>
        <w:tc>
          <w:tcPr>
            <w:tcW w:w="3413" w:type="dxa"/>
          </w:tcPr>
          <w:p w14:paraId="541B7CD8" w14:textId="77777777" w:rsidR="006369E6" w:rsidRDefault="006369E6"/>
        </w:tc>
        <w:tc>
          <w:tcPr>
            <w:tcW w:w="3413" w:type="dxa"/>
          </w:tcPr>
          <w:p w14:paraId="3D915086" w14:textId="77777777" w:rsidR="006369E6" w:rsidRDefault="006369E6"/>
        </w:tc>
      </w:tr>
      <w:tr w:rsidR="006369E6" w14:paraId="05C43D24" w14:textId="77777777">
        <w:trPr>
          <w:trHeight w:hRule="exact" w:val="553"/>
        </w:trPr>
        <w:tc>
          <w:tcPr>
            <w:tcW w:w="3592" w:type="dxa"/>
            <w:gridSpan w:val="2"/>
          </w:tcPr>
          <w:p w14:paraId="2517EE15" w14:textId="77777777" w:rsidR="006369E6" w:rsidRDefault="006B5592">
            <w:pPr>
              <w:pStyle w:val="TableParagraph"/>
              <w:rPr>
                <w:sz w:val="11"/>
              </w:rPr>
            </w:pPr>
            <w:r>
              <w:rPr>
                <w:sz w:val="11"/>
              </w:rPr>
              <w:t>(e) If any domain name that is the subject of an Appeal is expired at the time of the filing of the Appeal, the Provider shall reject the Appeal for want of a remedy, unless the Appeal is only filed under URS Procedure Paragraph 11.8.</w:t>
            </w:r>
          </w:p>
        </w:tc>
        <w:tc>
          <w:tcPr>
            <w:tcW w:w="3413" w:type="dxa"/>
          </w:tcPr>
          <w:p w14:paraId="22155A32" w14:textId="77777777" w:rsidR="006369E6" w:rsidRDefault="006369E6"/>
        </w:tc>
        <w:tc>
          <w:tcPr>
            <w:tcW w:w="3413" w:type="dxa"/>
          </w:tcPr>
          <w:p w14:paraId="2831FD58" w14:textId="77777777" w:rsidR="006369E6" w:rsidRDefault="006369E6"/>
        </w:tc>
        <w:tc>
          <w:tcPr>
            <w:tcW w:w="3413" w:type="dxa"/>
          </w:tcPr>
          <w:p w14:paraId="20D0CFE5" w14:textId="77777777" w:rsidR="006369E6" w:rsidRDefault="006369E6"/>
        </w:tc>
      </w:tr>
      <w:tr w:rsidR="006369E6" w14:paraId="3348267C" w14:textId="77777777">
        <w:trPr>
          <w:trHeight w:hRule="exact" w:val="179"/>
        </w:trPr>
        <w:tc>
          <w:tcPr>
            <w:tcW w:w="3592" w:type="dxa"/>
            <w:gridSpan w:val="2"/>
          </w:tcPr>
          <w:p w14:paraId="546A435A" w14:textId="77777777" w:rsidR="006369E6" w:rsidRDefault="006B5592">
            <w:pPr>
              <w:pStyle w:val="TableParagraph"/>
              <w:rPr>
                <w:sz w:val="11"/>
              </w:rPr>
            </w:pPr>
            <w:r>
              <w:rPr>
                <w:sz w:val="11"/>
              </w:rPr>
              <w:t>(f) The remedies for an Appeal are limited to:</w:t>
            </w:r>
          </w:p>
        </w:tc>
        <w:tc>
          <w:tcPr>
            <w:tcW w:w="3413" w:type="dxa"/>
          </w:tcPr>
          <w:p w14:paraId="0BA6B328" w14:textId="77777777" w:rsidR="006369E6" w:rsidRDefault="006369E6"/>
        </w:tc>
        <w:tc>
          <w:tcPr>
            <w:tcW w:w="3413" w:type="dxa"/>
          </w:tcPr>
          <w:p w14:paraId="1533C8BF" w14:textId="77777777" w:rsidR="006369E6" w:rsidRDefault="006369E6"/>
        </w:tc>
        <w:tc>
          <w:tcPr>
            <w:tcW w:w="3413" w:type="dxa"/>
          </w:tcPr>
          <w:p w14:paraId="7EA8F83D" w14:textId="77777777" w:rsidR="006369E6" w:rsidRDefault="006369E6"/>
        </w:tc>
      </w:tr>
      <w:tr w:rsidR="006369E6" w14:paraId="44B862C2" w14:textId="77777777">
        <w:trPr>
          <w:trHeight w:hRule="exact" w:val="681"/>
        </w:trPr>
        <w:tc>
          <w:tcPr>
            <w:tcW w:w="179" w:type="dxa"/>
            <w:vMerge w:val="restart"/>
          </w:tcPr>
          <w:p w14:paraId="71F9334B" w14:textId="77777777" w:rsidR="006369E6" w:rsidRDefault="006369E6"/>
        </w:tc>
        <w:tc>
          <w:tcPr>
            <w:tcW w:w="3413" w:type="dxa"/>
          </w:tcPr>
          <w:p w14:paraId="0031B2B2" w14:textId="77777777" w:rsidR="006369E6" w:rsidRDefault="006B5592">
            <w:pPr>
              <w:pStyle w:val="TableParagraph"/>
              <w:rPr>
                <w:sz w:val="11"/>
              </w:rPr>
            </w:pPr>
            <w:r>
              <w:rPr>
                <w:sz w:val="11"/>
              </w:rPr>
              <w:t>(i) Affirmation of the Final Determination and the Remedy ordered. If the domain name is suspended, it shall remain suspended. If the domain name is with the Registrant, the Registry Operator shall promptly unlock the domain name following receipt of the Appeal Determination.</w:t>
            </w:r>
          </w:p>
        </w:tc>
        <w:tc>
          <w:tcPr>
            <w:tcW w:w="3413" w:type="dxa"/>
          </w:tcPr>
          <w:p w14:paraId="0DA10041" w14:textId="77777777" w:rsidR="006369E6" w:rsidRDefault="006369E6"/>
        </w:tc>
        <w:tc>
          <w:tcPr>
            <w:tcW w:w="3413" w:type="dxa"/>
          </w:tcPr>
          <w:p w14:paraId="749369D2" w14:textId="77777777" w:rsidR="006369E6" w:rsidRDefault="006369E6"/>
        </w:tc>
        <w:tc>
          <w:tcPr>
            <w:tcW w:w="3413" w:type="dxa"/>
          </w:tcPr>
          <w:p w14:paraId="564F8BF0" w14:textId="77777777" w:rsidR="006369E6" w:rsidRDefault="006369E6"/>
        </w:tc>
      </w:tr>
      <w:tr w:rsidR="006369E6" w14:paraId="000B7FC0" w14:textId="77777777">
        <w:trPr>
          <w:trHeight w:hRule="exact" w:val="809"/>
        </w:trPr>
        <w:tc>
          <w:tcPr>
            <w:tcW w:w="179" w:type="dxa"/>
            <w:vMerge/>
          </w:tcPr>
          <w:p w14:paraId="70B18DE1" w14:textId="77777777" w:rsidR="006369E6" w:rsidRDefault="006369E6"/>
        </w:tc>
        <w:tc>
          <w:tcPr>
            <w:tcW w:w="3413" w:type="dxa"/>
          </w:tcPr>
          <w:p w14:paraId="669CF609" w14:textId="77777777" w:rsidR="006369E6" w:rsidRDefault="006B5592">
            <w:pPr>
              <w:pStyle w:val="TableParagraph"/>
              <w:ind w:right="40"/>
              <w:rPr>
                <w:sz w:val="11"/>
              </w:rPr>
            </w:pPr>
            <w:r>
              <w:rPr>
                <w:sz w:val="11"/>
              </w:rPr>
              <w:t>(ii) Overruling of the Final Determination and the Remedy ordered. If the domain name is suspended, the Registry Operator shall unlock the name and return full control of the domain name registration to the Registrant. If the domain name is with the Registrant, the Registry Operator shall immediately follow the steps in URS Procedure Paragraph 10.2 to suspend the domain name.</w:t>
            </w:r>
          </w:p>
        </w:tc>
        <w:tc>
          <w:tcPr>
            <w:tcW w:w="3413" w:type="dxa"/>
          </w:tcPr>
          <w:p w14:paraId="2E979681" w14:textId="77777777" w:rsidR="006369E6" w:rsidRDefault="006369E6"/>
        </w:tc>
        <w:tc>
          <w:tcPr>
            <w:tcW w:w="3413" w:type="dxa"/>
          </w:tcPr>
          <w:p w14:paraId="0875A789" w14:textId="77777777" w:rsidR="006369E6" w:rsidRDefault="006369E6"/>
        </w:tc>
        <w:tc>
          <w:tcPr>
            <w:tcW w:w="3413" w:type="dxa"/>
          </w:tcPr>
          <w:p w14:paraId="24A8EFFD" w14:textId="77777777" w:rsidR="006369E6" w:rsidRDefault="006369E6"/>
        </w:tc>
      </w:tr>
      <w:tr w:rsidR="006369E6" w14:paraId="278F567C" w14:textId="77777777">
        <w:trPr>
          <w:trHeight w:hRule="exact" w:val="553"/>
        </w:trPr>
        <w:tc>
          <w:tcPr>
            <w:tcW w:w="179" w:type="dxa"/>
            <w:vMerge/>
          </w:tcPr>
          <w:p w14:paraId="54309D20" w14:textId="77777777" w:rsidR="006369E6" w:rsidRDefault="006369E6"/>
        </w:tc>
        <w:tc>
          <w:tcPr>
            <w:tcW w:w="3413" w:type="dxa"/>
          </w:tcPr>
          <w:p w14:paraId="6808AD31" w14:textId="77777777" w:rsidR="006369E6" w:rsidRDefault="006B5592">
            <w:pPr>
              <w:pStyle w:val="TableParagraph"/>
              <w:ind w:right="45"/>
              <w:rPr>
                <w:sz w:val="11"/>
              </w:rPr>
            </w:pPr>
            <w:r>
              <w:rPr>
                <w:sz w:val="11"/>
              </w:rPr>
              <w:t>(iii) Overruling an Examiner’s finding that a Complaint was abusive or contained a deliberate material falsehood. The Appeal Panel may replace the Final Determination with one including changes that the Appeal Panel deems</w:t>
            </w:r>
            <w:r>
              <w:rPr>
                <w:spacing w:val="8"/>
                <w:sz w:val="11"/>
              </w:rPr>
              <w:t xml:space="preserve"> </w:t>
            </w:r>
            <w:r>
              <w:rPr>
                <w:sz w:val="11"/>
              </w:rPr>
              <w:t>appropriate.</w:t>
            </w:r>
          </w:p>
        </w:tc>
        <w:tc>
          <w:tcPr>
            <w:tcW w:w="3413" w:type="dxa"/>
          </w:tcPr>
          <w:p w14:paraId="2FE90CBD" w14:textId="77777777" w:rsidR="006369E6" w:rsidRDefault="006369E6"/>
        </w:tc>
        <w:tc>
          <w:tcPr>
            <w:tcW w:w="3413" w:type="dxa"/>
          </w:tcPr>
          <w:p w14:paraId="1A9A83A2" w14:textId="77777777" w:rsidR="006369E6" w:rsidRDefault="006369E6"/>
        </w:tc>
        <w:tc>
          <w:tcPr>
            <w:tcW w:w="3413" w:type="dxa"/>
          </w:tcPr>
          <w:p w14:paraId="34B89094" w14:textId="77777777" w:rsidR="006369E6" w:rsidRDefault="006369E6"/>
        </w:tc>
      </w:tr>
      <w:tr w:rsidR="006369E6" w14:paraId="69C1F7E7" w14:textId="77777777">
        <w:trPr>
          <w:trHeight w:hRule="exact" w:val="298"/>
        </w:trPr>
        <w:tc>
          <w:tcPr>
            <w:tcW w:w="3592" w:type="dxa"/>
            <w:gridSpan w:val="2"/>
          </w:tcPr>
          <w:p w14:paraId="40F588EC" w14:textId="77777777" w:rsidR="006369E6" w:rsidRDefault="006B5592">
            <w:pPr>
              <w:pStyle w:val="TableParagraph"/>
              <w:ind w:right="75"/>
              <w:rPr>
                <w:sz w:val="11"/>
              </w:rPr>
            </w:pPr>
            <w:r>
              <w:rPr>
                <w:sz w:val="11"/>
              </w:rPr>
              <w:t>(g) The Providers’ Supplemental Rules for URS Appeals, other than those stated above, shall apply.</w:t>
            </w:r>
          </w:p>
        </w:tc>
        <w:tc>
          <w:tcPr>
            <w:tcW w:w="3413" w:type="dxa"/>
          </w:tcPr>
          <w:p w14:paraId="26929037" w14:textId="77777777" w:rsidR="006369E6" w:rsidRDefault="006369E6"/>
        </w:tc>
        <w:tc>
          <w:tcPr>
            <w:tcW w:w="3413" w:type="dxa"/>
          </w:tcPr>
          <w:p w14:paraId="5FB35696" w14:textId="77777777" w:rsidR="006369E6" w:rsidRDefault="006369E6"/>
        </w:tc>
        <w:tc>
          <w:tcPr>
            <w:tcW w:w="3413" w:type="dxa"/>
          </w:tcPr>
          <w:p w14:paraId="7E0D92B4" w14:textId="77777777" w:rsidR="006369E6" w:rsidRDefault="006369E6"/>
        </w:tc>
      </w:tr>
      <w:tr w:rsidR="006369E6" w14:paraId="0F52F026" w14:textId="77777777">
        <w:trPr>
          <w:trHeight w:hRule="exact" w:val="179"/>
        </w:trPr>
        <w:tc>
          <w:tcPr>
            <w:tcW w:w="13833" w:type="dxa"/>
            <w:gridSpan w:val="5"/>
            <w:shd w:val="clear" w:color="auto" w:fill="F3F3F3"/>
          </w:tcPr>
          <w:p w14:paraId="51504424" w14:textId="77777777" w:rsidR="006369E6" w:rsidRDefault="006B5592">
            <w:pPr>
              <w:pStyle w:val="TableParagraph"/>
              <w:rPr>
                <w:b/>
                <w:sz w:val="11"/>
              </w:rPr>
            </w:pPr>
            <w:r>
              <w:rPr>
                <w:b/>
                <w:sz w:val="11"/>
              </w:rPr>
              <w:t>20. Exclusion of Liability</w:t>
            </w:r>
          </w:p>
        </w:tc>
      </w:tr>
      <w:tr w:rsidR="006369E6" w14:paraId="4780A0E5" w14:textId="77777777">
        <w:trPr>
          <w:trHeight w:hRule="exact" w:val="426"/>
        </w:trPr>
        <w:tc>
          <w:tcPr>
            <w:tcW w:w="3592" w:type="dxa"/>
            <w:gridSpan w:val="2"/>
          </w:tcPr>
          <w:p w14:paraId="7BD397D3" w14:textId="77777777" w:rsidR="006369E6" w:rsidRDefault="006B5592">
            <w:pPr>
              <w:pStyle w:val="TableParagraph"/>
              <w:ind w:right="40"/>
              <w:jc w:val="both"/>
              <w:rPr>
                <w:sz w:val="11"/>
              </w:rPr>
            </w:pPr>
            <w:r>
              <w:rPr>
                <w:sz w:val="11"/>
              </w:rPr>
              <w:t>Except in the case of deliberate wrongdoing, neither the Provider nor an Examiner shall be liable to a Party for any act or omission in connection with any URS proceeding under these Rules.</w:t>
            </w:r>
          </w:p>
        </w:tc>
        <w:tc>
          <w:tcPr>
            <w:tcW w:w="3413" w:type="dxa"/>
          </w:tcPr>
          <w:p w14:paraId="7F74786D" w14:textId="77777777" w:rsidR="006369E6" w:rsidRDefault="006B5592">
            <w:pPr>
              <w:pStyle w:val="TableParagraph"/>
              <w:ind w:right="382"/>
              <w:rPr>
                <w:sz w:val="11"/>
              </w:rPr>
            </w:pPr>
            <w:r>
              <w:rPr>
                <w:sz w:val="11"/>
              </w:rPr>
              <w:t>* Has any Provider or Examiner been directly sued for a URS Determination?</w:t>
            </w:r>
          </w:p>
        </w:tc>
        <w:tc>
          <w:tcPr>
            <w:tcW w:w="3413" w:type="dxa"/>
          </w:tcPr>
          <w:p w14:paraId="323CFAB0" w14:textId="77777777" w:rsidR="006369E6" w:rsidRDefault="006369E6"/>
        </w:tc>
        <w:tc>
          <w:tcPr>
            <w:tcW w:w="3413" w:type="dxa"/>
          </w:tcPr>
          <w:p w14:paraId="686A0CF9" w14:textId="77777777" w:rsidR="006369E6" w:rsidRDefault="006369E6"/>
        </w:tc>
      </w:tr>
      <w:tr w:rsidR="006369E6" w14:paraId="773CF1BA" w14:textId="77777777">
        <w:trPr>
          <w:trHeight w:hRule="exact" w:val="179"/>
        </w:trPr>
        <w:tc>
          <w:tcPr>
            <w:tcW w:w="13833" w:type="dxa"/>
            <w:gridSpan w:val="5"/>
            <w:shd w:val="clear" w:color="auto" w:fill="F3F3F3"/>
          </w:tcPr>
          <w:p w14:paraId="2CA9555F" w14:textId="77777777" w:rsidR="006369E6" w:rsidRDefault="006B5592">
            <w:pPr>
              <w:pStyle w:val="TableParagraph"/>
              <w:rPr>
                <w:b/>
                <w:sz w:val="11"/>
              </w:rPr>
            </w:pPr>
            <w:r>
              <w:rPr>
                <w:b/>
                <w:sz w:val="11"/>
              </w:rPr>
              <w:t>21. Amendments</w:t>
            </w:r>
          </w:p>
        </w:tc>
      </w:tr>
      <w:tr w:rsidR="006369E6" w14:paraId="3B3F0B62" w14:textId="77777777">
        <w:trPr>
          <w:trHeight w:hRule="exact" w:val="553"/>
        </w:trPr>
        <w:tc>
          <w:tcPr>
            <w:tcW w:w="3592" w:type="dxa"/>
            <w:gridSpan w:val="2"/>
          </w:tcPr>
          <w:p w14:paraId="78127310" w14:textId="77777777" w:rsidR="006369E6" w:rsidRDefault="006B5592">
            <w:pPr>
              <w:pStyle w:val="TableParagraph"/>
              <w:ind w:right="75"/>
              <w:rPr>
                <w:sz w:val="11"/>
              </w:rPr>
            </w:pPr>
            <w:r>
              <w:rPr>
                <w:sz w:val="11"/>
              </w:rPr>
              <w:t>The version of these Rules in effect at the time of the submission of the Complaint to the Provider shall apply to the URS proceeding commenced thereby. These Rules may not be amended without the express written approval of ICANN.</w:t>
            </w:r>
          </w:p>
        </w:tc>
        <w:tc>
          <w:tcPr>
            <w:tcW w:w="3413" w:type="dxa"/>
          </w:tcPr>
          <w:p w14:paraId="76D52ECF" w14:textId="77777777" w:rsidR="006369E6" w:rsidRDefault="006369E6"/>
        </w:tc>
        <w:tc>
          <w:tcPr>
            <w:tcW w:w="3413" w:type="dxa"/>
          </w:tcPr>
          <w:p w14:paraId="6B71C118" w14:textId="77777777" w:rsidR="006369E6" w:rsidRDefault="006369E6"/>
        </w:tc>
        <w:tc>
          <w:tcPr>
            <w:tcW w:w="3413" w:type="dxa"/>
          </w:tcPr>
          <w:p w14:paraId="0609A657" w14:textId="77777777" w:rsidR="006369E6" w:rsidRDefault="006369E6"/>
        </w:tc>
      </w:tr>
    </w:tbl>
    <w:p w14:paraId="7CA475C8" w14:textId="77777777" w:rsidR="006369E6" w:rsidRDefault="006369E6">
      <w:pPr>
        <w:sectPr w:rsidR="006369E6">
          <w:pgSz w:w="15840" w:h="12240" w:orient="landscape"/>
          <w:pgMar w:top="640" w:right="320" w:bottom="620" w:left="320" w:header="438" w:footer="421" w:gutter="0"/>
          <w:cols w:space="720"/>
        </w:sectPr>
      </w:pPr>
    </w:p>
    <w:p w14:paraId="4C4768ED" w14:textId="77777777" w:rsidR="006369E6" w:rsidRDefault="006369E6">
      <w:pPr>
        <w:pStyle w:val="BodyText"/>
        <w:rPr>
          <w:rFonts w:ascii="Times New Roman"/>
          <w:sz w:val="20"/>
        </w:rPr>
      </w:pPr>
    </w:p>
    <w:p w14:paraId="6A911BE5" w14:textId="77777777" w:rsidR="006369E6" w:rsidRDefault="006369E6">
      <w:pPr>
        <w:pStyle w:val="BodyText"/>
        <w:spacing w:before="9" w:after="1"/>
        <w:rPr>
          <w:rFonts w:ascii="Times New Roman"/>
          <w:sz w:val="15"/>
        </w:rPr>
      </w:pPr>
    </w:p>
    <w:tbl>
      <w:tblPr>
        <w:tblW w:w="0" w:type="auto"/>
        <w:tblInd w:w="67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1"/>
        <w:gridCol w:w="3226"/>
        <w:gridCol w:w="3456"/>
        <w:gridCol w:w="3456"/>
        <w:gridCol w:w="3456"/>
      </w:tblGrid>
      <w:tr w:rsidR="006369E6" w14:paraId="71370E78" w14:textId="77777777">
        <w:trPr>
          <w:trHeight w:hRule="exact" w:val="241"/>
        </w:trPr>
        <w:tc>
          <w:tcPr>
            <w:tcW w:w="3467" w:type="dxa"/>
            <w:gridSpan w:val="2"/>
            <w:shd w:val="clear" w:color="auto" w:fill="D9EAD2"/>
          </w:tcPr>
          <w:p w14:paraId="5BE80B30" w14:textId="77777777" w:rsidR="006369E6" w:rsidRDefault="006B5592">
            <w:pPr>
              <w:pStyle w:val="TableParagraph"/>
              <w:spacing w:before="22"/>
              <w:ind w:left="34"/>
              <w:rPr>
                <w:b/>
                <w:sz w:val="15"/>
              </w:rPr>
            </w:pPr>
            <w:r>
              <w:rPr>
                <w:b/>
                <w:sz w:val="15"/>
              </w:rPr>
              <w:t>MoU Between ICANN and URS Providers</w:t>
            </w:r>
          </w:p>
        </w:tc>
        <w:tc>
          <w:tcPr>
            <w:tcW w:w="3456" w:type="dxa"/>
            <w:shd w:val="clear" w:color="auto" w:fill="D9EAD2"/>
          </w:tcPr>
          <w:p w14:paraId="700218F6" w14:textId="77777777" w:rsidR="006369E6" w:rsidRDefault="006B5592">
            <w:pPr>
              <w:pStyle w:val="TableParagraph"/>
              <w:spacing w:before="22"/>
              <w:ind w:left="34"/>
              <w:rPr>
                <w:b/>
                <w:sz w:val="15"/>
              </w:rPr>
            </w:pPr>
            <w:r>
              <w:rPr>
                <w:b/>
                <w:sz w:val="15"/>
              </w:rPr>
              <w:t>Proposed Questions</w:t>
            </w:r>
          </w:p>
        </w:tc>
        <w:tc>
          <w:tcPr>
            <w:tcW w:w="3456" w:type="dxa"/>
            <w:shd w:val="clear" w:color="auto" w:fill="D9EAD2"/>
          </w:tcPr>
          <w:p w14:paraId="1B847E1F" w14:textId="77777777" w:rsidR="006369E6" w:rsidRDefault="006B5592">
            <w:pPr>
              <w:pStyle w:val="TableParagraph"/>
              <w:spacing w:before="22"/>
              <w:ind w:left="34"/>
              <w:rPr>
                <w:b/>
                <w:sz w:val="15"/>
              </w:rPr>
            </w:pPr>
            <w:r>
              <w:rPr>
                <w:b/>
                <w:sz w:val="15"/>
              </w:rPr>
              <w:t>Additional Notes</w:t>
            </w:r>
          </w:p>
        </w:tc>
        <w:tc>
          <w:tcPr>
            <w:tcW w:w="3456" w:type="dxa"/>
            <w:shd w:val="clear" w:color="auto" w:fill="D9EAD2"/>
          </w:tcPr>
          <w:p w14:paraId="44E71C57" w14:textId="77777777" w:rsidR="006369E6" w:rsidRDefault="006B5592">
            <w:pPr>
              <w:pStyle w:val="TableParagraph"/>
              <w:spacing w:before="22"/>
              <w:ind w:left="34"/>
              <w:rPr>
                <w:b/>
                <w:sz w:val="15"/>
              </w:rPr>
            </w:pPr>
            <w:r>
              <w:rPr>
                <w:b/>
                <w:sz w:val="15"/>
              </w:rPr>
              <w:t>Findings</w:t>
            </w:r>
          </w:p>
        </w:tc>
      </w:tr>
      <w:tr w:rsidR="006369E6" w14:paraId="06F176E2" w14:textId="77777777">
        <w:trPr>
          <w:trHeight w:hRule="exact" w:val="241"/>
        </w:trPr>
        <w:tc>
          <w:tcPr>
            <w:tcW w:w="13835" w:type="dxa"/>
            <w:gridSpan w:val="5"/>
            <w:shd w:val="clear" w:color="auto" w:fill="F3F3F3"/>
          </w:tcPr>
          <w:p w14:paraId="6832FBC4" w14:textId="77777777" w:rsidR="006369E6" w:rsidRDefault="006B5592">
            <w:pPr>
              <w:pStyle w:val="TableParagraph"/>
              <w:spacing w:before="22"/>
              <w:ind w:left="34"/>
              <w:rPr>
                <w:b/>
                <w:sz w:val="15"/>
              </w:rPr>
            </w:pPr>
            <w:r>
              <w:rPr>
                <w:b/>
                <w:sz w:val="15"/>
              </w:rPr>
              <w:t>1. Whereas:</w:t>
            </w:r>
          </w:p>
        </w:tc>
      </w:tr>
      <w:tr w:rsidR="006369E6" w14:paraId="0319848F" w14:textId="77777777">
        <w:trPr>
          <w:trHeight w:hRule="exact" w:val="746"/>
        </w:trPr>
        <w:tc>
          <w:tcPr>
            <w:tcW w:w="3467" w:type="dxa"/>
            <w:gridSpan w:val="2"/>
          </w:tcPr>
          <w:p w14:paraId="786A660F" w14:textId="77777777" w:rsidR="006369E6" w:rsidRDefault="006B5592">
            <w:pPr>
              <w:pStyle w:val="TableParagraph"/>
              <w:spacing w:before="22"/>
              <w:ind w:left="34"/>
              <w:rPr>
                <w:sz w:val="15"/>
              </w:rPr>
            </w:pPr>
            <w:r>
              <w:rPr>
                <w:sz w:val="15"/>
              </w:rPr>
              <w:t>a. ICANN has developed a program for the introduction of new generic top-level domains ("gTLDs") into the domain name system (the "New gTLD program");</w:t>
            </w:r>
          </w:p>
        </w:tc>
        <w:tc>
          <w:tcPr>
            <w:tcW w:w="3456" w:type="dxa"/>
          </w:tcPr>
          <w:p w14:paraId="24DA42DD" w14:textId="77777777" w:rsidR="006369E6" w:rsidRDefault="006369E6"/>
        </w:tc>
        <w:tc>
          <w:tcPr>
            <w:tcW w:w="3456" w:type="dxa"/>
          </w:tcPr>
          <w:p w14:paraId="6443E409" w14:textId="77777777" w:rsidR="006369E6" w:rsidRDefault="006369E6"/>
        </w:tc>
        <w:tc>
          <w:tcPr>
            <w:tcW w:w="3456" w:type="dxa"/>
          </w:tcPr>
          <w:p w14:paraId="1B901F9D" w14:textId="77777777" w:rsidR="006369E6" w:rsidRDefault="006369E6"/>
        </w:tc>
      </w:tr>
      <w:tr w:rsidR="006369E6" w14:paraId="4C5F07BC" w14:textId="77777777">
        <w:trPr>
          <w:trHeight w:hRule="exact" w:val="1091"/>
        </w:trPr>
        <w:tc>
          <w:tcPr>
            <w:tcW w:w="3467" w:type="dxa"/>
            <w:gridSpan w:val="2"/>
          </w:tcPr>
          <w:p w14:paraId="04FF101C" w14:textId="77777777" w:rsidR="006369E6" w:rsidRDefault="006B5592">
            <w:pPr>
              <w:pStyle w:val="TableParagraph"/>
              <w:spacing w:before="22"/>
              <w:ind w:left="34" w:right="67"/>
              <w:rPr>
                <w:sz w:val="15"/>
              </w:rPr>
            </w:pPr>
            <w:r>
              <w:rPr>
                <w:sz w:val="15"/>
              </w:rPr>
              <w:t>b. the general procedures for the New gTLD Program are set out in the gTLD Applicant Guidebook, as it may be amended from time to time, the most recent version of which was published by ICANN on 4 June 2012 ("Guidebook").</w:t>
            </w:r>
          </w:p>
        </w:tc>
        <w:tc>
          <w:tcPr>
            <w:tcW w:w="3456" w:type="dxa"/>
          </w:tcPr>
          <w:p w14:paraId="4819B174" w14:textId="77777777" w:rsidR="006369E6" w:rsidRDefault="006369E6"/>
        </w:tc>
        <w:tc>
          <w:tcPr>
            <w:tcW w:w="3456" w:type="dxa"/>
          </w:tcPr>
          <w:p w14:paraId="1CB99137" w14:textId="77777777" w:rsidR="006369E6" w:rsidRDefault="006369E6"/>
        </w:tc>
        <w:tc>
          <w:tcPr>
            <w:tcW w:w="3456" w:type="dxa"/>
          </w:tcPr>
          <w:p w14:paraId="1604AC9F" w14:textId="77777777" w:rsidR="006369E6" w:rsidRDefault="006369E6"/>
        </w:tc>
      </w:tr>
      <w:tr w:rsidR="006369E6" w14:paraId="6E66D8C0" w14:textId="77777777">
        <w:trPr>
          <w:trHeight w:hRule="exact" w:val="1263"/>
        </w:trPr>
        <w:tc>
          <w:tcPr>
            <w:tcW w:w="3467" w:type="dxa"/>
            <w:gridSpan w:val="2"/>
          </w:tcPr>
          <w:p w14:paraId="74B88512" w14:textId="77777777" w:rsidR="006369E6" w:rsidRDefault="006B5592">
            <w:pPr>
              <w:pStyle w:val="TableParagraph"/>
              <w:spacing w:before="22"/>
              <w:ind w:left="34" w:right="67"/>
              <w:rPr>
                <w:sz w:val="15"/>
              </w:rPr>
            </w:pPr>
            <w:r>
              <w:rPr>
                <w:sz w:val="15"/>
              </w:rPr>
              <w:t>c. Module 5, Section 5.4.1 of the Guidebook and Section 2b of the Specification 7 of the new gTLD form registry agreement require each registry operator of a new gTLD to comply with and implement decisions made under the Uniform Rapid Suspension System ("URS") Procedure, as it may be amended from time to time; and</w:t>
            </w:r>
          </w:p>
        </w:tc>
        <w:tc>
          <w:tcPr>
            <w:tcW w:w="3456" w:type="dxa"/>
          </w:tcPr>
          <w:p w14:paraId="65D5F235" w14:textId="77777777" w:rsidR="006369E6" w:rsidRDefault="006369E6"/>
        </w:tc>
        <w:tc>
          <w:tcPr>
            <w:tcW w:w="3456" w:type="dxa"/>
          </w:tcPr>
          <w:p w14:paraId="5BB9C008" w14:textId="77777777" w:rsidR="006369E6" w:rsidRDefault="006369E6"/>
        </w:tc>
        <w:tc>
          <w:tcPr>
            <w:tcW w:w="3456" w:type="dxa"/>
          </w:tcPr>
          <w:p w14:paraId="0008D883" w14:textId="77777777" w:rsidR="006369E6" w:rsidRDefault="006369E6"/>
        </w:tc>
      </w:tr>
      <w:tr w:rsidR="006369E6" w14:paraId="2F21FE38" w14:textId="77777777">
        <w:trPr>
          <w:trHeight w:hRule="exact" w:val="402"/>
        </w:trPr>
        <w:tc>
          <w:tcPr>
            <w:tcW w:w="3467" w:type="dxa"/>
            <w:gridSpan w:val="2"/>
          </w:tcPr>
          <w:p w14:paraId="7A9642AC" w14:textId="77777777" w:rsidR="006369E6" w:rsidRDefault="006B5592">
            <w:pPr>
              <w:pStyle w:val="TableParagraph"/>
              <w:spacing w:before="22"/>
              <w:ind w:left="34"/>
              <w:rPr>
                <w:sz w:val="15"/>
              </w:rPr>
            </w:pPr>
            <w:r>
              <w:rPr>
                <w:sz w:val="15"/>
              </w:rPr>
              <w:t>d. the [insert URS Provider] desires to act as a provider of URS services.</w:t>
            </w:r>
          </w:p>
        </w:tc>
        <w:tc>
          <w:tcPr>
            <w:tcW w:w="3456" w:type="dxa"/>
          </w:tcPr>
          <w:p w14:paraId="7188B0F3" w14:textId="77777777" w:rsidR="006369E6" w:rsidRDefault="006369E6"/>
        </w:tc>
        <w:tc>
          <w:tcPr>
            <w:tcW w:w="3456" w:type="dxa"/>
          </w:tcPr>
          <w:p w14:paraId="23F94CD8" w14:textId="77777777" w:rsidR="006369E6" w:rsidRDefault="006369E6"/>
        </w:tc>
        <w:tc>
          <w:tcPr>
            <w:tcW w:w="3456" w:type="dxa"/>
          </w:tcPr>
          <w:p w14:paraId="2E05C9F8" w14:textId="77777777" w:rsidR="006369E6" w:rsidRDefault="006369E6"/>
        </w:tc>
      </w:tr>
      <w:tr w:rsidR="006369E6" w14:paraId="3421DD2A" w14:textId="77777777">
        <w:trPr>
          <w:trHeight w:hRule="exact" w:val="241"/>
        </w:trPr>
        <w:tc>
          <w:tcPr>
            <w:tcW w:w="13835" w:type="dxa"/>
            <w:gridSpan w:val="5"/>
            <w:shd w:val="clear" w:color="auto" w:fill="F3F3F3"/>
          </w:tcPr>
          <w:p w14:paraId="46227CFD" w14:textId="77777777" w:rsidR="006369E6" w:rsidRDefault="006B5592">
            <w:pPr>
              <w:pStyle w:val="TableParagraph"/>
              <w:spacing w:before="22"/>
              <w:ind w:left="34"/>
              <w:rPr>
                <w:b/>
                <w:sz w:val="15"/>
              </w:rPr>
            </w:pPr>
            <w:r>
              <w:rPr>
                <w:b/>
                <w:sz w:val="15"/>
              </w:rPr>
              <w:t>2. Now therefore, ICANN and the NAF agree as follows:</w:t>
            </w:r>
          </w:p>
        </w:tc>
      </w:tr>
      <w:tr w:rsidR="006369E6" w14:paraId="093B1203" w14:textId="77777777">
        <w:trPr>
          <w:trHeight w:hRule="exact" w:val="574"/>
        </w:trPr>
        <w:tc>
          <w:tcPr>
            <w:tcW w:w="3467" w:type="dxa"/>
            <w:gridSpan w:val="2"/>
          </w:tcPr>
          <w:p w14:paraId="122E5347" w14:textId="77777777" w:rsidR="006369E6" w:rsidRDefault="006B5592">
            <w:pPr>
              <w:pStyle w:val="TableParagraph"/>
              <w:spacing w:before="22"/>
              <w:ind w:left="34"/>
              <w:rPr>
                <w:sz w:val="15"/>
              </w:rPr>
            </w:pPr>
            <w:r>
              <w:rPr>
                <w:sz w:val="15"/>
              </w:rPr>
              <w:t>a. ICANN hereby designates the [insert URS Provider] as, and the [insert URS Provider] agrees to act as, a provider of URS services.</w:t>
            </w:r>
          </w:p>
        </w:tc>
        <w:tc>
          <w:tcPr>
            <w:tcW w:w="3456" w:type="dxa"/>
          </w:tcPr>
          <w:p w14:paraId="163D750E" w14:textId="77777777" w:rsidR="006369E6" w:rsidRDefault="006369E6"/>
        </w:tc>
        <w:tc>
          <w:tcPr>
            <w:tcW w:w="3456" w:type="dxa"/>
          </w:tcPr>
          <w:p w14:paraId="4EC05EA5" w14:textId="77777777" w:rsidR="006369E6" w:rsidRDefault="006369E6"/>
        </w:tc>
        <w:tc>
          <w:tcPr>
            <w:tcW w:w="3456" w:type="dxa"/>
          </w:tcPr>
          <w:p w14:paraId="44FBC180" w14:textId="77777777" w:rsidR="006369E6" w:rsidRDefault="006369E6"/>
        </w:tc>
      </w:tr>
      <w:tr w:rsidR="006369E6" w14:paraId="599BFCAF" w14:textId="77777777">
        <w:trPr>
          <w:trHeight w:hRule="exact" w:val="402"/>
        </w:trPr>
        <w:tc>
          <w:tcPr>
            <w:tcW w:w="3467" w:type="dxa"/>
            <w:gridSpan w:val="2"/>
          </w:tcPr>
          <w:p w14:paraId="3A2EADA5" w14:textId="77777777" w:rsidR="006369E6" w:rsidRDefault="006B5592">
            <w:pPr>
              <w:pStyle w:val="TableParagraph"/>
              <w:spacing w:before="22"/>
              <w:ind w:left="34" w:right="67"/>
              <w:rPr>
                <w:sz w:val="15"/>
              </w:rPr>
            </w:pPr>
            <w:r>
              <w:rPr>
                <w:sz w:val="15"/>
              </w:rPr>
              <w:t>b. In connection with the provision of URS services, the [insert URS Provider] shall:</w:t>
            </w:r>
          </w:p>
        </w:tc>
        <w:tc>
          <w:tcPr>
            <w:tcW w:w="3456" w:type="dxa"/>
          </w:tcPr>
          <w:p w14:paraId="2BC86165" w14:textId="77777777" w:rsidR="006369E6" w:rsidRDefault="006369E6"/>
        </w:tc>
        <w:tc>
          <w:tcPr>
            <w:tcW w:w="3456" w:type="dxa"/>
          </w:tcPr>
          <w:p w14:paraId="414D19FC" w14:textId="77777777" w:rsidR="006369E6" w:rsidRDefault="006369E6"/>
        </w:tc>
        <w:tc>
          <w:tcPr>
            <w:tcW w:w="3456" w:type="dxa"/>
          </w:tcPr>
          <w:p w14:paraId="45EABE86" w14:textId="77777777" w:rsidR="006369E6" w:rsidRDefault="006369E6"/>
        </w:tc>
      </w:tr>
      <w:tr w:rsidR="006369E6" w14:paraId="0FA8CA13" w14:textId="77777777">
        <w:trPr>
          <w:trHeight w:hRule="exact" w:val="1263"/>
        </w:trPr>
        <w:tc>
          <w:tcPr>
            <w:tcW w:w="241" w:type="dxa"/>
            <w:vMerge w:val="restart"/>
          </w:tcPr>
          <w:p w14:paraId="5039B5E4" w14:textId="77777777" w:rsidR="006369E6" w:rsidRDefault="006369E6"/>
        </w:tc>
        <w:tc>
          <w:tcPr>
            <w:tcW w:w="3226" w:type="dxa"/>
          </w:tcPr>
          <w:p w14:paraId="5103D062" w14:textId="77777777" w:rsidR="006369E6" w:rsidRDefault="006B5592">
            <w:pPr>
              <w:pStyle w:val="TableParagraph"/>
              <w:spacing w:before="22"/>
              <w:ind w:left="34" w:right="46"/>
              <w:rPr>
                <w:sz w:val="15"/>
              </w:rPr>
            </w:pPr>
            <w:r>
              <w:rPr>
                <w:sz w:val="15"/>
              </w:rPr>
              <w:t>i) implement the URS services in accordance with the URS procedure ("Procedure") as</w:t>
            </w:r>
            <w:r>
              <w:rPr>
                <w:spacing w:val="-22"/>
                <w:sz w:val="15"/>
              </w:rPr>
              <w:t xml:space="preserve"> </w:t>
            </w:r>
            <w:r>
              <w:rPr>
                <w:sz w:val="15"/>
              </w:rPr>
              <w:t>found in the Guidebook and as may be amended from time to time, as well as any URS rules ("Rules") developed, and as may be amended from time to time, to help guide the URS service providers and</w:t>
            </w:r>
            <w:r>
              <w:rPr>
                <w:spacing w:val="-15"/>
                <w:sz w:val="15"/>
              </w:rPr>
              <w:t xml:space="preserve"> </w:t>
            </w:r>
            <w:r>
              <w:rPr>
                <w:sz w:val="15"/>
              </w:rPr>
              <w:t>proceedings;</w:t>
            </w:r>
          </w:p>
        </w:tc>
        <w:tc>
          <w:tcPr>
            <w:tcW w:w="3456" w:type="dxa"/>
          </w:tcPr>
          <w:p w14:paraId="1A5E104D" w14:textId="77777777" w:rsidR="006369E6" w:rsidRDefault="006369E6"/>
        </w:tc>
        <w:tc>
          <w:tcPr>
            <w:tcW w:w="3456" w:type="dxa"/>
          </w:tcPr>
          <w:p w14:paraId="25A42581" w14:textId="77777777" w:rsidR="006369E6" w:rsidRDefault="006369E6"/>
        </w:tc>
        <w:tc>
          <w:tcPr>
            <w:tcW w:w="3456" w:type="dxa"/>
          </w:tcPr>
          <w:p w14:paraId="253F7CF0" w14:textId="77777777" w:rsidR="006369E6" w:rsidRDefault="006369E6"/>
        </w:tc>
      </w:tr>
      <w:tr w:rsidR="006369E6" w14:paraId="2C0766DA" w14:textId="77777777">
        <w:trPr>
          <w:trHeight w:hRule="exact" w:val="1263"/>
        </w:trPr>
        <w:tc>
          <w:tcPr>
            <w:tcW w:w="241" w:type="dxa"/>
            <w:vMerge/>
          </w:tcPr>
          <w:p w14:paraId="595CE7EF" w14:textId="77777777" w:rsidR="006369E6" w:rsidRDefault="006369E6"/>
        </w:tc>
        <w:tc>
          <w:tcPr>
            <w:tcW w:w="3226" w:type="dxa"/>
          </w:tcPr>
          <w:p w14:paraId="5C3A9C08" w14:textId="77777777" w:rsidR="006369E6" w:rsidRDefault="006B5592">
            <w:pPr>
              <w:pStyle w:val="TableParagraph"/>
              <w:spacing w:before="22"/>
              <w:ind w:left="34" w:right="17"/>
              <w:rPr>
                <w:sz w:val="15"/>
              </w:rPr>
            </w:pPr>
            <w:r>
              <w:rPr>
                <w:sz w:val="15"/>
              </w:rPr>
              <w:t>ii) develop and maintain provider-specific supplemental rules and procedures, including a fee schedule, necessary to facilitate the URS; provided that such supplemental rules and procedures may not contravene or be inconsistent with the URS Procedure or URS Rules;</w:t>
            </w:r>
          </w:p>
        </w:tc>
        <w:tc>
          <w:tcPr>
            <w:tcW w:w="3456" w:type="dxa"/>
          </w:tcPr>
          <w:p w14:paraId="4F80C170" w14:textId="77777777" w:rsidR="006369E6" w:rsidRDefault="006369E6"/>
        </w:tc>
        <w:tc>
          <w:tcPr>
            <w:tcW w:w="3456" w:type="dxa"/>
          </w:tcPr>
          <w:p w14:paraId="1989BA0F" w14:textId="77777777" w:rsidR="006369E6" w:rsidRDefault="006369E6"/>
        </w:tc>
        <w:tc>
          <w:tcPr>
            <w:tcW w:w="3456" w:type="dxa"/>
          </w:tcPr>
          <w:p w14:paraId="53B39928" w14:textId="77777777" w:rsidR="006369E6" w:rsidRDefault="006369E6"/>
        </w:tc>
      </w:tr>
      <w:tr w:rsidR="006369E6" w14:paraId="33B79916" w14:textId="77777777">
        <w:trPr>
          <w:trHeight w:hRule="exact" w:val="1263"/>
        </w:trPr>
        <w:tc>
          <w:tcPr>
            <w:tcW w:w="241" w:type="dxa"/>
            <w:vMerge/>
          </w:tcPr>
          <w:p w14:paraId="33019270" w14:textId="77777777" w:rsidR="006369E6" w:rsidRDefault="006369E6"/>
        </w:tc>
        <w:tc>
          <w:tcPr>
            <w:tcW w:w="3226" w:type="dxa"/>
          </w:tcPr>
          <w:p w14:paraId="5E5B92F9" w14:textId="77777777" w:rsidR="006369E6" w:rsidRDefault="006B5592">
            <w:pPr>
              <w:pStyle w:val="TableParagraph"/>
              <w:spacing w:before="22"/>
              <w:ind w:left="34" w:right="32"/>
              <w:rPr>
                <w:sz w:val="15"/>
              </w:rPr>
            </w:pPr>
            <w:r>
              <w:rPr>
                <w:sz w:val="15"/>
              </w:rPr>
              <w:t>iii) select each Examiner and Appeal Panel (as each term is defined in the URS Rules) and ensure that each Examiner and each member of an Appeal Panel is properly qualified, including by ensuring that each such person has an understanding of global intellectual property issues as they relate to the Internet;</w:t>
            </w:r>
          </w:p>
        </w:tc>
        <w:tc>
          <w:tcPr>
            <w:tcW w:w="3456" w:type="dxa"/>
          </w:tcPr>
          <w:p w14:paraId="7A2254D0" w14:textId="77777777" w:rsidR="006369E6" w:rsidRDefault="006369E6"/>
        </w:tc>
        <w:tc>
          <w:tcPr>
            <w:tcW w:w="3456" w:type="dxa"/>
          </w:tcPr>
          <w:p w14:paraId="121CA128" w14:textId="77777777" w:rsidR="006369E6" w:rsidRDefault="006369E6"/>
        </w:tc>
        <w:tc>
          <w:tcPr>
            <w:tcW w:w="3456" w:type="dxa"/>
          </w:tcPr>
          <w:p w14:paraId="6F5F3D17" w14:textId="77777777" w:rsidR="006369E6" w:rsidRDefault="006369E6"/>
        </w:tc>
      </w:tr>
      <w:tr w:rsidR="006369E6" w14:paraId="5F9029ED" w14:textId="77777777">
        <w:trPr>
          <w:trHeight w:hRule="exact" w:val="402"/>
        </w:trPr>
        <w:tc>
          <w:tcPr>
            <w:tcW w:w="241" w:type="dxa"/>
            <w:vMerge/>
            <w:tcBorders>
              <w:bottom w:val="nil"/>
            </w:tcBorders>
          </w:tcPr>
          <w:p w14:paraId="2578B30A" w14:textId="77777777" w:rsidR="006369E6" w:rsidRDefault="006369E6"/>
        </w:tc>
        <w:tc>
          <w:tcPr>
            <w:tcW w:w="3226" w:type="dxa"/>
          </w:tcPr>
          <w:p w14:paraId="22795C81" w14:textId="77777777" w:rsidR="006369E6" w:rsidRDefault="006B5592">
            <w:pPr>
              <w:pStyle w:val="TableParagraph"/>
              <w:spacing w:before="22"/>
              <w:ind w:left="34" w:right="17"/>
              <w:rPr>
                <w:sz w:val="15"/>
              </w:rPr>
            </w:pPr>
            <w:r>
              <w:rPr>
                <w:sz w:val="15"/>
              </w:rPr>
              <w:t>iv) ensure that all URS Determinations are publicly posted and searchable;</w:t>
            </w:r>
          </w:p>
        </w:tc>
        <w:tc>
          <w:tcPr>
            <w:tcW w:w="3456" w:type="dxa"/>
          </w:tcPr>
          <w:p w14:paraId="24DE7A7C" w14:textId="77777777" w:rsidR="006369E6" w:rsidRDefault="006369E6"/>
        </w:tc>
        <w:tc>
          <w:tcPr>
            <w:tcW w:w="3456" w:type="dxa"/>
          </w:tcPr>
          <w:p w14:paraId="060DB4AD" w14:textId="77777777" w:rsidR="006369E6" w:rsidRDefault="006369E6"/>
        </w:tc>
        <w:tc>
          <w:tcPr>
            <w:tcW w:w="3456" w:type="dxa"/>
          </w:tcPr>
          <w:p w14:paraId="56D90B37" w14:textId="77777777" w:rsidR="006369E6" w:rsidRDefault="006369E6"/>
        </w:tc>
      </w:tr>
    </w:tbl>
    <w:p w14:paraId="38A546FC" w14:textId="77777777" w:rsidR="006369E6" w:rsidRDefault="006369E6">
      <w:pPr>
        <w:sectPr w:rsidR="006369E6">
          <w:headerReference w:type="default" r:id="rId15"/>
          <w:pgSz w:w="15840" w:h="12240" w:orient="landscape"/>
          <w:pgMar w:top="640" w:right="320" w:bottom="640" w:left="320" w:header="438" w:footer="421" w:gutter="0"/>
          <w:cols w:space="720"/>
        </w:sectPr>
      </w:pPr>
    </w:p>
    <w:p w14:paraId="37A0FBE0" w14:textId="77777777" w:rsidR="006369E6" w:rsidRDefault="006369E6">
      <w:pPr>
        <w:pStyle w:val="BodyText"/>
        <w:rPr>
          <w:rFonts w:ascii="Times New Roman"/>
          <w:sz w:val="20"/>
        </w:rPr>
      </w:pPr>
    </w:p>
    <w:p w14:paraId="35EBA168" w14:textId="77777777" w:rsidR="006369E6" w:rsidRDefault="006369E6">
      <w:pPr>
        <w:pStyle w:val="BodyText"/>
        <w:spacing w:before="9" w:after="1"/>
        <w:rPr>
          <w:rFonts w:ascii="Times New Roman"/>
          <w:sz w:val="15"/>
        </w:rPr>
      </w:pPr>
    </w:p>
    <w:tbl>
      <w:tblPr>
        <w:tblW w:w="0" w:type="auto"/>
        <w:tblInd w:w="67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41"/>
        <w:gridCol w:w="3226"/>
        <w:gridCol w:w="3456"/>
        <w:gridCol w:w="3456"/>
        <w:gridCol w:w="3456"/>
      </w:tblGrid>
      <w:tr w:rsidR="006369E6" w14:paraId="3C7534F1" w14:textId="77777777">
        <w:trPr>
          <w:trHeight w:hRule="exact" w:val="241"/>
        </w:trPr>
        <w:tc>
          <w:tcPr>
            <w:tcW w:w="3467" w:type="dxa"/>
            <w:gridSpan w:val="2"/>
            <w:tcBorders>
              <w:bottom w:val="nil"/>
            </w:tcBorders>
            <w:shd w:val="clear" w:color="auto" w:fill="D9EAD2"/>
          </w:tcPr>
          <w:p w14:paraId="2B9BF53D" w14:textId="77777777" w:rsidR="006369E6" w:rsidRDefault="006B5592">
            <w:pPr>
              <w:pStyle w:val="TableParagraph"/>
              <w:spacing w:before="22"/>
              <w:ind w:left="34"/>
              <w:rPr>
                <w:b/>
                <w:sz w:val="15"/>
              </w:rPr>
            </w:pPr>
            <w:r>
              <w:rPr>
                <w:b/>
                <w:sz w:val="15"/>
              </w:rPr>
              <w:t>MoU Between ICANN and URS Providers</w:t>
            </w:r>
          </w:p>
        </w:tc>
        <w:tc>
          <w:tcPr>
            <w:tcW w:w="3456" w:type="dxa"/>
            <w:shd w:val="clear" w:color="auto" w:fill="D9EAD2"/>
          </w:tcPr>
          <w:p w14:paraId="191BF290" w14:textId="77777777" w:rsidR="006369E6" w:rsidRDefault="006B5592">
            <w:pPr>
              <w:pStyle w:val="TableParagraph"/>
              <w:spacing w:before="22"/>
              <w:ind w:left="34"/>
              <w:rPr>
                <w:b/>
                <w:sz w:val="15"/>
              </w:rPr>
            </w:pPr>
            <w:r>
              <w:rPr>
                <w:b/>
                <w:sz w:val="15"/>
              </w:rPr>
              <w:t>Proposed Questions</w:t>
            </w:r>
          </w:p>
        </w:tc>
        <w:tc>
          <w:tcPr>
            <w:tcW w:w="3456" w:type="dxa"/>
            <w:shd w:val="clear" w:color="auto" w:fill="D9EAD2"/>
          </w:tcPr>
          <w:p w14:paraId="60354A23" w14:textId="77777777" w:rsidR="006369E6" w:rsidRDefault="006B5592">
            <w:pPr>
              <w:pStyle w:val="TableParagraph"/>
              <w:spacing w:before="22"/>
              <w:ind w:left="34"/>
              <w:rPr>
                <w:b/>
                <w:sz w:val="15"/>
              </w:rPr>
            </w:pPr>
            <w:r>
              <w:rPr>
                <w:b/>
                <w:sz w:val="15"/>
              </w:rPr>
              <w:t>Additional Notes</w:t>
            </w:r>
          </w:p>
        </w:tc>
        <w:tc>
          <w:tcPr>
            <w:tcW w:w="3456" w:type="dxa"/>
            <w:shd w:val="clear" w:color="auto" w:fill="D9EAD2"/>
          </w:tcPr>
          <w:p w14:paraId="776A1A05" w14:textId="77777777" w:rsidR="006369E6" w:rsidRDefault="006B5592">
            <w:pPr>
              <w:pStyle w:val="TableParagraph"/>
              <w:spacing w:before="22"/>
              <w:ind w:left="34"/>
              <w:rPr>
                <w:b/>
                <w:sz w:val="15"/>
              </w:rPr>
            </w:pPr>
            <w:r>
              <w:rPr>
                <w:b/>
                <w:sz w:val="15"/>
              </w:rPr>
              <w:t>Findings</w:t>
            </w:r>
          </w:p>
        </w:tc>
      </w:tr>
      <w:tr w:rsidR="006369E6" w14:paraId="3C4B59DD" w14:textId="77777777">
        <w:trPr>
          <w:trHeight w:hRule="exact" w:val="1091"/>
        </w:trPr>
        <w:tc>
          <w:tcPr>
            <w:tcW w:w="241" w:type="dxa"/>
            <w:vMerge w:val="restart"/>
            <w:tcBorders>
              <w:top w:val="nil"/>
            </w:tcBorders>
          </w:tcPr>
          <w:p w14:paraId="777CD697" w14:textId="77777777" w:rsidR="006369E6" w:rsidRDefault="006369E6"/>
        </w:tc>
        <w:tc>
          <w:tcPr>
            <w:tcW w:w="3226" w:type="dxa"/>
          </w:tcPr>
          <w:p w14:paraId="0B416548" w14:textId="5234EBA0" w:rsidR="006369E6" w:rsidRDefault="006B5592">
            <w:pPr>
              <w:pStyle w:val="TableParagraph"/>
              <w:spacing w:before="22"/>
              <w:ind w:left="34" w:right="17"/>
              <w:rPr>
                <w:sz w:val="15"/>
              </w:rPr>
            </w:pPr>
            <w:r>
              <w:rPr>
                <w:sz w:val="15"/>
              </w:rPr>
              <w:t>v) es</w:t>
            </w:r>
            <w:r w:rsidR="007D335A">
              <w:rPr>
                <w:sz w:val="15"/>
              </w:rPr>
              <w:t>tablish and maintain a conflict</w:t>
            </w:r>
            <w:bookmarkStart w:id="0" w:name="_GoBack"/>
            <w:bookmarkEnd w:id="0"/>
            <w:r>
              <w:rPr>
                <w:sz w:val="15"/>
              </w:rPr>
              <w:t xml:space="preserve"> of interest policy and procedure designed to identify and prevent conflicts of interest among Examiners and members of an Appeal Panel and complainants and respondents in URS proceedings;</w:t>
            </w:r>
          </w:p>
        </w:tc>
        <w:tc>
          <w:tcPr>
            <w:tcW w:w="3456" w:type="dxa"/>
          </w:tcPr>
          <w:p w14:paraId="66D72989" w14:textId="77777777" w:rsidR="007076CF" w:rsidRDefault="007076CF" w:rsidP="007076CF">
            <w:pPr>
              <w:pStyle w:val="TableParagraph"/>
              <w:numPr>
                <w:ilvl w:val="0"/>
                <w:numId w:val="1"/>
              </w:numPr>
              <w:tabs>
                <w:tab w:val="left" w:pos="134"/>
              </w:tabs>
              <w:spacing w:before="22"/>
              <w:ind w:right="141" w:firstLine="0"/>
              <w:rPr>
                <w:sz w:val="15"/>
              </w:rPr>
            </w:pPr>
            <w:r>
              <w:rPr>
                <w:sz w:val="15"/>
              </w:rPr>
              <w:t>What is the conflict of interest policy</w:t>
            </w:r>
            <w:r>
              <w:rPr>
                <w:spacing w:val="-23"/>
                <w:sz w:val="15"/>
              </w:rPr>
              <w:t xml:space="preserve"> </w:t>
            </w:r>
            <w:r>
              <w:rPr>
                <w:sz w:val="15"/>
              </w:rPr>
              <w:t>established by each</w:t>
            </w:r>
            <w:r>
              <w:rPr>
                <w:spacing w:val="-8"/>
                <w:sz w:val="15"/>
              </w:rPr>
              <w:t xml:space="preserve"> </w:t>
            </w:r>
            <w:r>
              <w:rPr>
                <w:sz w:val="15"/>
              </w:rPr>
              <w:t>Provider?</w:t>
            </w:r>
          </w:p>
          <w:p w14:paraId="67615751" w14:textId="77777777" w:rsidR="006369E6" w:rsidRDefault="007076CF" w:rsidP="007076CF">
            <w:r>
              <w:rPr>
                <w:sz w:val="15"/>
              </w:rPr>
              <w:t>* When a conflict of interest has been</w:t>
            </w:r>
            <w:r>
              <w:rPr>
                <w:spacing w:val="-23"/>
                <w:sz w:val="15"/>
              </w:rPr>
              <w:t xml:space="preserve"> </w:t>
            </w:r>
            <w:r>
              <w:rPr>
                <w:sz w:val="15"/>
              </w:rPr>
              <w:t>discovered, what remedial actions have been</w:t>
            </w:r>
            <w:r>
              <w:rPr>
                <w:spacing w:val="-19"/>
                <w:sz w:val="15"/>
              </w:rPr>
              <w:t xml:space="preserve"> </w:t>
            </w:r>
            <w:r>
              <w:rPr>
                <w:sz w:val="15"/>
              </w:rPr>
              <w:t>taken?</w:t>
            </w:r>
          </w:p>
        </w:tc>
        <w:tc>
          <w:tcPr>
            <w:tcW w:w="3456" w:type="dxa"/>
          </w:tcPr>
          <w:p w14:paraId="1C5FA382" w14:textId="77777777" w:rsidR="006369E6" w:rsidRDefault="006369E6"/>
        </w:tc>
        <w:tc>
          <w:tcPr>
            <w:tcW w:w="3456" w:type="dxa"/>
          </w:tcPr>
          <w:p w14:paraId="1C1066FB" w14:textId="77777777" w:rsidR="006369E6" w:rsidRDefault="006369E6"/>
        </w:tc>
      </w:tr>
      <w:tr w:rsidR="006369E6" w14:paraId="60B58CDD" w14:textId="77777777">
        <w:trPr>
          <w:trHeight w:hRule="exact" w:val="574"/>
        </w:trPr>
        <w:tc>
          <w:tcPr>
            <w:tcW w:w="241" w:type="dxa"/>
            <w:vMerge/>
          </w:tcPr>
          <w:p w14:paraId="31C35358" w14:textId="77777777" w:rsidR="006369E6" w:rsidRDefault="006369E6"/>
        </w:tc>
        <w:tc>
          <w:tcPr>
            <w:tcW w:w="3226" w:type="dxa"/>
          </w:tcPr>
          <w:p w14:paraId="2D612B90" w14:textId="77777777" w:rsidR="006369E6" w:rsidRDefault="006B5592">
            <w:pPr>
              <w:pStyle w:val="TableParagraph"/>
              <w:spacing w:before="22"/>
              <w:ind w:left="34" w:right="9"/>
              <w:rPr>
                <w:sz w:val="15"/>
              </w:rPr>
            </w:pPr>
            <w:r>
              <w:rPr>
                <w:sz w:val="15"/>
              </w:rPr>
              <w:t>vi) establish and main a payment account system that allows parties to a URS proceeding to make payments in multiple currencies;</w:t>
            </w:r>
          </w:p>
        </w:tc>
        <w:tc>
          <w:tcPr>
            <w:tcW w:w="3456" w:type="dxa"/>
          </w:tcPr>
          <w:p w14:paraId="03D10FEE" w14:textId="77777777" w:rsidR="006369E6" w:rsidRDefault="006369E6"/>
        </w:tc>
        <w:tc>
          <w:tcPr>
            <w:tcW w:w="3456" w:type="dxa"/>
          </w:tcPr>
          <w:p w14:paraId="065CBE0F" w14:textId="77777777" w:rsidR="006369E6" w:rsidRDefault="006369E6"/>
        </w:tc>
        <w:tc>
          <w:tcPr>
            <w:tcW w:w="3456" w:type="dxa"/>
          </w:tcPr>
          <w:p w14:paraId="2EF3F973" w14:textId="77777777" w:rsidR="006369E6" w:rsidRDefault="006369E6"/>
        </w:tc>
      </w:tr>
      <w:tr w:rsidR="006369E6" w14:paraId="76B2764E" w14:textId="77777777">
        <w:trPr>
          <w:trHeight w:hRule="exact" w:val="746"/>
        </w:trPr>
        <w:tc>
          <w:tcPr>
            <w:tcW w:w="241" w:type="dxa"/>
            <w:vMerge/>
          </w:tcPr>
          <w:p w14:paraId="2FE9DD31" w14:textId="77777777" w:rsidR="006369E6" w:rsidRDefault="006369E6"/>
        </w:tc>
        <w:tc>
          <w:tcPr>
            <w:tcW w:w="3226" w:type="dxa"/>
          </w:tcPr>
          <w:p w14:paraId="39D771A6" w14:textId="77777777" w:rsidR="006369E6" w:rsidRDefault="006B5592">
            <w:pPr>
              <w:pStyle w:val="TableParagraph"/>
              <w:spacing w:before="22"/>
              <w:ind w:left="34" w:right="17"/>
              <w:rPr>
                <w:sz w:val="15"/>
              </w:rPr>
            </w:pPr>
            <w:r>
              <w:rPr>
                <w:sz w:val="15"/>
              </w:rPr>
              <w:t>vii) establish and maintain procedures and process for efficient communications with parties to a URS proceeding and relevant registries and registrars;</w:t>
            </w:r>
          </w:p>
        </w:tc>
        <w:tc>
          <w:tcPr>
            <w:tcW w:w="3456" w:type="dxa"/>
          </w:tcPr>
          <w:p w14:paraId="192FC6C6" w14:textId="77777777" w:rsidR="006369E6" w:rsidRDefault="006369E6" w:rsidP="007076CF">
            <w:pPr>
              <w:pStyle w:val="TableParagraph"/>
              <w:tabs>
                <w:tab w:val="left" w:pos="134"/>
              </w:tabs>
              <w:spacing w:before="0"/>
              <w:ind w:left="34" w:right="133"/>
              <w:rPr>
                <w:sz w:val="15"/>
              </w:rPr>
            </w:pPr>
          </w:p>
        </w:tc>
        <w:tc>
          <w:tcPr>
            <w:tcW w:w="3456" w:type="dxa"/>
          </w:tcPr>
          <w:p w14:paraId="58E948C2" w14:textId="77777777" w:rsidR="006369E6" w:rsidRDefault="006369E6"/>
        </w:tc>
        <w:tc>
          <w:tcPr>
            <w:tcW w:w="3456" w:type="dxa"/>
          </w:tcPr>
          <w:p w14:paraId="0899287A" w14:textId="77777777" w:rsidR="006369E6" w:rsidRDefault="006369E6"/>
        </w:tc>
      </w:tr>
      <w:tr w:rsidR="006369E6" w14:paraId="5A0119F9" w14:textId="77777777">
        <w:trPr>
          <w:trHeight w:hRule="exact" w:val="574"/>
        </w:trPr>
        <w:tc>
          <w:tcPr>
            <w:tcW w:w="241" w:type="dxa"/>
            <w:vMerge/>
          </w:tcPr>
          <w:p w14:paraId="37719210" w14:textId="77777777" w:rsidR="006369E6" w:rsidRDefault="006369E6"/>
        </w:tc>
        <w:tc>
          <w:tcPr>
            <w:tcW w:w="3226" w:type="dxa"/>
          </w:tcPr>
          <w:p w14:paraId="1AFD2FE1" w14:textId="77777777" w:rsidR="006369E6" w:rsidRDefault="006B5592">
            <w:pPr>
              <w:pStyle w:val="TableParagraph"/>
              <w:spacing w:before="22"/>
              <w:ind w:left="34" w:right="1"/>
              <w:rPr>
                <w:sz w:val="15"/>
              </w:rPr>
            </w:pPr>
            <w:r>
              <w:rPr>
                <w:sz w:val="15"/>
              </w:rPr>
              <w:t>viii) establish and maintain a process to monitor URS abuse</w:t>
            </w:r>
          </w:p>
        </w:tc>
        <w:tc>
          <w:tcPr>
            <w:tcW w:w="3456" w:type="dxa"/>
          </w:tcPr>
          <w:p w14:paraId="7E2289D3" w14:textId="77777777" w:rsidR="006369E6" w:rsidRDefault="006B5592">
            <w:pPr>
              <w:pStyle w:val="TableParagraph"/>
              <w:spacing w:before="22"/>
              <w:ind w:left="34"/>
              <w:rPr>
                <w:sz w:val="15"/>
              </w:rPr>
            </w:pPr>
            <w:r>
              <w:rPr>
                <w:sz w:val="15"/>
              </w:rPr>
              <w:t>* How have the Providers complied with the obligation to establish and maintain a process to monitor URS abuse?</w:t>
            </w:r>
          </w:p>
        </w:tc>
        <w:tc>
          <w:tcPr>
            <w:tcW w:w="3456" w:type="dxa"/>
          </w:tcPr>
          <w:p w14:paraId="0E0E619C" w14:textId="77777777" w:rsidR="006369E6" w:rsidRDefault="006369E6"/>
        </w:tc>
        <w:tc>
          <w:tcPr>
            <w:tcW w:w="3456" w:type="dxa"/>
          </w:tcPr>
          <w:p w14:paraId="58C35E2F" w14:textId="77777777" w:rsidR="006369E6" w:rsidRDefault="006369E6"/>
        </w:tc>
      </w:tr>
      <w:tr w:rsidR="006369E6" w14:paraId="1C46785E" w14:textId="77777777">
        <w:trPr>
          <w:trHeight w:hRule="exact" w:val="402"/>
        </w:trPr>
        <w:tc>
          <w:tcPr>
            <w:tcW w:w="241" w:type="dxa"/>
            <w:vMerge/>
          </w:tcPr>
          <w:p w14:paraId="774E4AAF" w14:textId="77777777" w:rsidR="006369E6" w:rsidRDefault="006369E6"/>
        </w:tc>
        <w:tc>
          <w:tcPr>
            <w:tcW w:w="3226" w:type="dxa"/>
          </w:tcPr>
          <w:p w14:paraId="119404A0" w14:textId="77777777" w:rsidR="006369E6" w:rsidRDefault="006B5592">
            <w:pPr>
              <w:pStyle w:val="TableParagraph"/>
              <w:spacing w:before="22"/>
              <w:ind w:left="34" w:right="17"/>
              <w:rPr>
                <w:sz w:val="15"/>
              </w:rPr>
            </w:pPr>
            <w:r>
              <w:rPr>
                <w:sz w:val="15"/>
              </w:rPr>
              <w:t>ix) provide URS services on a reasonable and cost effective basis; and</w:t>
            </w:r>
          </w:p>
        </w:tc>
        <w:tc>
          <w:tcPr>
            <w:tcW w:w="3456" w:type="dxa"/>
          </w:tcPr>
          <w:p w14:paraId="76823B13" w14:textId="77777777" w:rsidR="006369E6" w:rsidRDefault="006369E6"/>
        </w:tc>
        <w:tc>
          <w:tcPr>
            <w:tcW w:w="3456" w:type="dxa"/>
          </w:tcPr>
          <w:p w14:paraId="7D2136A5" w14:textId="77777777" w:rsidR="006369E6" w:rsidRDefault="006369E6"/>
        </w:tc>
        <w:tc>
          <w:tcPr>
            <w:tcW w:w="3456" w:type="dxa"/>
          </w:tcPr>
          <w:p w14:paraId="7E3A43C2" w14:textId="77777777" w:rsidR="006369E6" w:rsidRDefault="006369E6"/>
        </w:tc>
      </w:tr>
      <w:tr w:rsidR="006369E6" w14:paraId="38401B7E" w14:textId="77777777">
        <w:trPr>
          <w:trHeight w:hRule="exact" w:val="402"/>
        </w:trPr>
        <w:tc>
          <w:tcPr>
            <w:tcW w:w="241" w:type="dxa"/>
            <w:vMerge/>
          </w:tcPr>
          <w:p w14:paraId="5684709C" w14:textId="77777777" w:rsidR="006369E6" w:rsidRDefault="006369E6"/>
        </w:tc>
        <w:tc>
          <w:tcPr>
            <w:tcW w:w="3226" w:type="dxa"/>
          </w:tcPr>
          <w:p w14:paraId="31E0EEEF" w14:textId="77777777" w:rsidR="006369E6" w:rsidRDefault="006B5592">
            <w:pPr>
              <w:pStyle w:val="TableParagraph"/>
              <w:spacing w:before="22"/>
              <w:ind w:left="34" w:right="74"/>
              <w:rPr>
                <w:sz w:val="15"/>
              </w:rPr>
            </w:pPr>
            <w:r>
              <w:rPr>
                <w:sz w:val="15"/>
              </w:rPr>
              <w:t>x) provide ICANN with any information or data it may reasonably request.</w:t>
            </w:r>
          </w:p>
        </w:tc>
        <w:tc>
          <w:tcPr>
            <w:tcW w:w="3456" w:type="dxa"/>
          </w:tcPr>
          <w:p w14:paraId="1D3B0DA2" w14:textId="77777777" w:rsidR="006369E6" w:rsidRDefault="006B5592">
            <w:pPr>
              <w:pStyle w:val="TableParagraph"/>
              <w:spacing w:before="22"/>
              <w:ind w:left="34" w:right="62"/>
              <w:rPr>
                <w:sz w:val="15"/>
              </w:rPr>
            </w:pPr>
            <w:r>
              <w:rPr>
                <w:sz w:val="15"/>
              </w:rPr>
              <w:t>* Has ICANN ever enquired any information or data from the Providers?</w:t>
            </w:r>
          </w:p>
        </w:tc>
        <w:tc>
          <w:tcPr>
            <w:tcW w:w="3456" w:type="dxa"/>
          </w:tcPr>
          <w:p w14:paraId="7D86CC46" w14:textId="77777777" w:rsidR="006369E6" w:rsidRDefault="006369E6"/>
        </w:tc>
        <w:tc>
          <w:tcPr>
            <w:tcW w:w="3456" w:type="dxa"/>
          </w:tcPr>
          <w:p w14:paraId="3757A41F" w14:textId="77777777" w:rsidR="006369E6" w:rsidRDefault="006369E6"/>
        </w:tc>
      </w:tr>
      <w:tr w:rsidR="006369E6" w14:paraId="411E0199" w14:textId="77777777">
        <w:trPr>
          <w:trHeight w:hRule="exact" w:val="746"/>
        </w:trPr>
        <w:tc>
          <w:tcPr>
            <w:tcW w:w="3467" w:type="dxa"/>
            <w:gridSpan w:val="2"/>
          </w:tcPr>
          <w:p w14:paraId="0E6B8FA3" w14:textId="77777777" w:rsidR="006369E6" w:rsidRDefault="006B5592">
            <w:pPr>
              <w:pStyle w:val="TableParagraph"/>
              <w:spacing w:before="22"/>
              <w:ind w:left="34" w:right="16"/>
              <w:rPr>
                <w:sz w:val="15"/>
              </w:rPr>
            </w:pPr>
            <w:r>
              <w:rPr>
                <w:sz w:val="15"/>
              </w:rPr>
              <w:t>c. ICANN and the [insert URS Provider] shall communicate regularly with each other and seek to optimize the URS services provided by the [insert URS Provider].</w:t>
            </w:r>
          </w:p>
        </w:tc>
        <w:tc>
          <w:tcPr>
            <w:tcW w:w="3456" w:type="dxa"/>
          </w:tcPr>
          <w:p w14:paraId="4F72120B" w14:textId="77777777" w:rsidR="006369E6" w:rsidRDefault="006B5592">
            <w:pPr>
              <w:pStyle w:val="TableParagraph"/>
              <w:spacing w:before="22"/>
              <w:ind w:left="34"/>
              <w:rPr>
                <w:sz w:val="15"/>
              </w:rPr>
            </w:pPr>
            <w:r>
              <w:rPr>
                <w:sz w:val="15"/>
              </w:rPr>
              <w:t>* Do ICANN and Providers maintain regular communications?</w:t>
            </w:r>
          </w:p>
        </w:tc>
        <w:tc>
          <w:tcPr>
            <w:tcW w:w="3456" w:type="dxa"/>
          </w:tcPr>
          <w:p w14:paraId="662B01D1" w14:textId="77777777" w:rsidR="006369E6" w:rsidRDefault="006369E6"/>
        </w:tc>
        <w:tc>
          <w:tcPr>
            <w:tcW w:w="3456" w:type="dxa"/>
          </w:tcPr>
          <w:p w14:paraId="1AF19641" w14:textId="77777777" w:rsidR="006369E6" w:rsidRDefault="006369E6"/>
        </w:tc>
      </w:tr>
      <w:tr w:rsidR="006369E6" w14:paraId="54F3BF30" w14:textId="77777777">
        <w:trPr>
          <w:trHeight w:hRule="exact" w:val="1091"/>
        </w:trPr>
        <w:tc>
          <w:tcPr>
            <w:tcW w:w="3467" w:type="dxa"/>
            <w:gridSpan w:val="2"/>
          </w:tcPr>
          <w:p w14:paraId="37301716" w14:textId="77777777" w:rsidR="006369E6" w:rsidRDefault="006B5592">
            <w:pPr>
              <w:pStyle w:val="TableParagraph"/>
              <w:spacing w:before="22"/>
              <w:ind w:left="34" w:right="67"/>
              <w:rPr>
                <w:sz w:val="15"/>
              </w:rPr>
            </w:pPr>
            <w:r>
              <w:rPr>
                <w:sz w:val="15"/>
              </w:rPr>
              <w:t>d. In the event that the [insert URS Provider] fails to comply with the terms of this Memorandum of Understanding or the URS Procedures or Rules, ICANN may terminate the [insert URS Provider]'s status as a URS service provider with 60 days written notice.</w:t>
            </w:r>
          </w:p>
        </w:tc>
        <w:tc>
          <w:tcPr>
            <w:tcW w:w="3456" w:type="dxa"/>
          </w:tcPr>
          <w:p w14:paraId="4AF26BED" w14:textId="77777777" w:rsidR="006369E6" w:rsidRDefault="006369E6"/>
        </w:tc>
        <w:tc>
          <w:tcPr>
            <w:tcW w:w="3456" w:type="dxa"/>
          </w:tcPr>
          <w:p w14:paraId="51234122" w14:textId="77777777" w:rsidR="006369E6" w:rsidRDefault="006369E6"/>
        </w:tc>
        <w:tc>
          <w:tcPr>
            <w:tcW w:w="3456" w:type="dxa"/>
          </w:tcPr>
          <w:p w14:paraId="50868D9E" w14:textId="77777777" w:rsidR="006369E6" w:rsidRDefault="006369E6"/>
        </w:tc>
      </w:tr>
      <w:tr w:rsidR="006369E6" w14:paraId="351010CA" w14:textId="77777777">
        <w:trPr>
          <w:trHeight w:hRule="exact" w:val="746"/>
        </w:trPr>
        <w:tc>
          <w:tcPr>
            <w:tcW w:w="3467" w:type="dxa"/>
            <w:gridSpan w:val="2"/>
          </w:tcPr>
          <w:p w14:paraId="25FA77A5" w14:textId="77777777" w:rsidR="006369E6" w:rsidRDefault="006B5592">
            <w:pPr>
              <w:pStyle w:val="TableParagraph"/>
              <w:spacing w:before="22"/>
              <w:ind w:left="34" w:right="25"/>
              <w:rPr>
                <w:sz w:val="15"/>
              </w:rPr>
            </w:pPr>
            <w:r>
              <w:rPr>
                <w:sz w:val="15"/>
              </w:rPr>
              <w:t>e. In the event [insert URS Provider] chooses to no longer provider URS services, [insert URS Provider] may terminate this MoU by providing ICANN with 180 days written notice.</w:t>
            </w:r>
          </w:p>
        </w:tc>
        <w:tc>
          <w:tcPr>
            <w:tcW w:w="3456" w:type="dxa"/>
          </w:tcPr>
          <w:p w14:paraId="14CCBB4D" w14:textId="77777777" w:rsidR="006369E6" w:rsidRDefault="006369E6"/>
        </w:tc>
        <w:tc>
          <w:tcPr>
            <w:tcW w:w="3456" w:type="dxa"/>
          </w:tcPr>
          <w:p w14:paraId="0D3A41F5" w14:textId="77777777" w:rsidR="006369E6" w:rsidRDefault="006369E6"/>
        </w:tc>
        <w:tc>
          <w:tcPr>
            <w:tcW w:w="3456" w:type="dxa"/>
          </w:tcPr>
          <w:p w14:paraId="0F010456" w14:textId="77777777" w:rsidR="006369E6" w:rsidRDefault="006369E6"/>
        </w:tc>
      </w:tr>
    </w:tbl>
    <w:p w14:paraId="4460DC0A" w14:textId="77777777" w:rsidR="006B5592" w:rsidRDefault="006B5592"/>
    <w:sectPr w:rsidR="006B5592">
      <w:pgSz w:w="15840" w:h="12240" w:orient="landscape"/>
      <w:pgMar w:top="640" w:right="320" w:bottom="640" w:left="320" w:header="438" w:footer="42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6363C" w14:textId="77777777" w:rsidR="00DD6050" w:rsidRDefault="00DD6050">
      <w:r>
        <w:separator/>
      </w:r>
    </w:p>
  </w:endnote>
  <w:endnote w:type="continuationSeparator" w:id="0">
    <w:p w14:paraId="6C8BAA58" w14:textId="77777777" w:rsidR="00DD6050" w:rsidRDefault="00DD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D9E061" w14:textId="77777777" w:rsidR="006369E6" w:rsidRDefault="00DD6050">
    <w:pPr>
      <w:pStyle w:val="BodyText"/>
      <w:spacing w:line="14" w:lineRule="auto"/>
      <w:rPr>
        <w:sz w:val="20"/>
      </w:rPr>
    </w:pPr>
    <w:r>
      <w:pict w14:anchorId="6DE6256A">
        <v:shapetype id="_x0000_t202" coordsize="21600,21600" o:spt="202" path="m0,0l0,21600,21600,21600,21600,0xe">
          <v:stroke joinstyle="miter"/>
          <v:path gradientshapeok="t" o:connecttype="rect"/>
        </v:shapetype>
        <v:shape id="_x0000_s1028" type="#_x0000_t202" style="position:absolute;margin-left:20.6pt;margin-top:579.95pt;width:39.95pt;height:12.9pt;z-index:-46528;mso-position-horizontal-relative:page;mso-position-vertical-relative:page" filled="f" stroked="f">
          <v:textbox inset="0,0,0,0">
            <w:txbxContent>
              <w:p w14:paraId="4E5898DC" w14:textId="77777777" w:rsidR="006369E6" w:rsidRDefault="006B5592">
                <w:pPr>
                  <w:pStyle w:val="BodyText"/>
                  <w:spacing w:before="18"/>
                  <w:ind w:left="20"/>
                </w:pPr>
                <w:r>
                  <w:t>3/2/2018</w:t>
                </w:r>
              </w:p>
            </w:txbxContent>
          </v:textbox>
          <w10:wrap anchorx="page" anchory="page"/>
        </v:shape>
      </w:pict>
    </w:r>
    <w:r>
      <w:pict w14:anchorId="313646F9">
        <v:shape id="_x0000_s1027" type="#_x0000_t202" style="position:absolute;margin-left:762.65pt;margin-top:578.8pt;width:9.45pt;height:14.05pt;z-index:-46504;mso-position-horizontal-relative:page;mso-position-vertical-relative:page" filled="f" stroked="f">
          <v:textbox inset="0,0,0,0">
            <w:txbxContent>
              <w:p w14:paraId="1B968FC6" w14:textId="77777777" w:rsidR="006369E6" w:rsidRDefault="006B5592">
                <w:pPr>
                  <w:pStyle w:val="BodyText"/>
                  <w:spacing w:before="41"/>
                  <w:ind w:left="40"/>
                </w:pPr>
                <w:r>
                  <w:fldChar w:fldCharType="begin"/>
                </w:r>
                <w:r>
                  <w:rPr>
                    <w:w w:val="102"/>
                  </w:rPr>
                  <w:instrText xml:space="preserve"> PAGE </w:instrText>
                </w:r>
                <w:r>
                  <w:fldChar w:fldCharType="separate"/>
                </w:r>
                <w:r w:rsidR="007D335A">
                  <w:rPr>
                    <w:noProof/>
                    <w:w w:val="102"/>
                  </w:rPr>
                  <w:t>9</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A70A" w14:textId="77777777" w:rsidR="00DD6050" w:rsidRDefault="00DD6050">
      <w:r>
        <w:separator/>
      </w:r>
    </w:p>
  </w:footnote>
  <w:footnote w:type="continuationSeparator" w:id="0">
    <w:p w14:paraId="090852D4" w14:textId="77777777" w:rsidR="00DD6050" w:rsidRDefault="00DD60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B5100E" w14:textId="77777777" w:rsidR="006369E6" w:rsidRDefault="00DD6050">
    <w:pPr>
      <w:pStyle w:val="BodyText"/>
      <w:spacing w:line="14" w:lineRule="auto"/>
      <w:rPr>
        <w:sz w:val="20"/>
      </w:rPr>
    </w:pPr>
    <w:r>
      <w:pict w14:anchorId="3639F3C5">
        <v:shapetype id="_x0000_t202" coordsize="21600,21600" o:spt="202" path="m0,0l0,21600,21600,21600,21600,0xe">
          <v:stroke joinstyle="miter"/>
          <v:path gradientshapeok="t" o:connecttype="rect"/>
        </v:shapetype>
        <v:shape id="_x0000_s1030" type="#_x0000_t202" style="position:absolute;margin-left:20.6pt;margin-top:20.9pt;width:186.7pt;height:12.9pt;z-index:-46576;mso-position-horizontal-relative:page;mso-position-vertical-relative:page" filled="f" stroked="f">
          <v:textbox inset="0,0,0,0">
            <w:txbxContent>
              <w:p w14:paraId="023E3594" w14:textId="77777777" w:rsidR="006369E6" w:rsidRDefault="006B5592">
                <w:pPr>
                  <w:pStyle w:val="BodyText"/>
                  <w:spacing w:before="18"/>
                  <w:ind w:left="20"/>
                </w:pPr>
                <w:r>
                  <w:rPr>
                    <w:w w:val="105"/>
                  </w:rPr>
                  <w:t>Consolidated</w:t>
                </w:r>
                <w:r>
                  <w:rPr>
                    <w:spacing w:val="-23"/>
                    <w:w w:val="105"/>
                  </w:rPr>
                  <w:t xml:space="preserve"> </w:t>
                </w:r>
                <w:r>
                  <w:rPr>
                    <w:w w:val="105"/>
                  </w:rPr>
                  <w:t>Questions</w:t>
                </w:r>
                <w:r>
                  <w:rPr>
                    <w:spacing w:val="-23"/>
                    <w:w w:val="105"/>
                  </w:rPr>
                  <w:t xml:space="preserve"> </w:t>
                </w:r>
                <w:r>
                  <w:rPr>
                    <w:w w:val="105"/>
                  </w:rPr>
                  <w:t>for</w:t>
                </w:r>
                <w:r>
                  <w:rPr>
                    <w:spacing w:val="-23"/>
                    <w:w w:val="105"/>
                  </w:rPr>
                  <w:t xml:space="preserve"> </w:t>
                </w:r>
                <w:r>
                  <w:rPr>
                    <w:w w:val="105"/>
                  </w:rPr>
                  <w:t>URS</w:t>
                </w:r>
                <w:r>
                  <w:rPr>
                    <w:spacing w:val="-23"/>
                    <w:w w:val="105"/>
                  </w:rPr>
                  <w:t xml:space="preserve"> </w:t>
                </w:r>
                <w:r>
                  <w:rPr>
                    <w:w w:val="105"/>
                  </w:rPr>
                  <w:t>Providers</w:t>
                </w:r>
              </w:p>
            </w:txbxContent>
          </v:textbox>
          <w10:wrap anchorx="page" anchory="page"/>
        </v:shape>
      </w:pict>
    </w:r>
    <w:r>
      <w:pict w14:anchorId="6849AFB2">
        <v:shape id="_x0000_s1029" type="#_x0000_t202" style="position:absolute;margin-left:720.35pt;margin-top:20.9pt;width:50.2pt;height:12.9pt;z-index:-46552;mso-position-horizontal-relative:page;mso-position-vertical-relative:page" filled="f" stroked="f">
          <v:textbox inset="0,0,0,0">
            <w:txbxContent>
              <w:p w14:paraId="608D85C6" w14:textId="77777777" w:rsidR="006369E6" w:rsidRDefault="006B5592">
                <w:pPr>
                  <w:pStyle w:val="BodyText"/>
                  <w:spacing w:before="18"/>
                  <w:ind w:left="20"/>
                </w:pPr>
                <w:r>
                  <w:rPr>
                    <w:w w:val="105"/>
                  </w:rPr>
                  <w:t>URS</w:t>
                </w:r>
                <w:r>
                  <w:rPr>
                    <w:spacing w:val="-24"/>
                    <w:w w:val="105"/>
                  </w:rPr>
                  <w:t xml:space="preserve"> </w:t>
                </w:r>
                <w:r>
                  <w:rPr>
                    <w:w w:val="105"/>
                  </w:rPr>
                  <w:t>Rules</w:t>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537A5B" w14:textId="77777777" w:rsidR="006369E6" w:rsidRDefault="00DD6050">
    <w:pPr>
      <w:pStyle w:val="BodyText"/>
      <w:spacing w:line="14" w:lineRule="auto"/>
      <w:rPr>
        <w:sz w:val="20"/>
      </w:rPr>
    </w:pPr>
    <w:r>
      <w:pict w14:anchorId="0A4D94DA">
        <v:shapetype id="_x0000_t202" coordsize="21600,21600" o:spt="202" path="m0,0l0,21600,21600,21600,21600,0xe">
          <v:stroke joinstyle="miter"/>
          <v:path gradientshapeok="t" o:connecttype="rect"/>
        </v:shapetype>
        <v:shape id="_x0000_s1026" type="#_x0000_t202" style="position:absolute;margin-left:20.6pt;margin-top:20.9pt;width:186.7pt;height:12.9pt;z-index:-46480;mso-position-horizontal-relative:page;mso-position-vertical-relative:page" filled="f" stroked="f">
          <v:textbox inset="0,0,0,0">
            <w:txbxContent>
              <w:p w14:paraId="468F2401" w14:textId="77777777" w:rsidR="006369E6" w:rsidRDefault="006B5592">
                <w:pPr>
                  <w:pStyle w:val="BodyText"/>
                  <w:spacing w:before="18"/>
                  <w:ind w:left="20"/>
                </w:pPr>
                <w:r>
                  <w:rPr>
                    <w:w w:val="105"/>
                  </w:rPr>
                  <w:t>Consolidated</w:t>
                </w:r>
                <w:r>
                  <w:rPr>
                    <w:spacing w:val="-23"/>
                    <w:w w:val="105"/>
                  </w:rPr>
                  <w:t xml:space="preserve"> </w:t>
                </w:r>
                <w:r>
                  <w:rPr>
                    <w:w w:val="105"/>
                  </w:rPr>
                  <w:t>Questions</w:t>
                </w:r>
                <w:r>
                  <w:rPr>
                    <w:spacing w:val="-23"/>
                    <w:w w:val="105"/>
                  </w:rPr>
                  <w:t xml:space="preserve"> </w:t>
                </w:r>
                <w:r>
                  <w:rPr>
                    <w:w w:val="105"/>
                  </w:rPr>
                  <w:t>for</w:t>
                </w:r>
                <w:r>
                  <w:rPr>
                    <w:spacing w:val="-23"/>
                    <w:w w:val="105"/>
                  </w:rPr>
                  <w:t xml:space="preserve"> </w:t>
                </w:r>
                <w:r>
                  <w:rPr>
                    <w:w w:val="105"/>
                  </w:rPr>
                  <w:t>URS</w:t>
                </w:r>
                <w:r>
                  <w:rPr>
                    <w:spacing w:val="-23"/>
                    <w:w w:val="105"/>
                  </w:rPr>
                  <w:t xml:space="preserve"> </w:t>
                </w:r>
                <w:r>
                  <w:rPr>
                    <w:w w:val="105"/>
                  </w:rPr>
                  <w:t>Providers</w:t>
                </w:r>
              </w:p>
            </w:txbxContent>
          </v:textbox>
          <w10:wrap anchorx="page" anchory="page"/>
        </v:shape>
      </w:pict>
    </w:r>
    <w:r>
      <w:pict w14:anchorId="5D54333B">
        <v:shape id="_x0000_s1025" type="#_x0000_t202" style="position:absolute;margin-left:748pt;margin-top:20.9pt;width:22.6pt;height:12.9pt;z-index:-46456;mso-position-horizontal-relative:page;mso-position-vertical-relative:page" filled="f" stroked="f">
          <v:textbox inset="0,0,0,0">
            <w:txbxContent>
              <w:p w14:paraId="4BBC6C76" w14:textId="77777777" w:rsidR="006369E6" w:rsidRDefault="006B5592">
                <w:pPr>
                  <w:pStyle w:val="BodyText"/>
                  <w:spacing w:before="18"/>
                  <w:ind w:left="20"/>
                </w:pPr>
                <w:r>
                  <w:rPr>
                    <w:w w:val="105"/>
                  </w:rPr>
                  <w:t>MoU</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077F"/>
    <w:multiLevelType w:val="hybridMultilevel"/>
    <w:tmpl w:val="85D02048"/>
    <w:lvl w:ilvl="0" w:tplc="CDBAFA0A">
      <w:numFmt w:val="bullet"/>
      <w:lvlText w:val="*"/>
      <w:lvlJc w:val="left"/>
      <w:pPr>
        <w:ind w:left="25" w:hanging="74"/>
      </w:pPr>
      <w:rPr>
        <w:rFonts w:ascii="Arial" w:eastAsia="Arial" w:hAnsi="Arial" w:cs="Arial" w:hint="default"/>
        <w:w w:val="100"/>
        <w:sz w:val="11"/>
        <w:szCs w:val="11"/>
      </w:rPr>
    </w:lvl>
    <w:lvl w:ilvl="1" w:tplc="104691EE">
      <w:numFmt w:val="bullet"/>
      <w:lvlText w:val="•"/>
      <w:lvlJc w:val="left"/>
      <w:pPr>
        <w:ind w:left="358" w:hanging="74"/>
      </w:pPr>
      <w:rPr>
        <w:rFonts w:hint="default"/>
      </w:rPr>
    </w:lvl>
    <w:lvl w:ilvl="2" w:tplc="C2D4BA8E">
      <w:numFmt w:val="bullet"/>
      <w:lvlText w:val="•"/>
      <w:lvlJc w:val="left"/>
      <w:pPr>
        <w:ind w:left="697" w:hanging="74"/>
      </w:pPr>
      <w:rPr>
        <w:rFonts w:hint="default"/>
      </w:rPr>
    </w:lvl>
    <w:lvl w:ilvl="3" w:tplc="7676085C">
      <w:numFmt w:val="bullet"/>
      <w:lvlText w:val="•"/>
      <w:lvlJc w:val="left"/>
      <w:pPr>
        <w:ind w:left="1035" w:hanging="74"/>
      </w:pPr>
      <w:rPr>
        <w:rFonts w:hint="default"/>
      </w:rPr>
    </w:lvl>
    <w:lvl w:ilvl="4" w:tplc="0AB2AD84">
      <w:numFmt w:val="bullet"/>
      <w:lvlText w:val="•"/>
      <w:lvlJc w:val="left"/>
      <w:pPr>
        <w:ind w:left="1373" w:hanging="74"/>
      </w:pPr>
      <w:rPr>
        <w:rFonts w:hint="default"/>
      </w:rPr>
    </w:lvl>
    <w:lvl w:ilvl="5" w:tplc="1B588478">
      <w:numFmt w:val="bullet"/>
      <w:lvlText w:val="•"/>
      <w:lvlJc w:val="left"/>
      <w:pPr>
        <w:ind w:left="1712" w:hanging="74"/>
      </w:pPr>
      <w:rPr>
        <w:rFonts w:hint="default"/>
      </w:rPr>
    </w:lvl>
    <w:lvl w:ilvl="6" w:tplc="87A2B774">
      <w:numFmt w:val="bullet"/>
      <w:lvlText w:val="•"/>
      <w:lvlJc w:val="left"/>
      <w:pPr>
        <w:ind w:left="2050" w:hanging="74"/>
      </w:pPr>
      <w:rPr>
        <w:rFonts w:hint="default"/>
      </w:rPr>
    </w:lvl>
    <w:lvl w:ilvl="7" w:tplc="8D5ED6E0">
      <w:numFmt w:val="bullet"/>
      <w:lvlText w:val="•"/>
      <w:lvlJc w:val="left"/>
      <w:pPr>
        <w:ind w:left="2389" w:hanging="74"/>
      </w:pPr>
      <w:rPr>
        <w:rFonts w:hint="default"/>
      </w:rPr>
    </w:lvl>
    <w:lvl w:ilvl="8" w:tplc="C9F8A82A">
      <w:numFmt w:val="bullet"/>
      <w:lvlText w:val="•"/>
      <w:lvlJc w:val="left"/>
      <w:pPr>
        <w:ind w:left="2727" w:hanging="74"/>
      </w:pPr>
      <w:rPr>
        <w:rFonts w:hint="default"/>
      </w:rPr>
    </w:lvl>
  </w:abstractNum>
  <w:abstractNum w:abstractNumId="1">
    <w:nsid w:val="0BB66E00"/>
    <w:multiLevelType w:val="hybridMultilevel"/>
    <w:tmpl w:val="8B6ADA4C"/>
    <w:lvl w:ilvl="0" w:tplc="27787F6C">
      <w:numFmt w:val="bullet"/>
      <w:lvlText w:val="*"/>
      <w:lvlJc w:val="left"/>
      <w:pPr>
        <w:ind w:left="25" w:hanging="74"/>
      </w:pPr>
      <w:rPr>
        <w:rFonts w:ascii="Arial" w:eastAsia="Arial" w:hAnsi="Arial" w:cs="Arial" w:hint="default"/>
        <w:w w:val="100"/>
        <w:sz w:val="11"/>
        <w:szCs w:val="11"/>
      </w:rPr>
    </w:lvl>
    <w:lvl w:ilvl="1" w:tplc="B99AC856">
      <w:numFmt w:val="bullet"/>
      <w:lvlText w:val="•"/>
      <w:lvlJc w:val="left"/>
      <w:pPr>
        <w:ind w:left="358" w:hanging="74"/>
      </w:pPr>
      <w:rPr>
        <w:rFonts w:hint="default"/>
      </w:rPr>
    </w:lvl>
    <w:lvl w:ilvl="2" w:tplc="0B32E450">
      <w:numFmt w:val="bullet"/>
      <w:lvlText w:val="•"/>
      <w:lvlJc w:val="left"/>
      <w:pPr>
        <w:ind w:left="697" w:hanging="74"/>
      </w:pPr>
      <w:rPr>
        <w:rFonts w:hint="default"/>
      </w:rPr>
    </w:lvl>
    <w:lvl w:ilvl="3" w:tplc="7E201F0A">
      <w:numFmt w:val="bullet"/>
      <w:lvlText w:val="•"/>
      <w:lvlJc w:val="left"/>
      <w:pPr>
        <w:ind w:left="1035" w:hanging="74"/>
      </w:pPr>
      <w:rPr>
        <w:rFonts w:hint="default"/>
      </w:rPr>
    </w:lvl>
    <w:lvl w:ilvl="4" w:tplc="22707B64">
      <w:numFmt w:val="bullet"/>
      <w:lvlText w:val="•"/>
      <w:lvlJc w:val="left"/>
      <w:pPr>
        <w:ind w:left="1373" w:hanging="74"/>
      </w:pPr>
      <w:rPr>
        <w:rFonts w:hint="default"/>
      </w:rPr>
    </w:lvl>
    <w:lvl w:ilvl="5" w:tplc="0F30F93C">
      <w:numFmt w:val="bullet"/>
      <w:lvlText w:val="•"/>
      <w:lvlJc w:val="left"/>
      <w:pPr>
        <w:ind w:left="1712" w:hanging="74"/>
      </w:pPr>
      <w:rPr>
        <w:rFonts w:hint="default"/>
      </w:rPr>
    </w:lvl>
    <w:lvl w:ilvl="6" w:tplc="26EC7C18">
      <w:numFmt w:val="bullet"/>
      <w:lvlText w:val="•"/>
      <w:lvlJc w:val="left"/>
      <w:pPr>
        <w:ind w:left="2050" w:hanging="74"/>
      </w:pPr>
      <w:rPr>
        <w:rFonts w:hint="default"/>
      </w:rPr>
    </w:lvl>
    <w:lvl w:ilvl="7" w:tplc="0A2CBB10">
      <w:numFmt w:val="bullet"/>
      <w:lvlText w:val="•"/>
      <w:lvlJc w:val="left"/>
      <w:pPr>
        <w:ind w:left="2389" w:hanging="74"/>
      </w:pPr>
      <w:rPr>
        <w:rFonts w:hint="default"/>
      </w:rPr>
    </w:lvl>
    <w:lvl w:ilvl="8" w:tplc="C7CA1C20">
      <w:numFmt w:val="bullet"/>
      <w:lvlText w:val="•"/>
      <w:lvlJc w:val="left"/>
      <w:pPr>
        <w:ind w:left="2727" w:hanging="74"/>
      </w:pPr>
      <w:rPr>
        <w:rFonts w:hint="default"/>
      </w:rPr>
    </w:lvl>
  </w:abstractNum>
  <w:abstractNum w:abstractNumId="2">
    <w:nsid w:val="16B41C4E"/>
    <w:multiLevelType w:val="hybridMultilevel"/>
    <w:tmpl w:val="1E60945E"/>
    <w:lvl w:ilvl="0" w:tplc="4184B63C">
      <w:numFmt w:val="bullet"/>
      <w:lvlText w:val="-"/>
      <w:lvlJc w:val="left"/>
      <w:pPr>
        <w:ind w:left="25" w:hanging="68"/>
      </w:pPr>
      <w:rPr>
        <w:rFonts w:ascii="Arial" w:eastAsia="Arial" w:hAnsi="Arial" w:cs="Arial" w:hint="default"/>
        <w:w w:val="100"/>
        <w:sz w:val="11"/>
        <w:szCs w:val="11"/>
      </w:rPr>
    </w:lvl>
    <w:lvl w:ilvl="1" w:tplc="CE8C75E4">
      <w:numFmt w:val="bullet"/>
      <w:lvlText w:val="•"/>
      <w:lvlJc w:val="left"/>
      <w:pPr>
        <w:ind w:left="358" w:hanging="68"/>
      </w:pPr>
      <w:rPr>
        <w:rFonts w:hint="default"/>
      </w:rPr>
    </w:lvl>
    <w:lvl w:ilvl="2" w:tplc="4A6C927E">
      <w:numFmt w:val="bullet"/>
      <w:lvlText w:val="•"/>
      <w:lvlJc w:val="left"/>
      <w:pPr>
        <w:ind w:left="697" w:hanging="68"/>
      </w:pPr>
      <w:rPr>
        <w:rFonts w:hint="default"/>
      </w:rPr>
    </w:lvl>
    <w:lvl w:ilvl="3" w:tplc="6D6C3510">
      <w:numFmt w:val="bullet"/>
      <w:lvlText w:val="•"/>
      <w:lvlJc w:val="left"/>
      <w:pPr>
        <w:ind w:left="1035" w:hanging="68"/>
      </w:pPr>
      <w:rPr>
        <w:rFonts w:hint="default"/>
      </w:rPr>
    </w:lvl>
    <w:lvl w:ilvl="4" w:tplc="2A2A08A0">
      <w:numFmt w:val="bullet"/>
      <w:lvlText w:val="•"/>
      <w:lvlJc w:val="left"/>
      <w:pPr>
        <w:ind w:left="1373" w:hanging="68"/>
      </w:pPr>
      <w:rPr>
        <w:rFonts w:hint="default"/>
      </w:rPr>
    </w:lvl>
    <w:lvl w:ilvl="5" w:tplc="24BA78DA">
      <w:numFmt w:val="bullet"/>
      <w:lvlText w:val="•"/>
      <w:lvlJc w:val="left"/>
      <w:pPr>
        <w:ind w:left="1712" w:hanging="68"/>
      </w:pPr>
      <w:rPr>
        <w:rFonts w:hint="default"/>
      </w:rPr>
    </w:lvl>
    <w:lvl w:ilvl="6" w:tplc="B1FE0670">
      <w:numFmt w:val="bullet"/>
      <w:lvlText w:val="•"/>
      <w:lvlJc w:val="left"/>
      <w:pPr>
        <w:ind w:left="2050" w:hanging="68"/>
      </w:pPr>
      <w:rPr>
        <w:rFonts w:hint="default"/>
      </w:rPr>
    </w:lvl>
    <w:lvl w:ilvl="7" w:tplc="64848D86">
      <w:numFmt w:val="bullet"/>
      <w:lvlText w:val="•"/>
      <w:lvlJc w:val="left"/>
      <w:pPr>
        <w:ind w:left="2389" w:hanging="68"/>
      </w:pPr>
      <w:rPr>
        <w:rFonts w:hint="default"/>
      </w:rPr>
    </w:lvl>
    <w:lvl w:ilvl="8" w:tplc="BD5A95D0">
      <w:numFmt w:val="bullet"/>
      <w:lvlText w:val="•"/>
      <w:lvlJc w:val="left"/>
      <w:pPr>
        <w:ind w:left="2727" w:hanging="68"/>
      </w:pPr>
      <w:rPr>
        <w:rFonts w:hint="default"/>
      </w:rPr>
    </w:lvl>
  </w:abstractNum>
  <w:abstractNum w:abstractNumId="3">
    <w:nsid w:val="25D63541"/>
    <w:multiLevelType w:val="hybridMultilevel"/>
    <w:tmpl w:val="5C70BFF4"/>
    <w:lvl w:ilvl="0" w:tplc="6D9C56FC">
      <w:numFmt w:val="bullet"/>
      <w:lvlText w:val="*"/>
      <w:lvlJc w:val="left"/>
      <w:pPr>
        <w:ind w:left="25" w:hanging="74"/>
      </w:pPr>
      <w:rPr>
        <w:rFonts w:ascii="Arial" w:eastAsia="Arial" w:hAnsi="Arial" w:cs="Arial" w:hint="default"/>
        <w:w w:val="100"/>
        <w:sz w:val="11"/>
        <w:szCs w:val="11"/>
      </w:rPr>
    </w:lvl>
    <w:lvl w:ilvl="1" w:tplc="8EACE9A0">
      <w:numFmt w:val="bullet"/>
      <w:lvlText w:val="•"/>
      <w:lvlJc w:val="left"/>
      <w:pPr>
        <w:ind w:left="358" w:hanging="74"/>
      </w:pPr>
      <w:rPr>
        <w:rFonts w:hint="default"/>
      </w:rPr>
    </w:lvl>
    <w:lvl w:ilvl="2" w:tplc="553068CC">
      <w:numFmt w:val="bullet"/>
      <w:lvlText w:val="•"/>
      <w:lvlJc w:val="left"/>
      <w:pPr>
        <w:ind w:left="697" w:hanging="74"/>
      </w:pPr>
      <w:rPr>
        <w:rFonts w:hint="default"/>
      </w:rPr>
    </w:lvl>
    <w:lvl w:ilvl="3" w:tplc="B19E683E">
      <w:numFmt w:val="bullet"/>
      <w:lvlText w:val="•"/>
      <w:lvlJc w:val="left"/>
      <w:pPr>
        <w:ind w:left="1035" w:hanging="74"/>
      </w:pPr>
      <w:rPr>
        <w:rFonts w:hint="default"/>
      </w:rPr>
    </w:lvl>
    <w:lvl w:ilvl="4" w:tplc="9F26F300">
      <w:numFmt w:val="bullet"/>
      <w:lvlText w:val="•"/>
      <w:lvlJc w:val="left"/>
      <w:pPr>
        <w:ind w:left="1373" w:hanging="74"/>
      </w:pPr>
      <w:rPr>
        <w:rFonts w:hint="default"/>
      </w:rPr>
    </w:lvl>
    <w:lvl w:ilvl="5" w:tplc="EDB4C2D8">
      <w:numFmt w:val="bullet"/>
      <w:lvlText w:val="•"/>
      <w:lvlJc w:val="left"/>
      <w:pPr>
        <w:ind w:left="1712" w:hanging="74"/>
      </w:pPr>
      <w:rPr>
        <w:rFonts w:hint="default"/>
      </w:rPr>
    </w:lvl>
    <w:lvl w:ilvl="6" w:tplc="922C3EE2">
      <w:numFmt w:val="bullet"/>
      <w:lvlText w:val="•"/>
      <w:lvlJc w:val="left"/>
      <w:pPr>
        <w:ind w:left="2050" w:hanging="74"/>
      </w:pPr>
      <w:rPr>
        <w:rFonts w:hint="default"/>
      </w:rPr>
    </w:lvl>
    <w:lvl w:ilvl="7" w:tplc="DFF4182C">
      <w:numFmt w:val="bullet"/>
      <w:lvlText w:val="•"/>
      <w:lvlJc w:val="left"/>
      <w:pPr>
        <w:ind w:left="2389" w:hanging="74"/>
      </w:pPr>
      <w:rPr>
        <w:rFonts w:hint="default"/>
      </w:rPr>
    </w:lvl>
    <w:lvl w:ilvl="8" w:tplc="CC125C98">
      <w:numFmt w:val="bullet"/>
      <w:lvlText w:val="•"/>
      <w:lvlJc w:val="left"/>
      <w:pPr>
        <w:ind w:left="2727" w:hanging="74"/>
      </w:pPr>
      <w:rPr>
        <w:rFonts w:hint="default"/>
      </w:rPr>
    </w:lvl>
  </w:abstractNum>
  <w:abstractNum w:abstractNumId="4">
    <w:nsid w:val="2E193E6C"/>
    <w:multiLevelType w:val="hybridMultilevel"/>
    <w:tmpl w:val="E84C647E"/>
    <w:lvl w:ilvl="0" w:tplc="A0427564">
      <w:numFmt w:val="bullet"/>
      <w:lvlText w:val="-"/>
      <w:lvlJc w:val="left"/>
      <w:pPr>
        <w:ind w:left="25" w:hanging="68"/>
      </w:pPr>
      <w:rPr>
        <w:rFonts w:ascii="Arial" w:eastAsia="Arial" w:hAnsi="Arial" w:cs="Arial" w:hint="default"/>
        <w:w w:val="100"/>
        <w:sz w:val="11"/>
        <w:szCs w:val="11"/>
      </w:rPr>
    </w:lvl>
    <w:lvl w:ilvl="1" w:tplc="D83E7774">
      <w:numFmt w:val="bullet"/>
      <w:lvlText w:val="•"/>
      <w:lvlJc w:val="left"/>
      <w:pPr>
        <w:ind w:left="358" w:hanging="68"/>
      </w:pPr>
      <w:rPr>
        <w:rFonts w:hint="default"/>
      </w:rPr>
    </w:lvl>
    <w:lvl w:ilvl="2" w:tplc="02CC8AA8">
      <w:numFmt w:val="bullet"/>
      <w:lvlText w:val="•"/>
      <w:lvlJc w:val="left"/>
      <w:pPr>
        <w:ind w:left="697" w:hanging="68"/>
      </w:pPr>
      <w:rPr>
        <w:rFonts w:hint="default"/>
      </w:rPr>
    </w:lvl>
    <w:lvl w:ilvl="3" w:tplc="C1AEDF1E">
      <w:numFmt w:val="bullet"/>
      <w:lvlText w:val="•"/>
      <w:lvlJc w:val="left"/>
      <w:pPr>
        <w:ind w:left="1035" w:hanging="68"/>
      </w:pPr>
      <w:rPr>
        <w:rFonts w:hint="default"/>
      </w:rPr>
    </w:lvl>
    <w:lvl w:ilvl="4" w:tplc="3C70E32E">
      <w:numFmt w:val="bullet"/>
      <w:lvlText w:val="•"/>
      <w:lvlJc w:val="left"/>
      <w:pPr>
        <w:ind w:left="1373" w:hanging="68"/>
      </w:pPr>
      <w:rPr>
        <w:rFonts w:hint="default"/>
      </w:rPr>
    </w:lvl>
    <w:lvl w:ilvl="5" w:tplc="FAA4F786">
      <w:numFmt w:val="bullet"/>
      <w:lvlText w:val="•"/>
      <w:lvlJc w:val="left"/>
      <w:pPr>
        <w:ind w:left="1712" w:hanging="68"/>
      </w:pPr>
      <w:rPr>
        <w:rFonts w:hint="default"/>
      </w:rPr>
    </w:lvl>
    <w:lvl w:ilvl="6" w:tplc="66FE8458">
      <w:numFmt w:val="bullet"/>
      <w:lvlText w:val="•"/>
      <w:lvlJc w:val="left"/>
      <w:pPr>
        <w:ind w:left="2050" w:hanging="68"/>
      </w:pPr>
      <w:rPr>
        <w:rFonts w:hint="default"/>
      </w:rPr>
    </w:lvl>
    <w:lvl w:ilvl="7" w:tplc="CB2AB02A">
      <w:numFmt w:val="bullet"/>
      <w:lvlText w:val="•"/>
      <w:lvlJc w:val="left"/>
      <w:pPr>
        <w:ind w:left="2389" w:hanging="68"/>
      </w:pPr>
      <w:rPr>
        <w:rFonts w:hint="default"/>
      </w:rPr>
    </w:lvl>
    <w:lvl w:ilvl="8" w:tplc="CE86978A">
      <w:numFmt w:val="bullet"/>
      <w:lvlText w:val="•"/>
      <w:lvlJc w:val="left"/>
      <w:pPr>
        <w:ind w:left="2727" w:hanging="68"/>
      </w:pPr>
      <w:rPr>
        <w:rFonts w:hint="default"/>
      </w:rPr>
    </w:lvl>
  </w:abstractNum>
  <w:abstractNum w:abstractNumId="5">
    <w:nsid w:val="3B630DDE"/>
    <w:multiLevelType w:val="hybridMultilevel"/>
    <w:tmpl w:val="8070ACF4"/>
    <w:lvl w:ilvl="0" w:tplc="807A29FA">
      <w:numFmt w:val="bullet"/>
      <w:lvlText w:val="-"/>
      <w:lvlJc w:val="left"/>
      <w:pPr>
        <w:ind w:left="25" w:hanging="68"/>
      </w:pPr>
      <w:rPr>
        <w:rFonts w:ascii="Arial" w:eastAsia="Arial" w:hAnsi="Arial" w:cs="Arial" w:hint="default"/>
        <w:w w:val="100"/>
        <w:sz w:val="11"/>
        <w:szCs w:val="11"/>
      </w:rPr>
    </w:lvl>
    <w:lvl w:ilvl="1" w:tplc="C7161946">
      <w:numFmt w:val="bullet"/>
      <w:lvlText w:val="•"/>
      <w:lvlJc w:val="left"/>
      <w:pPr>
        <w:ind w:left="358" w:hanging="68"/>
      </w:pPr>
      <w:rPr>
        <w:rFonts w:hint="default"/>
      </w:rPr>
    </w:lvl>
    <w:lvl w:ilvl="2" w:tplc="D232484C">
      <w:numFmt w:val="bullet"/>
      <w:lvlText w:val="•"/>
      <w:lvlJc w:val="left"/>
      <w:pPr>
        <w:ind w:left="697" w:hanging="68"/>
      </w:pPr>
      <w:rPr>
        <w:rFonts w:hint="default"/>
      </w:rPr>
    </w:lvl>
    <w:lvl w:ilvl="3" w:tplc="22DA59AC">
      <w:numFmt w:val="bullet"/>
      <w:lvlText w:val="•"/>
      <w:lvlJc w:val="left"/>
      <w:pPr>
        <w:ind w:left="1035" w:hanging="68"/>
      </w:pPr>
      <w:rPr>
        <w:rFonts w:hint="default"/>
      </w:rPr>
    </w:lvl>
    <w:lvl w:ilvl="4" w:tplc="A080F15C">
      <w:numFmt w:val="bullet"/>
      <w:lvlText w:val="•"/>
      <w:lvlJc w:val="left"/>
      <w:pPr>
        <w:ind w:left="1373" w:hanging="68"/>
      </w:pPr>
      <w:rPr>
        <w:rFonts w:hint="default"/>
      </w:rPr>
    </w:lvl>
    <w:lvl w:ilvl="5" w:tplc="13BC9560">
      <w:numFmt w:val="bullet"/>
      <w:lvlText w:val="•"/>
      <w:lvlJc w:val="left"/>
      <w:pPr>
        <w:ind w:left="1712" w:hanging="68"/>
      </w:pPr>
      <w:rPr>
        <w:rFonts w:hint="default"/>
      </w:rPr>
    </w:lvl>
    <w:lvl w:ilvl="6" w:tplc="F1D89898">
      <w:numFmt w:val="bullet"/>
      <w:lvlText w:val="•"/>
      <w:lvlJc w:val="left"/>
      <w:pPr>
        <w:ind w:left="2050" w:hanging="68"/>
      </w:pPr>
      <w:rPr>
        <w:rFonts w:hint="default"/>
      </w:rPr>
    </w:lvl>
    <w:lvl w:ilvl="7" w:tplc="A5ECC18C">
      <w:numFmt w:val="bullet"/>
      <w:lvlText w:val="•"/>
      <w:lvlJc w:val="left"/>
      <w:pPr>
        <w:ind w:left="2389" w:hanging="68"/>
      </w:pPr>
      <w:rPr>
        <w:rFonts w:hint="default"/>
      </w:rPr>
    </w:lvl>
    <w:lvl w:ilvl="8" w:tplc="AC0E244C">
      <w:numFmt w:val="bullet"/>
      <w:lvlText w:val="•"/>
      <w:lvlJc w:val="left"/>
      <w:pPr>
        <w:ind w:left="2727" w:hanging="68"/>
      </w:pPr>
      <w:rPr>
        <w:rFonts w:hint="default"/>
      </w:rPr>
    </w:lvl>
  </w:abstractNum>
  <w:abstractNum w:abstractNumId="6">
    <w:nsid w:val="40F41AA6"/>
    <w:multiLevelType w:val="hybridMultilevel"/>
    <w:tmpl w:val="126C05F6"/>
    <w:lvl w:ilvl="0" w:tplc="FA0AFC58">
      <w:numFmt w:val="bullet"/>
      <w:lvlText w:val="*"/>
      <w:lvlJc w:val="left"/>
      <w:pPr>
        <w:ind w:left="25" w:hanging="74"/>
      </w:pPr>
      <w:rPr>
        <w:rFonts w:ascii="Arial" w:eastAsia="Arial" w:hAnsi="Arial" w:cs="Arial" w:hint="default"/>
        <w:w w:val="100"/>
        <w:sz w:val="11"/>
        <w:szCs w:val="11"/>
      </w:rPr>
    </w:lvl>
    <w:lvl w:ilvl="1" w:tplc="666A4D54">
      <w:numFmt w:val="bullet"/>
      <w:lvlText w:val="•"/>
      <w:lvlJc w:val="left"/>
      <w:pPr>
        <w:ind w:left="358" w:hanging="74"/>
      </w:pPr>
      <w:rPr>
        <w:rFonts w:hint="default"/>
      </w:rPr>
    </w:lvl>
    <w:lvl w:ilvl="2" w:tplc="E9A87CAE">
      <w:numFmt w:val="bullet"/>
      <w:lvlText w:val="•"/>
      <w:lvlJc w:val="left"/>
      <w:pPr>
        <w:ind w:left="697" w:hanging="74"/>
      </w:pPr>
      <w:rPr>
        <w:rFonts w:hint="default"/>
      </w:rPr>
    </w:lvl>
    <w:lvl w:ilvl="3" w:tplc="BCD84AE6">
      <w:numFmt w:val="bullet"/>
      <w:lvlText w:val="•"/>
      <w:lvlJc w:val="left"/>
      <w:pPr>
        <w:ind w:left="1035" w:hanging="74"/>
      </w:pPr>
      <w:rPr>
        <w:rFonts w:hint="default"/>
      </w:rPr>
    </w:lvl>
    <w:lvl w:ilvl="4" w:tplc="A90CAA3A">
      <w:numFmt w:val="bullet"/>
      <w:lvlText w:val="•"/>
      <w:lvlJc w:val="left"/>
      <w:pPr>
        <w:ind w:left="1373" w:hanging="74"/>
      </w:pPr>
      <w:rPr>
        <w:rFonts w:hint="default"/>
      </w:rPr>
    </w:lvl>
    <w:lvl w:ilvl="5" w:tplc="12BE4CD6">
      <w:numFmt w:val="bullet"/>
      <w:lvlText w:val="•"/>
      <w:lvlJc w:val="left"/>
      <w:pPr>
        <w:ind w:left="1712" w:hanging="74"/>
      </w:pPr>
      <w:rPr>
        <w:rFonts w:hint="default"/>
      </w:rPr>
    </w:lvl>
    <w:lvl w:ilvl="6" w:tplc="472A8B10">
      <w:numFmt w:val="bullet"/>
      <w:lvlText w:val="•"/>
      <w:lvlJc w:val="left"/>
      <w:pPr>
        <w:ind w:left="2050" w:hanging="74"/>
      </w:pPr>
      <w:rPr>
        <w:rFonts w:hint="default"/>
      </w:rPr>
    </w:lvl>
    <w:lvl w:ilvl="7" w:tplc="5DF29A94">
      <w:numFmt w:val="bullet"/>
      <w:lvlText w:val="•"/>
      <w:lvlJc w:val="left"/>
      <w:pPr>
        <w:ind w:left="2389" w:hanging="74"/>
      </w:pPr>
      <w:rPr>
        <w:rFonts w:hint="default"/>
      </w:rPr>
    </w:lvl>
    <w:lvl w:ilvl="8" w:tplc="D0DAE592">
      <w:numFmt w:val="bullet"/>
      <w:lvlText w:val="•"/>
      <w:lvlJc w:val="left"/>
      <w:pPr>
        <w:ind w:left="2727" w:hanging="74"/>
      </w:pPr>
      <w:rPr>
        <w:rFonts w:hint="default"/>
      </w:rPr>
    </w:lvl>
  </w:abstractNum>
  <w:abstractNum w:abstractNumId="7">
    <w:nsid w:val="4786206E"/>
    <w:multiLevelType w:val="hybridMultilevel"/>
    <w:tmpl w:val="C7909370"/>
    <w:lvl w:ilvl="0" w:tplc="AA7CF978">
      <w:numFmt w:val="bullet"/>
      <w:lvlText w:val="-"/>
      <w:lvlJc w:val="left"/>
      <w:pPr>
        <w:ind w:left="25" w:hanging="68"/>
      </w:pPr>
      <w:rPr>
        <w:rFonts w:ascii="Arial" w:eastAsia="Arial" w:hAnsi="Arial" w:cs="Arial" w:hint="default"/>
        <w:w w:val="100"/>
        <w:sz w:val="11"/>
        <w:szCs w:val="11"/>
      </w:rPr>
    </w:lvl>
    <w:lvl w:ilvl="1" w:tplc="F35A4D4A">
      <w:numFmt w:val="bullet"/>
      <w:lvlText w:val="•"/>
      <w:lvlJc w:val="left"/>
      <w:pPr>
        <w:ind w:left="358" w:hanging="68"/>
      </w:pPr>
      <w:rPr>
        <w:rFonts w:hint="default"/>
      </w:rPr>
    </w:lvl>
    <w:lvl w:ilvl="2" w:tplc="6DCA4E76">
      <w:numFmt w:val="bullet"/>
      <w:lvlText w:val="•"/>
      <w:lvlJc w:val="left"/>
      <w:pPr>
        <w:ind w:left="697" w:hanging="68"/>
      </w:pPr>
      <w:rPr>
        <w:rFonts w:hint="default"/>
      </w:rPr>
    </w:lvl>
    <w:lvl w:ilvl="3" w:tplc="69F42A9E">
      <w:numFmt w:val="bullet"/>
      <w:lvlText w:val="•"/>
      <w:lvlJc w:val="left"/>
      <w:pPr>
        <w:ind w:left="1035" w:hanging="68"/>
      </w:pPr>
      <w:rPr>
        <w:rFonts w:hint="default"/>
      </w:rPr>
    </w:lvl>
    <w:lvl w:ilvl="4" w:tplc="7704381C">
      <w:numFmt w:val="bullet"/>
      <w:lvlText w:val="•"/>
      <w:lvlJc w:val="left"/>
      <w:pPr>
        <w:ind w:left="1373" w:hanging="68"/>
      </w:pPr>
      <w:rPr>
        <w:rFonts w:hint="default"/>
      </w:rPr>
    </w:lvl>
    <w:lvl w:ilvl="5" w:tplc="D7822758">
      <w:numFmt w:val="bullet"/>
      <w:lvlText w:val="•"/>
      <w:lvlJc w:val="left"/>
      <w:pPr>
        <w:ind w:left="1712" w:hanging="68"/>
      </w:pPr>
      <w:rPr>
        <w:rFonts w:hint="default"/>
      </w:rPr>
    </w:lvl>
    <w:lvl w:ilvl="6" w:tplc="DA5A4444">
      <w:numFmt w:val="bullet"/>
      <w:lvlText w:val="•"/>
      <w:lvlJc w:val="left"/>
      <w:pPr>
        <w:ind w:left="2050" w:hanging="68"/>
      </w:pPr>
      <w:rPr>
        <w:rFonts w:hint="default"/>
      </w:rPr>
    </w:lvl>
    <w:lvl w:ilvl="7" w:tplc="4B124D38">
      <w:numFmt w:val="bullet"/>
      <w:lvlText w:val="•"/>
      <w:lvlJc w:val="left"/>
      <w:pPr>
        <w:ind w:left="2389" w:hanging="68"/>
      </w:pPr>
      <w:rPr>
        <w:rFonts w:hint="default"/>
      </w:rPr>
    </w:lvl>
    <w:lvl w:ilvl="8" w:tplc="E5663E98">
      <w:numFmt w:val="bullet"/>
      <w:lvlText w:val="•"/>
      <w:lvlJc w:val="left"/>
      <w:pPr>
        <w:ind w:left="2727" w:hanging="68"/>
      </w:pPr>
      <w:rPr>
        <w:rFonts w:hint="default"/>
      </w:rPr>
    </w:lvl>
  </w:abstractNum>
  <w:abstractNum w:abstractNumId="8">
    <w:nsid w:val="4B8E58BF"/>
    <w:multiLevelType w:val="hybridMultilevel"/>
    <w:tmpl w:val="CC8CBB54"/>
    <w:lvl w:ilvl="0" w:tplc="1F22B6EA">
      <w:numFmt w:val="bullet"/>
      <w:lvlText w:val="-"/>
      <w:lvlJc w:val="left"/>
      <w:pPr>
        <w:ind w:left="25" w:hanging="68"/>
      </w:pPr>
      <w:rPr>
        <w:rFonts w:ascii="Arial" w:eastAsia="Arial" w:hAnsi="Arial" w:cs="Arial" w:hint="default"/>
        <w:w w:val="100"/>
        <w:sz w:val="11"/>
        <w:szCs w:val="11"/>
      </w:rPr>
    </w:lvl>
    <w:lvl w:ilvl="1" w:tplc="AB70618A">
      <w:numFmt w:val="bullet"/>
      <w:lvlText w:val="•"/>
      <w:lvlJc w:val="left"/>
      <w:pPr>
        <w:ind w:left="358" w:hanging="68"/>
      </w:pPr>
      <w:rPr>
        <w:rFonts w:hint="default"/>
      </w:rPr>
    </w:lvl>
    <w:lvl w:ilvl="2" w:tplc="8542CD60">
      <w:numFmt w:val="bullet"/>
      <w:lvlText w:val="•"/>
      <w:lvlJc w:val="left"/>
      <w:pPr>
        <w:ind w:left="697" w:hanging="68"/>
      </w:pPr>
      <w:rPr>
        <w:rFonts w:hint="default"/>
      </w:rPr>
    </w:lvl>
    <w:lvl w:ilvl="3" w:tplc="53D6C7B0">
      <w:numFmt w:val="bullet"/>
      <w:lvlText w:val="•"/>
      <w:lvlJc w:val="left"/>
      <w:pPr>
        <w:ind w:left="1035" w:hanging="68"/>
      </w:pPr>
      <w:rPr>
        <w:rFonts w:hint="default"/>
      </w:rPr>
    </w:lvl>
    <w:lvl w:ilvl="4" w:tplc="5BAEAB90">
      <w:numFmt w:val="bullet"/>
      <w:lvlText w:val="•"/>
      <w:lvlJc w:val="left"/>
      <w:pPr>
        <w:ind w:left="1373" w:hanging="68"/>
      </w:pPr>
      <w:rPr>
        <w:rFonts w:hint="default"/>
      </w:rPr>
    </w:lvl>
    <w:lvl w:ilvl="5" w:tplc="31922040">
      <w:numFmt w:val="bullet"/>
      <w:lvlText w:val="•"/>
      <w:lvlJc w:val="left"/>
      <w:pPr>
        <w:ind w:left="1712" w:hanging="68"/>
      </w:pPr>
      <w:rPr>
        <w:rFonts w:hint="default"/>
      </w:rPr>
    </w:lvl>
    <w:lvl w:ilvl="6" w:tplc="9AD462A0">
      <w:numFmt w:val="bullet"/>
      <w:lvlText w:val="•"/>
      <w:lvlJc w:val="left"/>
      <w:pPr>
        <w:ind w:left="2050" w:hanging="68"/>
      </w:pPr>
      <w:rPr>
        <w:rFonts w:hint="default"/>
      </w:rPr>
    </w:lvl>
    <w:lvl w:ilvl="7" w:tplc="2FECFD7C">
      <w:numFmt w:val="bullet"/>
      <w:lvlText w:val="•"/>
      <w:lvlJc w:val="left"/>
      <w:pPr>
        <w:ind w:left="2389" w:hanging="68"/>
      </w:pPr>
      <w:rPr>
        <w:rFonts w:hint="default"/>
      </w:rPr>
    </w:lvl>
    <w:lvl w:ilvl="8" w:tplc="27CE52E4">
      <w:numFmt w:val="bullet"/>
      <w:lvlText w:val="•"/>
      <w:lvlJc w:val="left"/>
      <w:pPr>
        <w:ind w:left="2727" w:hanging="68"/>
      </w:pPr>
      <w:rPr>
        <w:rFonts w:hint="default"/>
      </w:rPr>
    </w:lvl>
  </w:abstractNum>
  <w:abstractNum w:abstractNumId="9">
    <w:nsid w:val="4E4A3AED"/>
    <w:multiLevelType w:val="hybridMultilevel"/>
    <w:tmpl w:val="C70CA032"/>
    <w:lvl w:ilvl="0" w:tplc="393AD00C">
      <w:numFmt w:val="bullet"/>
      <w:lvlText w:val="*"/>
      <w:lvlJc w:val="left"/>
      <w:pPr>
        <w:ind w:left="25" w:hanging="74"/>
      </w:pPr>
      <w:rPr>
        <w:rFonts w:ascii="Arial" w:eastAsia="Arial" w:hAnsi="Arial" w:cs="Arial" w:hint="default"/>
        <w:w w:val="100"/>
        <w:sz w:val="11"/>
        <w:szCs w:val="11"/>
      </w:rPr>
    </w:lvl>
    <w:lvl w:ilvl="1" w:tplc="EB5248C0">
      <w:numFmt w:val="bullet"/>
      <w:lvlText w:val="•"/>
      <w:lvlJc w:val="left"/>
      <w:pPr>
        <w:ind w:left="358" w:hanging="74"/>
      </w:pPr>
      <w:rPr>
        <w:rFonts w:hint="default"/>
      </w:rPr>
    </w:lvl>
    <w:lvl w:ilvl="2" w:tplc="8490242A">
      <w:numFmt w:val="bullet"/>
      <w:lvlText w:val="•"/>
      <w:lvlJc w:val="left"/>
      <w:pPr>
        <w:ind w:left="697" w:hanging="74"/>
      </w:pPr>
      <w:rPr>
        <w:rFonts w:hint="default"/>
      </w:rPr>
    </w:lvl>
    <w:lvl w:ilvl="3" w:tplc="A6D60782">
      <w:numFmt w:val="bullet"/>
      <w:lvlText w:val="•"/>
      <w:lvlJc w:val="left"/>
      <w:pPr>
        <w:ind w:left="1035" w:hanging="74"/>
      </w:pPr>
      <w:rPr>
        <w:rFonts w:hint="default"/>
      </w:rPr>
    </w:lvl>
    <w:lvl w:ilvl="4" w:tplc="7632ECCC">
      <w:numFmt w:val="bullet"/>
      <w:lvlText w:val="•"/>
      <w:lvlJc w:val="left"/>
      <w:pPr>
        <w:ind w:left="1373" w:hanging="74"/>
      </w:pPr>
      <w:rPr>
        <w:rFonts w:hint="default"/>
      </w:rPr>
    </w:lvl>
    <w:lvl w:ilvl="5" w:tplc="012E7EF0">
      <w:numFmt w:val="bullet"/>
      <w:lvlText w:val="•"/>
      <w:lvlJc w:val="left"/>
      <w:pPr>
        <w:ind w:left="1712" w:hanging="74"/>
      </w:pPr>
      <w:rPr>
        <w:rFonts w:hint="default"/>
      </w:rPr>
    </w:lvl>
    <w:lvl w:ilvl="6" w:tplc="27962E58">
      <w:numFmt w:val="bullet"/>
      <w:lvlText w:val="•"/>
      <w:lvlJc w:val="left"/>
      <w:pPr>
        <w:ind w:left="2050" w:hanging="74"/>
      </w:pPr>
      <w:rPr>
        <w:rFonts w:hint="default"/>
      </w:rPr>
    </w:lvl>
    <w:lvl w:ilvl="7" w:tplc="3792423A">
      <w:numFmt w:val="bullet"/>
      <w:lvlText w:val="•"/>
      <w:lvlJc w:val="left"/>
      <w:pPr>
        <w:ind w:left="2389" w:hanging="74"/>
      </w:pPr>
      <w:rPr>
        <w:rFonts w:hint="default"/>
      </w:rPr>
    </w:lvl>
    <w:lvl w:ilvl="8" w:tplc="09A6746C">
      <w:numFmt w:val="bullet"/>
      <w:lvlText w:val="•"/>
      <w:lvlJc w:val="left"/>
      <w:pPr>
        <w:ind w:left="2727" w:hanging="74"/>
      </w:pPr>
      <w:rPr>
        <w:rFonts w:hint="default"/>
      </w:rPr>
    </w:lvl>
  </w:abstractNum>
  <w:abstractNum w:abstractNumId="10">
    <w:nsid w:val="4F5F32E4"/>
    <w:multiLevelType w:val="hybridMultilevel"/>
    <w:tmpl w:val="10E8E3D0"/>
    <w:lvl w:ilvl="0" w:tplc="464E9066">
      <w:numFmt w:val="bullet"/>
      <w:lvlText w:val="-"/>
      <w:lvlJc w:val="left"/>
      <w:pPr>
        <w:ind w:left="25" w:hanging="68"/>
      </w:pPr>
      <w:rPr>
        <w:rFonts w:ascii="Arial" w:eastAsia="Arial" w:hAnsi="Arial" w:cs="Arial" w:hint="default"/>
        <w:w w:val="100"/>
        <w:sz w:val="11"/>
        <w:szCs w:val="11"/>
      </w:rPr>
    </w:lvl>
    <w:lvl w:ilvl="1" w:tplc="1D7687D6">
      <w:numFmt w:val="bullet"/>
      <w:lvlText w:val="•"/>
      <w:lvlJc w:val="left"/>
      <w:pPr>
        <w:ind w:left="358" w:hanging="68"/>
      </w:pPr>
      <w:rPr>
        <w:rFonts w:hint="default"/>
      </w:rPr>
    </w:lvl>
    <w:lvl w:ilvl="2" w:tplc="C64860FC">
      <w:numFmt w:val="bullet"/>
      <w:lvlText w:val="•"/>
      <w:lvlJc w:val="left"/>
      <w:pPr>
        <w:ind w:left="697" w:hanging="68"/>
      </w:pPr>
      <w:rPr>
        <w:rFonts w:hint="default"/>
      </w:rPr>
    </w:lvl>
    <w:lvl w:ilvl="3" w:tplc="07B28786">
      <w:numFmt w:val="bullet"/>
      <w:lvlText w:val="•"/>
      <w:lvlJc w:val="left"/>
      <w:pPr>
        <w:ind w:left="1035" w:hanging="68"/>
      </w:pPr>
      <w:rPr>
        <w:rFonts w:hint="default"/>
      </w:rPr>
    </w:lvl>
    <w:lvl w:ilvl="4" w:tplc="8708A5BE">
      <w:numFmt w:val="bullet"/>
      <w:lvlText w:val="•"/>
      <w:lvlJc w:val="left"/>
      <w:pPr>
        <w:ind w:left="1373" w:hanging="68"/>
      </w:pPr>
      <w:rPr>
        <w:rFonts w:hint="default"/>
      </w:rPr>
    </w:lvl>
    <w:lvl w:ilvl="5" w:tplc="FBC2E050">
      <w:numFmt w:val="bullet"/>
      <w:lvlText w:val="•"/>
      <w:lvlJc w:val="left"/>
      <w:pPr>
        <w:ind w:left="1712" w:hanging="68"/>
      </w:pPr>
      <w:rPr>
        <w:rFonts w:hint="default"/>
      </w:rPr>
    </w:lvl>
    <w:lvl w:ilvl="6" w:tplc="EDE4D088">
      <w:numFmt w:val="bullet"/>
      <w:lvlText w:val="•"/>
      <w:lvlJc w:val="left"/>
      <w:pPr>
        <w:ind w:left="2050" w:hanging="68"/>
      </w:pPr>
      <w:rPr>
        <w:rFonts w:hint="default"/>
      </w:rPr>
    </w:lvl>
    <w:lvl w:ilvl="7" w:tplc="95508C8A">
      <w:numFmt w:val="bullet"/>
      <w:lvlText w:val="•"/>
      <w:lvlJc w:val="left"/>
      <w:pPr>
        <w:ind w:left="2389" w:hanging="68"/>
      </w:pPr>
      <w:rPr>
        <w:rFonts w:hint="default"/>
      </w:rPr>
    </w:lvl>
    <w:lvl w:ilvl="8" w:tplc="1EA06940">
      <w:numFmt w:val="bullet"/>
      <w:lvlText w:val="•"/>
      <w:lvlJc w:val="left"/>
      <w:pPr>
        <w:ind w:left="2727" w:hanging="68"/>
      </w:pPr>
      <w:rPr>
        <w:rFonts w:hint="default"/>
      </w:rPr>
    </w:lvl>
  </w:abstractNum>
  <w:abstractNum w:abstractNumId="11">
    <w:nsid w:val="5DD32820"/>
    <w:multiLevelType w:val="hybridMultilevel"/>
    <w:tmpl w:val="2C62F8B4"/>
    <w:lvl w:ilvl="0" w:tplc="982E89DA">
      <w:numFmt w:val="bullet"/>
      <w:lvlText w:val="*"/>
      <w:lvlJc w:val="left"/>
      <w:pPr>
        <w:ind w:left="99" w:hanging="74"/>
      </w:pPr>
      <w:rPr>
        <w:rFonts w:ascii="Arial" w:eastAsia="Arial" w:hAnsi="Arial" w:cs="Arial" w:hint="default"/>
        <w:w w:val="100"/>
        <w:sz w:val="11"/>
        <w:szCs w:val="11"/>
      </w:rPr>
    </w:lvl>
    <w:lvl w:ilvl="1" w:tplc="000E9894">
      <w:numFmt w:val="bullet"/>
      <w:lvlText w:val="•"/>
      <w:lvlJc w:val="left"/>
      <w:pPr>
        <w:ind w:left="430" w:hanging="74"/>
      </w:pPr>
      <w:rPr>
        <w:rFonts w:hint="default"/>
      </w:rPr>
    </w:lvl>
    <w:lvl w:ilvl="2" w:tplc="CBF04E98">
      <w:numFmt w:val="bullet"/>
      <w:lvlText w:val="•"/>
      <w:lvlJc w:val="left"/>
      <w:pPr>
        <w:ind w:left="761" w:hanging="74"/>
      </w:pPr>
      <w:rPr>
        <w:rFonts w:hint="default"/>
      </w:rPr>
    </w:lvl>
    <w:lvl w:ilvl="3" w:tplc="8F32E5EC">
      <w:numFmt w:val="bullet"/>
      <w:lvlText w:val="•"/>
      <w:lvlJc w:val="left"/>
      <w:pPr>
        <w:ind w:left="1091" w:hanging="74"/>
      </w:pPr>
      <w:rPr>
        <w:rFonts w:hint="default"/>
      </w:rPr>
    </w:lvl>
    <w:lvl w:ilvl="4" w:tplc="3BC200DA">
      <w:numFmt w:val="bullet"/>
      <w:lvlText w:val="•"/>
      <w:lvlJc w:val="left"/>
      <w:pPr>
        <w:ind w:left="1421" w:hanging="74"/>
      </w:pPr>
      <w:rPr>
        <w:rFonts w:hint="default"/>
      </w:rPr>
    </w:lvl>
    <w:lvl w:ilvl="5" w:tplc="2D324A48">
      <w:numFmt w:val="bullet"/>
      <w:lvlText w:val="•"/>
      <w:lvlJc w:val="left"/>
      <w:pPr>
        <w:ind w:left="1752" w:hanging="74"/>
      </w:pPr>
      <w:rPr>
        <w:rFonts w:hint="default"/>
      </w:rPr>
    </w:lvl>
    <w:lvl w:ilvl="6" w:tplc="2138E1B2">
      <w:numFmt w:val="bullet"/>
      <w:lvlText w:val="•"/>
      <w:lvlJc w:val="left"/>
      <w:pPr>
        <w:ind w:left="2082" w:hanging="74"/>
      </w:pPr>
      <w:rPr>
        <w:rFonts w:hint="default"/>
      </w:rPr>
    </w:lvl>
    <w:lvl w:ilvl="7" w:tplc="2C70531C">
      <w:numFmt w:val="bullet"/>
      <w:lvlText w:val="•"/>
      <w:lvlJc w:val="left"/>
      <w:pPr>
        <w:ind w:left="2413" w:hanging="74"/>
      </w:pPr>
      <w:rPr>
        <w:rFonts w:hint="default"/>
      </w:rPr>
    </w:lvl>
    <w:lvl w:ilvl="8" w:tplc="F2623014">
      <w:numFmt w:val="bullet"/>
      <w:lvlText w:val="•"/>
      <w:lvlJc w:val="left"/>
      <w:pPr>
        <w:ind w:left="2743" w:hanging="74"/>
      </w:pPr>
      <w:rPr>
        <w:rFonts w:hint="default"/>
      </w:rPr>
    </w:lvl>
  </w:abstractNum>
  <w:abstractNum w:abstractNumId="12">
    <w:nsid w:val="5F5100F1"/>
    <w:multiLevelType w:val="hybridMultilevel"/>
    <w:tmpl w:val="97AE8DE6"/>
    <w:lvl w:ilvl="0" w:tplc="1D2EB568">
      <w:numFmt w:val="bullet"/>
      <w:lvlText w:val="*"/>
      <w:lvlJc w:val="left"/>
      <w:pPr>
        <w:ind w:left="25" w:hanging="74"/>
      </w:pPr>
      <w:rPr>
        <w:rFonts w:ascii="Arial" w:eastAsia="Arial" w:hAnsi="Arial" w:cs="Arial" w:hint="default"/>
        <w:w w:val="100"/>
        <w:sz w:val="11"/>
        <w:szCs w:val="11"/>
      </w:rPr>
    </w:lvl>
    <w:lvl w:ilvl="1" w:tplc="E2DA6D68">
      <w:numFmt w:val="bullet"/>
      <w:lvlText w:val="•"/>
      <w:lvlJc w:val="left"/>
      <w:pPr>
        <w:ind w:left="358" w:hanging="74"/>
      </w:pPr>
      <w:rPr>
        <w:rFonts w:hint="default"/>
      </w:rPr>
    </w:lvl>
    <w:lvl w:ilvl="2" w:tplc="907C7AA2">
      <w:numFmt w:val="bullet"/>
      <w:lvlText w:val="•"/>
      <w:lvlJc w:val="left"/>
      <w:pPr>
        <w:ind w:left="697" w:hanging="74"/>
      </w:pPr>
      <w:rPr>
        <w:rFonts w:hint="default"/>
      </w:rPr>
    </w:lvl>
    <w:lvl w:ilvl="3" w:tplc="0380C3C8">
      <w:numFmt w:val="bullet"/>
      <w:lvlText w:val="•"/>
      <w:lvlJc w:val="left"/>
      <w:pPr>
        <w:ind w:left="1035" w:hanging="74"/>
      </w:pPr>
      <w:rPr>
        <w:rFonts w:hint="default"/>
      </w:rPr>
    </w:lvl>
    <w:lvl w:ilvl="4" w:tplc="87C2810C">
      <w:numFmt w:val="bullet"/>
      <w:lvlText w:val="•"/>
      <w:lvlJc w:val="left"/>
      <w:pPr>
        <w:ind w:left="1373" w:hanging="74"/>
      </w:pPr>
      <w:rPr>
        <w:rFonts w:hint="default"/>
      </w:rPr>
    </w:lvl>
    <w:lvl w:ilvl="5" w:tplc="0EDA4452">
      <w:numFmt w:val="bullet"/>
      <w:lvlText w:val="•"/>
      <w:lvlJc w:val="left"/>
      <w:pPr>
        <w:ind w:left="1712" w:hanging="74"/>
      </w:pPr>
      <w:rPr>
        <w:rFonts w:hint="default"/>
      </w:rPr>
    </w:lvl>
    <w:lvl w:ilvl="6" w:tplc="5016D66C">
      <w:numFmt w:val="bullet"/>
      <w:lvlText w:val="•"/>
      <w:lvlJc w:val="left"/>
      <w:pPr>
        <w:ind w:left="2050" w:hanging="74"/>
      </w:pPr>
      <w:rPr>
        <w:rFonts w:hint="default"/>
      </w:rPr>
    </w:lvl>
    <w:lvl w:ilvl="7" w:tplc="76763146">
      <w:numFmt w:val="bullet"/>
      <w:lvlText w:val="•"/>
      <w:lvlJc w:val="left"/>
      <w:pPr>
        <w:ind w:left="2389" w:hanging="74"/>
      </w:pPr>
      <w:rPr>
        <w:rFonts w:hint="default"/>
      </w:rPr>
    </w:lvl>
    <w:lvl w:ilvl="8" w:tplc="A0767D26">
      <w:numFmt w:val="bullet"/>
      <w:lvlText w:val="•"/>
      <w:lvlJc w:val="left"/>
      <w:pPr>
        <w:ind w:left="2727" w:hanging="74"/>
      </w:pPr>
      <w:rPr>
        <w:rFonts w:hint="default"/>
      </w:rPr>
    </w:lvl>
  </w:abstractNum>
  <w:abstractNum w:abstractNumId="13">
    <w:nsid w:val="5FD94EB5"/>
    <w:multiLevelType w:val="hybridMultilevel"/>
    <w:tmpl w:val="9782E41A"/>
    <w:lvl w:ilvl="0" w:tplc="340E510E">
      <w:numFmt w:val="bullet"/>
      <w:lvlText w:val="-"/>
      <w:lvlJc w:val="left"/>
      <w:pPr>
        <w:ind w:left="25" w:hanging="68"/>
      </w:pPr>
      <w:rPr>
        <w:rFonts w:ascii="Arial" w:eastAsia="Arial" w:hAnsi="Arial" w:cs="Arial" w:hint="default"/>
        <w:w w:val="100"/>
        <w:sz w:val="11"/>
        <w:szCs w:val="11"/>
      </w:rPr>
    </w:lvl>
    <w:lvl w:ilvl="1" w:tplc="F0FC9880">
      <w:numFmt w:val="bullet"/>
      <w:lvlText w:val="•"/>
      <w:lvlJc w:val="left"/>
      <w:pPr>
        <w:ind w:left="358" w:hanging="68"/>
      </w:pPr>
      <w:rPr>
        <w:rFonts w:hint="default"/>
      </w:rPr>
    </w:lvl>
    <w:lvl w:ilvl="2" w:tplc="E6D872C4">
      <w:numFmt w:val="bullet"/>
      <w:lvlText w:val="•"/>
      <w:lvlJc w:val="left"/>
      <w:pPr>
        <w:ind w:left="697" w:hanging="68"/>
      </w:pPr>
      <w:rPr>
        <w:rFonts w:hint="default"/>
      </w:rPr>
    </w:lvl>
    <w:lvl w:ilvl="3" w:tplc="6CA460B0">
      <w:numFmt w:val="bullet"/>
      <w:lvlText w:val="•"/>
      <w:lvlJc w:val="left"/>
      <w:pPr>
        <w:ind w:left="1035" w:hanging="68"/>
      </w:pPr>
      <w:rPr>
        <w:rFonts w:hint="default"/>
      </w:rPr>
    </w:lvl>
    <w:lvl w:ilvl="4" w:tplc="B06CB972">
      <w:numFmt w:val="bullet"/>
      <w:lvlText w:val="•"/>
      <w:lvlJc w:val="left"/>
      <w:pPr>
        <w:ind w:left="1373" w:hanging="68"/>
      </w:pPr>
      <w:rPr>
        <w:rFonts w:hint="default"/>
      </w:rPr>
    </w:lvl>
    <w:lvl w:ilvl="5" w:tplc="E03C01A6">
      <w:numFmt w:val="bullet"/>
      <w:lvlText w:val="•"/>
      <w:lvlJc w:val="left"/>
      <w:pPr>
        <w:ind w:left="1712" w:hanging="68"/>
      </w:pPr>
      <w:rPr>
        <w:rFonts w:hint="default"/>
      </w:rPr>
    </w:lvl>
    <w:lvl w:ilvl="6" w:tplc="86889436">
      <w:numFmt w:val="bullet"/>
      <w:lvlText w:val="•"/>
      <w:lvlJc w:val="left"/>
      <w:pPr>
        <w:ind w:left="2050" w:hanging="68"/>
      </w:pPr>
      <w:rPr>
        <w:rFonts w:hint="default"/>
      </w:rPr>
    </w:lvl>
    <w:lvl w:ilvl="7" w:tplc="668C9AD4">
      <w:numFmt w:val="bullet"/>
      <w:lvlText w:val="•"/>
      <w:lvlJc w:val="left"/>
      <w:pPr>
        <w:ind w:left="2389" w:hanging="68"/>
      </w:pPr>
      <w:rPr>
        <w:rFonts w:hint="default"/>
      </w:rPr>
    </w:lvl>
    <w:lvl w:ilvl="8" w:tplc="2B92DAE2">
      <w:numFmt w:val="bullet"/>
      <w:lvlText w:val="•"/>
      <w:lvlJc w:val="left"/>
      <w:pPr>
        <w:ind w:left="2727" w:hanging="68"/>
      </w:pPr>
      <w:rPr>
        <w:rFonts w:hint="default"/>
      </w:rPr>
    </w:lvl>
  </w:abstractNum>
  <w:abstractNum w:abstractNumId="14">
    <w:nsid w:val="60E876FD"/>
    <w:multiLevelType w:val="hybridMultilevel"/>
    <w:tmpl w:val="13B0872E"/>
    <w:lvl w:ilvl="0" w:tplc="5BB0F644">
      <w:numFmt w:val="bullet"/>
      <w:lvlText w:val="*"/>
      <w:lvlJc w:val="left"/>
      <w:pPr>
        <w:ind w:left="25" w:hanging="74"/>
      </w:pPr>
      <w:rPr>
        <w:rFonts w:ascii="Arial" w:eastAsia="Arial" w:hAnsi="Arial" w:cs="Arial" w:hint="default"/>
        <w:w w:val="100"/>
        <w:sz w:val="11"/>
        <w:szCs w:val="11"/>
      </w:rPr>
    </w:lvl>
    <w:lvl w:ilvl="1" w:tplc="5A28264A">
      <w:numFmt w:val="bullet"/>
      <w:lvlText w:val="•"/>
      <w:lvlJc w:val="left"/>
      <w:pPr>
        <w:ind w:left="358" w:hanging="74"/>
      </w:pPr>
      <w:rPr>
        <w:rFonts w:hint="default"/>
      </w:rPr>
    </w:lvl>
    <w:lvl w:ilvl="2" w:tplc="50F2AF88">
      <w:numFmt w:val="bullet"/>
      <w:lvlText w:val="•"/>
      <w:lvlJc w:val="left"/>
      <w:pPr>
        <w:ind w:left="697" w:hanging="74"/>
      </w:pPr>
      <w:rPr>
        <w:rFonts w:hint="default"/>
      </w:rPr>
    </w:lvl>
    <w:lvl w:ilvl="3" w:tplc="994C863E">
      <w:numFmt w:val="bullet"/>
      <w:lvlText w:val="•"/>
      <w:lvlJc w:val="left"/>
      <w:pPr>
        <w:ind w:left="1035" w:hanging="74"/>
      </w:pPr>
      <w:rPr>
        <w:rFonts w:hint="default"/>
      </w:rPr>
    </w:lvl>
    <w:lvl w:ilvl="4" w:tplc="89146F78">
      <w:numFmt w:val="bullet"/>
      <w:lvlText w:val="•"/>
      <w:lvlJc w:val="left"/>
      <w:pPr>
        <w:ind w:left="1373" w:hanging="74"/>
      </w:pPr>
      <w:rPr>
        <w:rFonts w:hint="default"/>
      </w:rPr>
    </w:lvl>
    <w:lvl w:ilvl="5" w:tplc="D3B0BB00">
      <w:numFmt w:val="bullet"/>
      <w:lvlText w:val="•"/>
      <w:lvlJc w:val="left"/>
      <w:pPr>
        <w:ind w:left="1712" w:hanging="74"/>
      </w:pPr>
      <w:rPr>
        <w:rFonts w:hint="default"/>
      </w:rPr>
    </w:lvl>
    <w:lvl w:ilvl="6" w:tplc="A10A874C">
      <w:numFmt w:val="bullet"/>
      <w:lvlText w:val="•"/>
      <w:lvlJc w:val="left"/>
      <w:pPr>
        <w:ind w:left="2050" w:hanging="74"/>
      </w:pPr>
      <w:rPr>
        <w:rFonts w:hint="default"/>
      </w:rPr>
    </w:lvl>
    <w:lvl w:ilvl="7" w:tplc="D6400430">
      <w:numFmt w:val="bullet"/>
      <w:lvlText w:val="•"/>
      <w:lvlJc w:val="left"/>
      <w:pPr>
        <w:ind w:left="2389" w:hanging="74"/>
      </w:pPr>
      <w:rPr>
        <w:rFonts w:hint="default"/>
      </w:rPr>
    </w:lvl>
    <w:lvl w:ilvl="8" w:tplc="ED6E2A46">
      <w:numFmt w:val="bullet"/>
      <w:lvlText w:val="•"/>
      <w:lvlJc w:val="left"/>
      <w:pPr>
        <w:ind w:left="2727" w:hanging="74"/>
      </w:pPr>
      <w:rPr>
        <w:rFonts w:hint="default"/>
      </w:rPr>
    </w:lvl>
  </w:abstractNum>
  <w:abstractNum w:abstractNumId="15">
    <w:nsid w:val="66824A22"/>
    <w:multiLevelType w:val="hybridMultilevel"/>
    <w:tmpl w:val="57BAFBFA"/>
    <w:lvl w:ilvl="0" w:tplc="2E10837C">
      <w:numFmt w:val="bullet"/>
      <w:lvlText w:val="*"/>
      <w:lvlJc w:val="left"/>
      <w:pPr>
        <w:ind w:left="34" w:hanging="100"/>
      </w:pPr>
      <w:rPr>
        <w:rFonts w:ascii="Arial" w:eastAsia="Arial" w:hAnsi="Arial" w:cs="Arial" w:hint="default"/>
        <w:w w:val="99"/>
        <w:sz w:val="15"/>
        <w:szCs w:val="15"/>
      </w:rPr>
    </w:lvl>
    <w:lvl w:ilvl="1" w:tplc="9C4A61AC">
      <w:numFmt w:val="bullet"/>
      <w:lvlText w:val="•"/>
      <w:lvlJc w:val="left"/>
      <w:pPr>
        <w:ind w:left="380" w:hanging="100"/>
      </w:pPr>
      <w:rPr>
        <w:rFonts w:hint="default"/>
      </w:rPr>
    </w:lvl>
    <w:lvl w:ilvl="2" w:tplc="61EAB38C">
      <w:numFmt w:val="bullet"/>
      <w:lvlText w:val="•"/>
      <w:lvlJc w:val="left"/>
      <w:pPr>
        <w:ind w:left="720" w:hanging="100"/>
      </w:pPr>
      <w:rPr>
        <w:rFonts w:hint="default"/>
      </w:rPr>
    </w:lvl>
    <w:lvl w:ilvl="3" w:tplc="77DA63CC">
      <w:numFmt w:val="bullet"/>
      <w:lvlText w:val="•"/>
      <w:lvlJc w:val="left"/>
      <w:pPr>
        <w:ind w:left="1061" w:hanging="100"/>
      </w:pPr>
      <w:rPr>
        <w:rFonts w:hint="default"/>
      </w:rPr>
    </w:lvl>
    <w:lvl w:ilvl="4" w:tplc="E0F0F0A0">
      <w:numFmt w:val="bullet"/>
      <w:lvlText w:val="•"/>
      <w:lvlJc w:val="left"/>
      <w:pPr>
        <w:ind w:left="1401" w:hanging="100"/>
      </w:pPr>
      <w:rPr>
        <w:rFonts w:hint="default"/>
      </w:rPr>
    </w:lvl>
    <w:lvl w:ilvl="5" w:tplc="DD604334">
      <w:numFmt w:val="bullet"/>
      <w:lvlText w:val="•"/>
      <w:lvlJc w:val="left"/>
      <w:pPr>
        <w:ind w:left="1742" w:hanging="100"/>
      </w:pPr>
      <w:rPr>
        <w:rFonts w:hint="default"/>
      </w:rPr>
    </w:lvl>
    <w:lvl w:ilvl="6" w:tplc="8E3AC0C8">
      <w:numFmt w:val="bullet"/>
      <w:lvlText w:val="•"/>
      <w:lvlJc w:val="left"/>
      <w:pPr>
        <w:ind w:left="2082" w:hanging="100"/>
      </w:pPr>
      <w:rPr>
        <w:rFonts w:hint="default"/>
      </w:rPr>
    </w:lvl>
    <w:lvl w:ilvl="7" w:tplc="4D4EFA16">
      <w:numFmt w:val="bullet"/>
      <w:lvlText w:val="•"/>
      <w:lvlJc w:val="left"/>
      <w:pPr>
        <w:ind w:left="2423" w:hanging="100"/>
      </w:pPr>
      <w:rPr>
        <w:rFonts w:hint="default"/>
      </w:rPr>
    </w:lvl>
    <w:lvl w:ilvl="8" w:tplc="DBB8D024">
      <w:numFmt w:val="bullet"/>
      <w:lvlText w:val="•"/>
      <w:lvlJc w:val="left"/>
      <w:pPr>
        <w:ind w:left="2763" w:hanging="100"/>
      </w:pPr>
      <w:rPr>
        <w:rFonts w:hint="default"/>
      </w:rPr>
    </w:lvl>
  </w:abstractNum>
  <w:abstractNum w:abstractNumId="16">
    <w:nsid w:val="66C733C7"/>
    <w:multiLevelType w:val="hybridMultilevel"/>
    <w:tmpl w:val="1BCE148C"/>
    <w:lvl w:ilvl="0" w:tplc="7B40B250">
      <w:numFmt w:val="bullet"/>
      <w:lvlText w:val="-"/>
      <w:lvlJc w:val="left"/>
      <w:pPr>
        <w:ind w:left="25" w:hanging="68"/>
      </w:pPr>
      <w:rPr>
        <w:rFonts w:ascii="Arial" w:eastAsia="Arial" w:hAnsi="Arial" w:cs="Arial" w:hint="default"/>
        <w:w w:val="100"/>
        <w:sz w:val="11"/>
        <w:szCs w:val="11"/>
      </w:rPr>
    </w:lvl>
    <w:lvl w:ilvl="1" w:tplc="4E242A76">
      <w:numFmt w:val="bullet"/>
      <w:lvlText w:val="•"/>
      <w:lvlJc w:val="left"/>
      <w:pPr>
        <w:ind w:left="358" w:hanging="68"/>
      </w:pPr>
      <w:rPr>
        <w:rFonts w:hint="default"/>
      </w:rPr>
    </w:lvl>
    <w:lvl w:ilvl="2" w:tplc="704ED6E8">
      <w:numFmt w:val="bullet"/>
      <w:lvlText w:val="•"/>
      <w:lvlJc w:val="left"/>
      <w:pPr>
        <w:ind w:left="697" w:hanging="68"/>
      </w:pPr>
      <w:rPr>
        <w:rFonts w:hint="default"/>
      </w:rPr>
    </w:lvl>
    <w:lvl w:ilvl="3" w:tplc="17DC9694">
      <w:numFmt w:val="bullet"/>
      <w:lvlText w:val="•"/>
      <w:lvlJc w:val="left"/>
      <w:pPr>
        <w:ind w:left="1035" w:hanging="68"/>
      </w:pPr>
      <w:rPr>
        <w:rFonts w:hint="default"/>
      </w:rPr>
    </w:lvl>
    <w:lvl w:ilvl="4" w:tplc="153A9046">
      <w:numFmt w:val="bullet"/>
      <w:lvlText w:val="•"/>
      <w:lvlJc w:val="left"/>
      <w:pPr>
        <w:ind w:left="1373" w:hanging="68"/>
      </w:pPr>
      <w:rPr>
        <w:rFonts w:hint="default"/>
      </w:rPr>
    </w:lvl>
    <w:lvl w:ilvl="5" w:tplc="328210F2">
      <w:numFmt w:val="bullet"/>
      <w:lvlText w:val="•"/>
      <w:lvlJc w:val="left"/>
      <w:pPr>
        <w:ind w:left="1712" w:hanging="68"/>
      </w:pPr>
      <w:rPr>
        <w:rFonts w:hint="default"/>
      </w:rPr>
    </w:lvl>
    <w:lvl w:ilvl="6" w:tplc="79B8FA12">
      <w:numFmt w:val="bullet"/>
      <w:lvlText w:val="•"/>
      <w:lvlJc w:val="left"/>
      <w:pPr>
        <w:ind w:left="2050" w:hanging="68"/>
      </w:pPr>
      <w:rPr>
        <w:rFonts w:hint="default"/>
      </w:rPr>
    </w:lvl>
    <w:lvl w:ilvl="7" w:tplc="3DA8D19A">
      <w:numFmt w:val="bullet"/>
      <w:lvlText w:val="•"/>
      <w:lvlJc w:val="left"/>
      <w:pPr>
        <w:ind w:left="2389" w:hanging="68"/>
      </w:pPr>
      <w:rPr>
        <w:rFonts w:hint="default"/>
      </w:rPr>
    </w:lvl>
    <w:lvl w:ilvl="8" w:tplc="95BA7E36">
      <w:numFmt w:val="bullet"/>
      <w:lvlText w:val="•"/>
      <w:lvlJc w:val="left"/>
      <w:pPr>
        <w:ind w:left="2727" w:hanging="68"/>
      </w:pPr>
      <w:rPr>
        <w:rFonts w:hint="default"/>
      </w:rPr>
    </w:lvl>
  </w:abstractNum>
  <w:abstractNum w:abstractNumId="17">
    <w:nsid w:val="67E46171"/>
    <w:multiLevelType w:val="hybridMultilevel"/>
    <w:tmpl w:val="E4BE06DE"/>
    <w:lvl w:ilvl="0" w:tplc="D2DE3E10">
      <w:numFmt w:val="bullet"/>
      <w:lvlText w:val="*"/>
      <w:lvlJc w:val="left"/>
      <w:pPr>
        <w:ind w:left="25" w:hanging="74"/>
      </w:pPr>
      <w:rPr>
        <w:rFonts w:ascii="Arial" w:eastAsia="Arial" w:hAnsi="Arial" w:cs="Arial" w:hint="default"/>
        <w:w w:val="100"/>
        <w:sz w:val="11"/>
        <w:szCs w:val="11"/>
      </w:rPr>
    </w:lvl>
    <w:lvl w:ilvl="1" w:tplc="4B94CCB2">
      <w:numFmt w:val="bullet"/>
      <w:lvlText w:val="•"/>
      <w:lvlJc w:val="left"/>
      <w:pPr>
        <w:ind w:left="358" w:hanging="74"/>
      </w:pPr>
      <w:rPr>
        <w:rFonts w:hint="default"/>
      </w:rPr>
    </w:lvl>
    <w:lvl w:ilvl="2" w:tplc="59F8D844">
      <w:numFmt w:val="bullet"/>
      <w:lvlText w:val="•"/>
      <w:lvlJc w:val="left"/>
      <w:pPr>
        <w:ind w:left="697" w:hanging="74"/>
      </w:pPr>
      <w:rPr>
        <w:rFonts w:hint="default"/>
      </w:rPr>
    </w:lvl>
    <w:lvl w:ilvl="3" w:tplc="5610050A">
      <w:numFmt w:val="bullet"/>
      <w:lvlText w:val="•"/>
      <w:lvlJc w:val="left"/>
      <w:pPr>
        <w:ind w:left="1035" w:hanging="74"/>
      </w:pPr>
      <w:rPr>
        <w:rFonts w:hint="default"/>
      </w:rPr>
    </w:lvl>
    <w:lvl w:ilvl="4" w:tplc="8C7286A8">
      <w:numFmt w:val="bullet"/>
      <w:lvlText w:val="•"/>
      <w:lvlJc w:val="left"/>
      <w:pPr>
        <w:ind w:left="1373" w:hanging="74"/>
      </w:pPr>
      <w:rPr>
        <w:rFonts w:hint="default"/>
      </w:rPr>
    </w:lvl>
    <w:lvl w:ilvl="5" w:tplc="429EFD9A">
      <w:numFmt w:val="bullet"/>
      <w:lvlText w:val="•"/>
      <w:lvlJc w:val="left"/>
      <w:pPr>
        <w:ind w:left="1712" w:hanging="74"/>
      </w:pPr>
      <w:rPr>
        <w:rFonts w:hint="default"/>
      </w:rPr>
    </w:lvl>
    <w:lvl w:ilvl="6" w:tplc="B468A01E">
      <w:numFmt w:val="bullet"/>
      <w:lvlText w:val="•"/>
      <w:lvlJc w:val="left"/>
      <w:pPr>
        <w:ind w:left="2050" w:hanging="74"/>
      </w:pPr>
      <w:rPr>
        <w:rFonts w:hint="default"/>
      </w:rPr>
    </w:lvl>
    <w:lvl w:ilvl="7" w:tplc="2628339C">
      <w:numFmt w:val="bullet"/>
      <w:lvlText w:val="•"/>
      <w:lvlJc w:val="left"/>
      <w:pPr>
        <w:ind w:left="2389" w:hanging="74"/>
      </w:pPr>
      <w:rPr>
        <w:rFonts w:hint="default"/>
      </w:rPr>
    </w:lvl>
    <w:lvl w:ilvl="8" w:tplc="6A3CF942">
      <w:numFmt w:val="bullet"/>
      <w:lvlText w:val="•"/>
      <w:lvlJc w:val="left"/>
      <w:pPr>
        <w:ind w:left="2727" w:hanging="74"/>
      </w:pPr>
      <w:rPr>
        <w:rFonts w:hint="default"/>
      </w:rPr>
    </w:lvl>
  </w:abstractNum>
  <w:abstractNum w:abstractNumId="18">
    <w:nsid w:val="7F263668"/>
    <w:multiLevelType w:val="hybridMultilevel"/>
    <w:tmpl w:val="03A89650"/>
    <w:lvl w:ilvl="0" w:tplc="F3222282">
      <w:numFmt w:val="bullet"/>
      <w:lvlText w:val="*"/>
      <w:lvlJc w:val="left"/>
      <w:pPr>
        <w:ind w:left="25" w:hanging="74"/>
      </w:pPr>
      <w:rPr>
        <w:rFonts w:ascii="Arial" w:eastAsia="Arial" w:hAnsi="Arial" w:cs="Arial" w:hint="default"/>
        <w:w w:val="100"/>
        <w:sz w:val="11"/>
        <w:szCs w:val="11"/>
      </w:rPr>
    </w:lvl>
    <w:lvl w:ilvl="1" w:tplc="42F621E4">
      <w:numFmt w:val="bullet"/>
      <w:lvlText w:val="•"/>
      <w:lvlJc w:val="left"/>
      <w:pPr>
        <w:ind w:left="358" w:hanging="74"/>
      </w:pPr>
      <w:rPr>
        <w:rFonts w:hint="default"/>
      </w:rPr>
    </w:lvl>
    <w:lvl w:ilvl="2" w:tplc="8B408352">
      <w:numFmt w:val="bullet"/>
      <w:lvlText w:val="•"/>
      <w:lvlJc w:val="left"/>
      <w:pPr>
        <w:ind w:left="697" w:hanging="74"/>
      </w:pPr>
      <w:rPr>
        <w:rFonts w:hint="default"/>
      </w:rPr>
    </w:lvl>
    <w:lvl w:ilvl="3" w:tplc="5A34E298">
      <w:numFmt w:val="bullet"/>
      <w:lvlText w:val="•"/>
      <w:lvlJc w:val="left"/>
      <w:pPr>
        <w:ind w:left="1035" w:hanging="74"/>
      </w:pPr>
      <w:rPr>
        <w:rFonts w:hint="default"/>
      </w:rPr>
    </w:lvl>
    <w:lvl w:ilvl="4" w:tplc="6CF67B56">
      <w:numFmt w:val="bullet"/>
      <w:lvlText w:val="•"/>
      <w:lvlJc w:val="left"/>
      <w:pPr>
        <w:ind w:left="1373" w:hanging="74"/>
      </w:pPr>
      <w:rPr>
        <w:rFonts w:hint="default"/>
      </w:rPr>
    </w:lvl>
    <w:lvl w:ilvl="5" w:tplc="03148BE0">
      <w:numFmt w:val="bullet"/>
      <w:lvlText w:val="•"/>
      <w:lvlJc w:val="left"/>
      <w:pPr>
        <w:ind w:left="1712" w:hanging="74"/>
      </w:pPr>
      <w:rPr>
        <w:rFonts w:hint="default"/>
      </w:rPr>
    </w:lvl>
    <w:lvl w:ilvl="6" w:tplc="82080EF6">
      <w:numFmt w:val="bullet"/>
      <w:lvlText w:val="•"/>
      <w:lvlJc w:val="left"/>
      <w:pPr>
        <w:ind w:left="2050" w:hanging="74"/>
      </w:pPr>
      <w:rPr>
        <w:rFonts w:hint="default"/>
      </w:rPr>
    </w:lvl>
    <w:lvl w:ilvl="7" w:tplc="43B26760">
      <w:numFmt w:val="bullet"/>
      <w:lvlText w:val="•"/>
      <w:lvlJc w:val="left"/>
      <w:pPr>
        <w:ind w:left="2389" w:hanging="74"/>
      </w:pPr>
      <w:rPr>
        <w:rFonts w:hint="default"/>
      </w:rPr>
    </w:lvl>
    <w:lvl w:ilvl="8" w:tplc="4A981BD2">
      <w:numFmt w:val="bullet"/>
      <w:lvlText w:val="•"/>
      <w:lvlJc w:val="left"/>
      <w:pPr>
        <w:ind w:left="2727" w:hanging="74"/>
      </w:pPr>
      <w:rPr>
        <w:rFonts w:hint="default"/>
      </w:rPr>
    </w:lvl>
  </w:abstractNum>
  <w:num w:numId="1">
    <w:abstractNumId w:val="15"/>
  </w:num>
  <w:num w:numId="2">
    <w:abstractNumId w:val="6"/>
  </w:num>
  <w:num w:numId="3">
    <w:abstractNumId w:val="10"/>
  </w:num>
  <w:num w:numId="4">
    <w:abstractNumId w:val="2"/>
  </w:num>
  <w:num w:numId="5">
    <w:abstractNumId w:val="14"/>
  </w:num>
  <w:num w:numId="6">
    <w:abstractNumId w:val="1"/>
  </w:num>
  <w:num w:numId="7">
    <w:abstractNumId w:val="4"/>
  </w:num>
  <w:num w:numId="8">
    <w:abstractNumId w:val="18"/>
  </w:num>
  <w:num w:numId="9">
    <w:abstractNumId w:val="7"/>
  </w:num>
  <w:num w:numId="10">
    <w:abstractNumId w:val="16"/>
  </w:num>
  <w:num w:numId="11">
    <w:abstractNumId w:val="5"/>
  </w:num>
  <w:num w:numId="12">
    <w:abstractNumId w:val="12"/>
  </w:num>
  <w:num w:numId="13">
    <w:abstractNumId w:val="11"/>
  </w:num>
  <w:num w:numId="14">
    <w:abstractNumId w:val="13"/>
  </w:num>
  <w:num w:numId="15">
    <w:abstractNumId w:val="8"/>
  </w:num>
  <w:num w:numId="16">
    <w:abstractNumId w:val="3"/>
  </w:num>
  <w:num w:numId="17">
    <w:abstractNumId w:val="9"/>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103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6369E6"/>
    <w:rsid w:val="006369E6"/>
    <w:rsid w:val="006B5592"/>
    <w:rsid w:val="007076CF"/>
    <w:rsid w:val="007D335A"/>
    <w:rsid w:val="00DD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F66E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79436564/URS%20Rules%206a.pdf?version=1&amp;amp;modificationDate=1519357143000&amp;amp;api=v2" TargetMode="External"/><Relationship Id="rId12" Type="http://schemas.openxmlformats.org/officeDocument/2006/relationships/hyperlink" Target="https://community.icann.org/download/attachments/79436564/URS%20Rules%206a.pdf?version=1&amp;amp;modificationDate=1519357143000&amp;amp;api=v2" TargetMode="External"/><Relationship Id="rId13" Type="http://schemas.openxmlformats.org/officeDocument/2006/relationships/hyperlink" Target="https://community.icann.org/download/attachments/79436564/URS%20Rules%206a.pdf?version=1&amp;amp;modificationDate=1519357143000&amp;amp;api=v2" TargetMode="External"/><Relationship Id="rId14" Type="http://schemas.openxmlformats.org/officeDocument/2006/relationships/hyperlink" Target="https://community.icann.org/download/attachments/79436564/URS%20Rules%206a.pdf?version=1&amp;amp;modificationDate=1519357143000&amp;amp;api=v2" TargetMode="Externa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community.icann.org/download/attachments/79436564/URS%20Rules%206a.pdf?version=1&amp;amp;modificationDate=1519357143000&amp;amp;api=v2" TargetMode="External"/><Relationship Id="rId10" Type="http://schemas.openxmlformats.org/officeDocument/2006/relationships/hyperlink" Target="https://community.icann.org/download/attachments/79436564/URS%20Rules%206a.pdf?version=1&amp;amp;modificationDate=1519357143000&amp;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6178</Words>
  <Characters>35215</Characters>
  <Application>Microsoft Macintosh Word</Application>
  <DocSecurity>0</DocSecurity>
  <Lines>293</Lines>
  <Paragraphs>82</Paragraphs>
  <ScaleCrop>false</ScaleCrop>
  <LinksUpToDate>false</LinksUpToDate>
  <CharactersWithSpaces>41311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Questions for URS Providers</dc:title>
  <cp:lastModifiedBy>Ariel Liang</cp:lastModifiedBy>
  <cp:revision>3</cp:revision>
  <dcterms:created xsi:type="dcterms:W3CDTF">2018-03-02T17:04:00Z</dcterms:created>
  <dcterms:modified xsi:type="dcterms:W3CDTF">2018-03-03T01:36:00Z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Creator">
    <vt:lpwstr>Google Sheets</vt:lpwstr>
  </property>
  <property fmtid="{D5CDD505-2E9C-101B-9397-08002B2CF9AE}" pid="4" name="LastSaved">
    <vt:filetime>2018-03-02T00:00:00Z</vt:filetime>
  </property>
</Properties>
</file>