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8BA4E" w14:textId="77777777" w:rsidR="00C6726D" w:rsidRPr="00C6726D" w:rsidRDefault="00C6726D" w:rsidP="00C6726D">
      <w:pPr>
        <w:jc w:val="center"/>
        <w:rPr>
          <w:b/>
        </w:rPr>
      </w:pPr>
      <w:r w:rsidRPr="00C6726D">
        <w:rPr>
          <w:b/>
        </w:rPr>
        <w:t>TMCH SUB TEAM INITIAL MEETING: NOTES &amp; SCOPING</w:t>
      </w:r>
    </w:p>
    <w:p w14:paraId="2F1FE554" w14:textId="77777777" w:rsidR="00C6726D" w:rsidRDefault="00C6726D" w:rsidP="00E023CC">
      <w:pPr>
        <w:rPr>
          <w:b/>
          <w:u w:val="single"/>
        </w:rPr>
      </w:pPr>
    </w:p>
    <w:p w14:paraId="75AD9AAF" w14:textId="77777777" w:rsidR="00E023CC" w:rsidRPr="00C6726D" w:rsidRDefault="00E023CC" w:rsidP="00E023CC">
      <w:pPr>
        <w:rPr>
          <w:b/>
          <w:u w:val="single"/>
        </w:rPr>
      </w:pPr>
      <w:r w:rsidRPr="00C6726D">
        <w:rPr>
          <w:b/>
          <w:u w:val="single"/>
        </w:rPr>
        <w:t>List of Charter Questions concerning the TMCH</w:t>
      </w:r>
      <w:r w:rsidR="00C6726D">
        <w:rPr>
          <w:b/>
          <w:u w:val="single"/>
        </w:rPr>
        <w:t xml:space="preserve"> (for guidance)</w:t>
      </w:r>
    </w:p>
    <w:p w14:paraId="20141D3E" w14:textId="77777777" w:rsidR="00C6726D" w:rsidRDefault="00C6726D" w:rsidP="00E023CC">
      <w:pPr>
        <w:rPr>
          <w:u w:val="single"/>
        </w:rPr>
      </w:pPr>
    </w:p>
    <w:p w14:paraId="3EB29C21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 xml:space="preserve">Should further guidance on verification guidelines for different categories of marks </w:t>
      </w:r>
      <w:r w:rsidRPr="00E023CC">
        <w:t>be considered?</w:t>
      </w:r>
    </w:p>
    <w:p w14:paraId="651C7833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Is the protection of the TMCH too broad? Is the TMCH providing too much protection for those with a trademark on a generic or descriptive dictionary word? Should TM+50 be reve</w:t>
      </w:r>
      <w:r w:rsidRPr="00E023CC">
        <w:t>rsed?</w:t>
      </w:r>
    </w:p>
    <w:p w14:paraId="103C310B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 xml:space="preserve">Are legitimate noncommercial, commercial and individual registrants losing legitimate opportunities to register domain names in New </w:t>
      </w:r>
      <w:proofErr w:type="spellStart"/>
      <w:r w:rsidRPr="00E023CC">
        <w:t>gTLDs</w:t>
      </w:r>
      <w:proofErr w:type="spellEnd"/>
      <w:r w:rsidRPr="00E023CC">
        <w:t>?</w:t>
      </w:r>
    </w:p>
    <w:p w14:paraId="703237C7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How should the TMCH scope be limited to apply to only the categories of goods and services in which the generic terms in a trademark are protected?</w:t>
      </w:r>
    </w:p>
    <w:p w14:paraId="5192C3C1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Should the TMCH match</w:t>
      </w:r>
      <w:r w:rsidRPr="00E023CC">
        <w:t>ing rules be expanded, e.g. to include plurals, ‘marks contained’ or ‘</w:t>
      </w:r>
      <w:proofErr w:type="spellStart"/>
      <w:r w:rsidRPr="00E023CC">
        <w:t>mark+keyword</w:t>
      </w:r>
      <w:proofErr w:type="spellEnd"/>
      <w:r w:rsidRPr="00E023CC">
        <w:t>’, and/or common typos of a mark?</w:t>
      </w:r>
    </w:p>
    <w:p w14:paraId="066CA3B3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Should there be an additional or a different recourse mechanism to challen</w:t>
      </w:r>
      <w:r w:rsidRPr="00E023CC">
        <w:t>ge rejected trademarks?</w:t>
      </w:r>
    </w:p>
    <w:p w14:paraId="10D0C2AD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How quickly can a cancelled trademark be removed from the TMCH?</w:t>
      </w:r>
    </w:p>
    <w:p w14:paraId="33C9269D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>How can TMCH services be much more t</w:t>
      </w:r>
      <w:r w:rsidRPr="00E023CC">
        <w:t xml:space="preserve">ransparent in terms of what is offered pursuant to ICANN contracts and policies vs. what is offered to private New </w:t>
      </w:r>
      <w:proofErr w:type="spellStart"/>
      <w:r w:rsidRPr="00E023CC">
        <w:t>gTLD</w:t>
      </w:r>
      <w:proofErr w:type="spellEnd"/>
      <w:r w:rsidRPr="00E023CC">
        <w:t xml:space="preserve"> registries pursuant to private contracts?</w:t>
      </w:r>
    </w:p>
    <w:p w14:paraId="46DB1E9D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 xml:space="preserve">Should there be a review on </w:t>
      </w:r>
      <w:r w:rsidRPr="00E023CC">
        <w:t>accessibility to TMCH for individuals, private trademark holders and trademark agents in developing countries?</w:t>
      </w:r>
    </w:p>
    <w:p w14:paraId="5F32551C" w14:textId="77777777" w:rsidR="00000000" w:rsidRPr="00E023CC" w:rsidRDefault="00785BC6" w:rsidP="00E023CC">
      <w:pPr>
        <w:pStyle w:val="ListParagraph"/>
        <w:numPr>
          <w:ilvl w:val="0"/>
          <w:numId w:val="3"/>
        </w:numPr>
      </w:pPr>
      <w:r w:rsidRPr="00E023CC">
        <w:t xml:space="preserve">How can the TMCH provide education services not only for trademark owners, but </w:t>
      </w:r>
      <w:r w:rsidRPr="00E023CC">
        <w:t>for the registrants and potential registrants who are equally impacted by their services?</w:t>
      </w:r>
    </w:p>
    <w:p w14:paraId="4C0429F9" w14:textId="77777777" w:rsidR="00C6726D" w:rsidRDefault="00C6726D" w:rsidP="00E023CC">
      <w:pPr>
        <w:rPr>
          <w:u w:val="single"/>
        </w:rPr>
      </w:pPr>
    </w:p>
    <w:p w14:paraId="1642DEA7" w14:textId="309FE1EC" w:rsidR="00497DF0" w:rsidRDefault="00497DF0" w:rsidP="00E023CC">
      <w:pPr>
        <w:rPr>
          <w:b/>
          <w:u w:val="single"/>
        </w:rPr>
      </w:pPr>
      <w:r>
        <w:rPr>
          <w:b/>
          <w:u w:val="single"/>
        </w:rPr>
        <w:t>Additional Questions Suggested by the Community at ICANN56</w:t>
      </w:r>
    </w:p>
    <w:p w14:paraId="0B114565" w14:textId="77777777" w:rsidR="00497DF0" w:rsidRDefault="00497DF0" w:rsidP="00E023CC"/>
    <w:p w14:paraId="750349E7" w14:textId="77777777" w:rsidR="00785BC6" w:rsidRPr="00785BC6" w:rsidRDefault="00785BC6" w:rsidP="00785BC6">
      <w:pPr>
        <w:numPr>
          <w:ilvl w:val="0"/>
          <w:numId w:val="6"/>
        </w:numPr>
      </w:pPr>
      <w:r w:rsidRPr="00785BC6">
        <w:t>Does the TMCH provide avenues that are procedurally and substantively fair so effectively balance the rights of rights holders versus normal Internet users?</w:t>
      </w:r>
    </w:p>
    <w:p w14:paraId="1A370F58" w14:textId="77777777" w:rsidR="00785BC6" w:rsidRPr="00785BC6" w:rsidRDefault="00785BC6" w:rsidP="00785BC6">
      <w:pPr>
        <w:numPr>
          <w:ilvl w:val="0"/>
          <w:numId w:val="6"/>
        </w:numPr>
      </w:pPr>
      <w:r w:rsidRPr="00785BC6">
        <w:t>Does the trademark clearinghouse create a tendency to perpetuate the status quo?</w:t>
      </w:r>
    </w:p>
    <w:p w14:paraId="4D545026" w14:textId="77777777" w:rsidR="00785BC6" w:rsidRPr="00785BC6" w:rsidRDefault="00785BC6" w:rsidP="00785BC6">
      <w:pPr>
        <w:numPr>
          <w:ilvl w:val="0"/>
          <w:numId w:val="6"/>
        </w:numPr>
      </w:pPr>
      <w:r w:rsidRPr="00785BC6">
        <w:t>How accessible is the TMCH to reviewing accessibility for trademark agents in developing countries?</w:t>
      </w:r>
    </w:p>
    <w:p w14:paraId="3693AFF3" w14:textId="77777777" w:rsidR="00785BC6" w:rsidRPr="00785BC6" w:rsidRDefault="00785BC6" w:rsidP="00785BC6">
      <w:pPr>
        <w:numPr>
          <w:ilvl w:val="0"/>
          <w:numId w:val="6"/>
        </w:numPr>
      </w:pPr>
      <w:r w:rsidRPr="00785BC6">
        <w:t>Should the TMCH remain a single provider or should we open it to different providers, of course with a central database that should be accessed by the different providers?</w:t>
      </w:r>
    </w:p>
    <w:p w14:paraId="5AD1D791" w14:textId="77777777" w:rsidR="00785BC6" w:rsidRPr="00785BC6" w:rsidRDefault="00785BC6" w:rsidP="00785BC6">
      <w:pPr>
        <w:numPr>
          <w:ilvl w:val="0"/>
          <w:numId w:val="6"/>
        </w:numPr>
      </w:pPr>
      <w:r w:rsidRPr="00785BC6">
        <w:t>Are the costs of the TMCH, for rights holders, for ICANN, for the community proportionate to the benefits it provides?</w:t>
      </w:r>
    </w:p>
    <w:p w14:paraId="0F240C94" w14:textId="496295DF" w:rsidR="00785BC6" w:rsidRPr="00785BC6" w:rsidRDefault="00785BC6" w:rsidP="00E023CC">
      <w:pPr>
        <w:numPr>
          <w:ilvl w:val="0"/>
          <w:numId w:val="6"/>
        </w:numPr>
      </w:pPr>
      <w:r w:rsidRPr="00785BC6">
        <w:t>How do we determine what is “good chilling effect” and “bad chilling effect” in relation to RPMs?</w:t>
      </w:r>
    </w:p>
    <w:p w14:paraId="1E645B5A" w14:textId="77777777" w:rsidR="00497DF0" w:rsidRDefault="00497DF0" w:rsidP="00E023CC">
      <w:pPr>
        <w:rPr>
          <w:b/>
          <w:u w:val="single"/>
        </w:rPr>
      </w:pPr>
    </w:p>
    <w:p w14:paraId="3DE0BCBF" w14:textId="77777777" w:rsidR="00785BC6" w:rsidRDefault="00785BC6" w:rsidP="00E023CC">
      <w:pPr>
        <w:rPr>
          <w:b/>
          <w:u w:val="single"/>
        </w:rPr>
      </w:pPr>
    </w:p>
    <w:p w14:paraId="71B5B2CA" w14:textId="77777777" w:rsidR="00785BC6" w:rsidRDefault="00785BC6" w:rsidP="00E023CC">
      <w:pPr>
        <w:rPr>
          <w:b/>
          <w:u w:val="single"/>
        </w:rPr>
      </w:pPr>
    </w:p>
    <w:p w14:paraId="56CB2480" w14:textId="70F68F34" w:rsidR="00E023CC" w:rsidRPr="00C6726D" w:rsidRDefault="00E023CC" w:rsidP="00E023CC">
      <w:pPr>
        <w:rPr>
          <w:b/>
          <w:u w:val="single"/>
        </w:rPr>
      </w:pPr>
      <w:bookmarkStart w:id="0" w:name="_GoBack"/>
      <w:bookmarkEnd w:id="0"/>
      <w:r w:rsidRPr="00C6726D">
        <w:rPr>
          <w:b/>
          <w:u w:val="single"/>
        </w:rPr>
        <w:lastRenderedPageBreak/>
        <w:t>Suggestions for Data Sources and Types (</w:t>
      </w:r>
      <w:r w:rsidR="00C6726D">
        <w:rPr>
          <w:b/>
          <w:u w:val="single"/>
        </w:rPr>
        <w:t>for discussion</w:t>
      </w:r>
      <w:r w:rsidR="00785BC6">
        <w:rPr>
          <w:b/>
          <w:u w:val="single"/>
        </w:rPr>
        <w:t>; taken from WG members and Helsinki community discussions)</w:t>
      </w:r>
    </w:p>
    <w:p w14:paraId="4A4423AF" w14:textId="77777777" w:rsidR="00E023CC" w:rsidRDefault="00E023CC" w:rsidP="00E023CC"/>
    <w:p w14:paraId="3319BA9B" w14:textId="77777777" w:rsidR="00E023CC" w:rsidRDefault="00C6726D" w:rsidP="00E023CC">
      <w:r>
        <w:t xml:space="preserve">Suggested </w:t>
      </w:r>
      <w:r w:rsidR="00E023CC">
        <w:t>Initial Sources:</w:t>
      </w:r>
    </w:p>
    <w:p w14:paraId="7D189177" w14:textId="77777777" w:rsidR="00E023CC" w:rsidRDefault="00E023CC" w:rsidP="00C6726D">
      <w:pPr>
        <w:pStyle w:val="ListParagraph"/>
        <w:numPr>
          <w:ilvl w:val="0"/>
          <w:numId w:val="5"/>
        </w:numPr>
      </w:pPr>
      <w:r>
        <w:t>ICANN staff (GDD)</w:t>
      </w:r>
    </w:p>
    <w:p w14:paraId="3291752C" w14:textId="77777777" w:rsidR="00E023CC" w:rsidRDefault="00E023CC" w:rsidP="00C6726D">
      <w:pPr>
        <w:pStyle w:val="ListParagraph"/>
        <w:numPr>
          <w:ilvl w:val="0"/>
          <w:numId w:val="5"/>
        </w:numPr>
      </w:pPr>
      <w:r>
        <w:t>TMCH Providers</w:t>
      </w:r>
    </w:p>
    <w:p w14:paraId="1148E50A" w14:textId="77777777" w:rsidR="00E023CC" w:rsidRDefault="00E023CC" w:rsidP="00C6726D">
      <w:pPr>
        <w:pStyle w:val="ListParagraph"/>
        <w:numPr>
          <w:ilvl w:val="0"/>
          <w:numId w:val="5"/>
        </w:numPr>
      </w:pPr>
      <w:r>
        <w:t>Analysis Group (TMCH Independent Examiner)</w:t>
      </w:r>
    </w:p>
    <w:p w14:paraId="3487721F" w14:textId="77777777" w:rsidR="00E023CC" w:rsidRDefault="00E023CC" w:rsidP="00E023CC"/>
    <w:p w14:paraId="4B31DFA9" w14:textId="77777777" w:rsidR="00C6726D" w:rsidRDefault="00C6726D" w:rsidP="00E023CC">
      <w:r>
        <w:t>Suggested Types of Data:</w:t>
      </w:r>
    </w:p>
    <w:p w14:paraId="535E2C69" w14:textId="77777777" w:rsidR="00C6726D" w:rsidRDefault="00C6726D" w:rsidP="00C6726D">
      <w:pPr>
        <w:pStyle w:val="ListParagraph"/>
        <w:numPr>
          <w:ilvl w:val="0"/>
          <w:numId w:val="4"/>
        </w:numPr>
      </w:pPr>
      <w:r>
        <w:t xml:space="preserve">How many marks were </w:t>
      </w:r>
      <w:proofErr w:type="gramStart"/>
      <w:r>
        <w:t>registered</w:t>
      </w:r>
      <w:proofErr w:type="gramEnd"/>
    </w:p>
    <w:p w14:paraId="5EDAA610" w14:textId="77777777" w:rsidR="00C6726D" w:rsidRDefault="00C6726D" w:rsidP="00C6726D">
      <w:pPr>
        <w:pStyle w:val="ListParagraph"/>
        <w:numPr>
          <w:ilvl w:val="0"/>
          <w:numId w:val="4"/>
        </w:numPr>
      </w:pPr>
      <w:r>
        <w:t>W</w:t>
      </w:r>
      <w:r w:rsidR="00E023CC" w:rsidRPr="00E023CC">
        <w:t>here</w:t>
      </w:r>
      <w:r>
        <w:t xml:space="preserve"> did the trademarks </w:t>
      </w:r>
      <w:proofErr w:type="gramStart"/>
      <w:r>
        <w:t>originate</w:t>
      </w:r>
      <w:proofErr w:type="gramEnd"/>
    </w:p>
    <w:p w14:paraId="05219F90" w14:textId="77777777" w:rsidR="00C6726D" w:rsidRDefault="00C6726D" w:rsidP="00C6726D">
      <w:pPr>
        <w:pStyle w:val="ListParagraph"/>
        <w:numPr>
          <w:ilvl w:val="0"/>
          <w:numId w:val="4"/>
        </w:numPr>
      </w:pPr>
      <w:r>
        <w:t>H</w:t>
      </w:r>
      <w:r w:rsidR="00E023CC" w:rsidRPr="00E023CC">
        <w:t xml:space="preserve">ow many </w:t>
      </w:r>
      <w:r>
        <w:t xml:space="preserve">TM holders took advantage of TM+ </w:t>
      </w:r>
      <w:proofErr w:type="gramStart"/>
      <w:r>
        <w:t>50</w:t>
      </w:r>
      <w:proofErr w:type="gramEnd"/>
    </w:p>
    <w:p w14:paraId="75F3126E" w14:textId="77777777" w:rsidR="00E023CC" w:rsidRDefault="00C6726D" w:rsidP="00C6726D">
      <w:pPr>
        <w:pStyle w:val="ListParagraph"/>
        <w:numPr>
          <w:ilvl w:val="0"/>
          <w:numId w:val="4"/>
        </w:numPr>
      </w:pPr>
      <w:r>
        <w:t>H</w:t>
      </w:r>
      <w:r w:rsidR="00E023CC" w:rsidRPr="00E023CC">
        <w:t xml:space="preserve">ow many </w:t>
      </w:r>
      <w:r>
        <w:t xml:space="preserve">used </w:t>
      </w:r>
      <w:r w:rsidR="00E023CC" w:rsidRPr="00E023CC">
        <w:t xml:space="preserve">the extended registration </w:t>
      </w:r>
      <w:r>
        <w:t>service (</w:t>
      </w:r>
      <w:r w:rsidR="00E023CC" w:rsidRPr="00E023CC">
        <w:t>notice of identic</w:t>
      </w:r>
      <w:r>
        <w:t>al matches being registered</w:t>
      </w:r>
      <w:r w:rsidR="00E023CC" w:rsidRPr="00E023CC">
        <w:t xml:space="preserve"> past t</w:t>
      </w:r>
      <w:r>
        <w:t>he sunrise and claims periods)</w:t>
      </w:r>
    </w:p>
    <w:p w14:paraId="7F8437E0" w14:textId="77777777" w:rsidR="00785BC6" w:rsidRDefault="00785BC6" w:rsidP="00785BC6">
      <w:pPr>
        <w:pStyle w:val="ListParagraph"/>
        <w:numPr>
          <w:ilvl w:val="0"/>
          <w:numId w:val="4"/>
        </w:numPr>
      </w:pPr>
      <w:r>
        <w:t>H</w:t>
      </w:r>
      <w:r w:rsidRPr="00785BC6">
        <w:t xml:space="preserve">ow many cases have </w:t>
      </w:r>
      <w:r>
        <w:t xml:space="preserve">helped existing rights </w:t>
      </w:r>
      <w:proofErr w:type="gramStart"/>
      <w:r>
        <w:t>holders</w:t>
      </w:r>
      <w:proofErr w:type="gramEnd"/>
    </w:p>
    <w:p w14:paraId="1DB8FC6A" w14:textId="266E7900" w:rsidR="00785BC6" w:rsidRPr="00785BC6" w:rsidRDefault="00785BC6" w:rsidP="00785BC6">
      <w:pPr>
        <w:pStyle w:val="ListParagraph"/>
        <w:numPr>
          <w:ilvl w:val="0"/>
          <w:numId w:val="4"/>
        </w:numPr>
      </w:pPr>
      <w:r>
        <w:t>H</w:t>
      </w:r>
      <w:r w:rsidRPr="00785BC6">
        <w:t xml:space="preserve">ow many cases have helped Internet users that do not own the rights at the time that they come to the </w:t>
      </w:r>
      <w:proofErr w:type="gramStart"/>
      <w:r>
        <w:t>TMCH</w:t>
      </w:r>
      <w:proofErr w:type="gramEnd"/>
    </w:p>
    <w:p w14:paraId="5CB8291A" w14:textId="6517E553" w:rsidR="00785BC6" w:rsidRPr="00785BC6" w:rsidRDefault="00785BC6" w:rsidP="00785BC6">
      <w:pPr>
        <w:pStyle w:val="ListParagraph"/>
        <w:numPr>
          <w:ilvl w:val="0"/>
          <w:numId w:val="4"/>
        </w:numPr>
      </w:pPr>
      <w:r w:rsidRPr="00785BC6">
        <w:t>In relation to questions of procedure</w:t>
      </w:r>
      <w:r>
        <w:t>, was procedure</w:t>
      </w:r>
      <w:r w:rsidRPr="00785BC6">
        <w:t xml:space="preserve"> followed </w:t>
      </w:r>
      <w:r>
        <w:t>correctly in all cases?</w:t>
      </w:r>
      <w:r w:rsidRPr="00785BC6">
        <w:t xml:space="preserve"> In the case of deviations why were the deviations caused, </w:t>
      </w:r>
      <w:r>
        <w:t>who were the deviations helping?</w:t>
      </w:r>
    </w:p>
    <w:p w14:paraId="4F635853" w14:textId="5BC35DE9" w:rsidR="00E023CC" w:rsidRPr="00785BC6" w:rsidRDefault="00785BC6" w:rsidP="00E023CC">
      <w:pPr>
        <w:pStyle w:val="ListParagraph"/>
        <w:numPr>
          <w:ilvl w:val="0"/>
          <w:numId w:val="4"/>
        </w:numPr>
      </w:pPr>
      <w:r w:rsidRPr="00785BC6">
        <w:t>How many domains were registered to users th</w:t>
      </w:r>
      <w:r>
        <w:t>at were not the registered</w:t>
      </w:r>
      <w:r w:rsidRPr="00785BC6">
        <w:t xml:space="preserve"> holder that were eventually challenged by the TMCH claim holder and whose ownership was then moved from the user that registered the domain to the claim holder? (Exemplar time line: 1. Trademark holder registers claim at TMCH for "water". 2. Non Trademark holder accepts claim for the "water" trademark for the domain "</w:t>
      </w:r>
      <w:proofErr w:type="spellStart"/>
      <w:proofErr w:type="gramStart"/>
      <w:r w:rsidRPr="00785BC6">
        <w:t>water.guru</w:t>
      </w:r>
      <w:proofErr w:type="spellEnd"/>
      <w:proofErr w:type="gramEnd"/>
      <w:r w:rsidRPr="00785BC6">
        <w:t>". 3. Trademark holder files a complaint on the registration on the domain "</w:t>
      </w:r>
      <w:proofErr w:type="spellStart"/>
      <w:proofErr w:type="gramStart"/>
      <w:r w:rsidRPr="00785BC6">
        <w:t>water.guru</w:t>
      </w:r>
      <w:proofErr w:type="spellEnd"/>
      <w:proofErr w:type="gramEnd"/>
      <w:r w:rsidRPr="00785BC6">
        <w:t>". 4. Domain is moved from the non-trademark</w:t>
      </w:r>
      <w:r>
        <w:t xml:space="preserve"> holder to the trademark holder</w:t>
      </w:r>
      <w:r w:rsidRPr="00785BC6">
        <w:t>)</w:t>
      </w:r>
    </w:p>
    <w:p w14:paraId="5189AC5A" w14:textId="77777777" w:rsidR="00A0546B" w:rsidRDefault="00A0546B" w:rsidP="00E023CC">
      <w:pPr>
        <w:rPr>
          <w:b/>
          <w:u w:val="single"/>
        </w:rPr>
      </w:pPr>
    </w:p>
    <w:p w14:paraId="3140363B" w14:textId="77777777" w:rsidR="00E023CC" w:rsidRPr="00E023CC" w:rsidRDefault="00E023CC" w:rsidP="00E023CC">
      <w:pPr>
        <w:rPr>
          <w:b/>
          <w:u w:val="single"/>
        </w:rPr>
      </w:pPr>
      <w:r>
        <w:rPr>
          <w:b/>
          <w:u w:val="single"/>
        </w:rPr>
        <w:t xml:space="preserve">Sources of Data regarding the TMCH, used for the </w:t>
      </w:r>
      <w:r w:rsidR="00C6726D">
        <w:rPr>
          <w:b/>
          <w:u w:val="single"/>
        </w:rPr>
        <w:t xml:space="preserve">2015 ICANN </w:t>
      </w:r>
      <w:r>
        <w:rPr>
          <w:b/>
          <w:u w:val="single"/>
        </w:rPr>
        <w:t>Staff RPM Review Paper (</w:t>
      </w:r>
      <w:r w:rsidR="00C6726D">
        <w:rPr>
          <w:b/>
          <w:u w:val="single"/>
        </w:rPr>
        <w:t>for discussion</w:t>
      </w:r>
      <w:r>
        <w:rPr>
          <w:b/>
          <w:u w:val="single"/>
        </w:rPr>
        <w:t>)</w:t>
      </w:r>
    </w:p>
    <w:p w14:paraId="076D3341" w14:textId="77777777" w:rsidR="00E023CC" w:rsidRPr="00E023CC" w:rsidRDefault="00E023CC" w:rsidP="00E023CC"/>
    <w:p w14:paraId="0353F279" w14:textId="77777777" w:rsidR="00E023CC" w:rsidRPr="00E023CC" w:rsidRDefault="00E023CC" w:rsidP="00E023CC">
      <w:pPr>
        <w:numPr>
          <w:ilvl w:val="0"/>
          <w:numId w:val="1"/>
        </w:numPr>
        <w:rPr>
          <w:bCs/>
          <w:i/>
        </w:rPr>
      </w:pPr>
      <w:r w:rsidRPr="00E023CC">
        <w:rPr>
          <w:i/>
        </w:rPr>
        <w:t>Source: Deloitte Monthly Trademark Activity Reports</w:t>
      </w:r>
    </w:p>
    <w:p w14:paraId="4689C5BA" w14:textId="77777777" w:rsidR="00E023CC" w:rsidRPr="00E023CC" w:rsidRDefault="00E023CC" w:rsidP="00E023CC">
      <w:pPr>
        <w:rPr>
          <w:bCs/>
        </w:rPr>
      </w:pPr>
    </w:p>
    <w:p w14:paraId="2E734C23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Number of jurisdictions, which a Mark has been submitted for</w:t>
      </w:r>
    </w:p>
    <w:p w14:paraId="183CA3D9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 xml:space="preserve">Number of dispute resolution cases related to the Trademark Clearinghouse </w:t>
      </w:r>
    </w:p>
    <w:p w14:paraId="69667A1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Number of Trademarks opting-in to Ancillary Services</w:t>
      </w:r>
      <w:r w:rsidRPr="00E023CC">
        <w:tab/>
      </w:r>
    </w:p>
    <w:p w14:paraId="1B66E8C0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Trademarks submitted</w:t>
      </w:r>
    </w:p>
    <w:p w14:paraId="55FBD52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Trademarks</w:t>
      </w:r>
    </w:p>
    <w:p w14:paraId="392D3D5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Trademarks submitted prior to the Sunrise period</w:t>
      </w:r>
    </w:p>
    <w:p w14:paraId="17971C55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Trademarks NOT verified</w:t>
      </w:r>
    </w:p>
    <w:p w14:paraId="1B26A7AC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domain names/labels derived from those Trademarks</w:t>
      </w:r>
      <w:r w:rsidRPr="00E023CC">
        <w:tab/>
      </w:r>
    </w:p>
    <w:p w14:paraId="34FB2D34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Trademarks that are Sunrise Eligible</w:t>
      </w:r>
    </w:p>
    <w:p w14:paraId="2301F4D1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Trademarks that are NOT Sunrise Eligible</w:t>
      </w:r>
    </w:p>
    <w:p w14:paraId="1D19AFFF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Trademarks now deactivated</w:t>
      </w:r>
    </w:p>
    <w:p w14:paraId="7D819AB5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 xml:space="preserve">Total number of Verified Trademarks that are Sunrise Eligible now deactivated </w:t>
      </w:r>
    </w:p>
    <w:p w14:paraId="7019001F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domain names/labels derived from those Trademarks</w:t>
      </w:r>
      <w:r w:rsidRPr="00E023CC">
        <w:tab/>
      </w:r>
    </w:p>
    <w:p w14:paraId="0A269489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 Holders</w:t>
      </w:r>
      <w:r w:rsidRPr="00E023CC">
        <w:tab/>
      </w:r>
    </w:p>
    <w:p w14:paraId="051CF535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Trademark Holders represented by Trademark Agents</w:t>
      </w:r>
      <w:r w:rsidRPr="00E023CC">
        <w:tab/>
      </w:r>
    </w:p>
    <w:p w14:paraId="42F7B6E3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Verified Trademark Agents</w:t>
      </w:r>
      <w:r w:rsidRPr="00E023CC">
        <w:tab/>
      </w:r>
    </w:p>
    <w:p w14:paraId="34300AFE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Trademark Agents &amp; Holder failing e-mail verification</w:t>
      </w:r>
      <w:r w:rsidRPr="00E023CC">
        <w:tab/>
      </w:r>
    </w:p>
    <w:p w14:paraId="322274A9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SLO Reporting</w:t>
      </w:r>
      <w:r w:rsidRPr="00E023CC">
        <w:tab/>
      </w:r>
    </w:p>
    <w:p w14:paraId="6EE24EAF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Nationally or regionally Registered Trademarks</w:t>
      </w:r>
      <w:r w:rsidRPr="00E023CC">
        <w:tab/>
      </w:r>
    </w:p>
    <w:p w14:paraId="7AF180DD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Trademarks validated by a court of law or judicial proceeding</w:t>
      </w:r>
    </w:p>
    <w:p w14:paraId="1DE990B4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Total number of Trademarks protected by statute or treaty</w:t>
      </w:r>
      <w:r w:rsidRPr="00E023CC">
        <w:tab/>
      </w:r>
    </w:p>
    <w:p w14:paraId="24610AF4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Any other Trademarks constituting intellectual property</w:t>
      </w:r>
      <w:r w:rsidRPr="00E023CC">
        <w:tab/>
      </w:r>
    </w:p>
    <w:p w14:paraId="39EE0A02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# of TMCH records</w:t>
      </w:r>
      <w:r w:rsidRPr="00E023CC">
        <w:tab/>
      </w:r>
    </w:p>
    <w:p w14:paraId="7C02C09F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# of Jurisdictions</w:t>
      </w:r>
      <w:r w:rsidRPr="00E023CC">
        <w:tab/>
      </w:r>
    </w:p>
    <w:p w14:paraId="10A4820F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# of Abused labels</w:t>
      </w:r>
      <w:r w:rsidRPr="00E023CC">
        <w:tab/>
      </w:r>
    </w:p>
    <w:p w14:paraId="121E3B50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Breakdown of scripts/languages represented</w:t>
      </w:r>
      <w:r w:rsidRPr="00E023CC">
        <w:tab/>
      </w:r>
    </w:p>
    <w:p w14:paraId="2CD638F1" w14:textId="77777777" w:rsidR="00E023CC" w:rsidRPr="00E023CC" w:rsidRDefault="00E023CC" w:rsidP="00E023CC">
      <w:pPr>
        <w:rPr>
          <w:i/>
        </w:rPr>
      </w:pPr>
    </w:p>
    <w:p w14:paraId="315336F7" w14:textId="77777777" w:rsidR="00E023CC" w:rsidRPr="00E023CC" w:rsidRDefault="00E023CC" w:rsidP="00E023CC">
      <w:pPr>
        <w:numPr>
          <w:ilvl w:val="0"/>
          <w:numId w:val="1"/>
        </w:numPr>
      </w:pPr>
      <w:r w:rsidRPr="00E023CC">
        <w:rPr>
          <w:i/>
        </w:rPr>
        <w:t>Source: Deloitte Ticket Summary Report</w:t>
      </w:r>
      <w:r w:rsidRPr="00E023CC">
        <w:t xml:space="preserve"> (not provided monthly to ICANN, but available upon request)</w:t>
      </w:r>
    </w:p>
    <w:p w14:paraId="60706B29" w14:textId="77777777" w:rsidR="00E023CC" w:rsidRPr="00E023CC" w:rsidRDefault="00E023CC" w:rsidP="00E023CC">
      <w:pPr>
        <w:rPr>
          <w:i/>
        </w:rPr>
      </w:pPr>
    </w:p>
    <w:p w14:paraId="53CBDE0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 xml:space="preserve">API Issues </w:t>
      </w:r>
    </w:p>
    <w:p w14:paraId="4F11C673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Claims Notification Issue</w:t>
      </w:r>
    </w:p>
    <w:p w14:paraId="77F7190B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Profile Management Issues</w:t>
      </w:r>
    </w:p>
    <w:p w14:paraId="5D88B115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Sunrise File Issues</w:t>
      </w:r>
    </w:p>
    <w:p w14:paraId="5FFE56A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Sunrise Notification Issues</w:t>
      </w:r>
    </w:p>
    <w:p w14:paraId="3B4F57AE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Trademark Management Issues</w:t>
      </w:r>
    </w:p>
    <w:p w14:paraId="6DE37038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Other Issues</w:t>
      </w:r>
    </w:p>
    <w:p w14:paraId="49551585" w14:textId="77777777" w:rsidR="00E023CC" w:rsidRPr="00E023CC" w:rsidRDefault="00E023CC" w:rsidP="00E023CC"/>
    <w:p w14:paraId="60276ED9" w14:textId="77777777" w:rsidR="00E023CC" w:rsidRPr="00E023CC" w:rsidRDefault="00E023CC" w:rsidP="00E023CC">
      <w:pPr>
        <w:numPr>
          <w:ilvl w:val="0"/>
          <w:numId w:val="1"/>
        </w:numPr>
      </w:pPr>
      <w:r w:rsidRPr="00E023CC">
        <w:rPr>
          <w:i/>
        </w:rPr>
        <w:t>Source:</w:t>
      </w:r>
      <w:r w:rsidRPr="00E023CC">
        <w:t xml:space="preserve"> </w:t>
      </w:r>
      <w:hyperlink r:id="rId5" w:history="1">
        <w:r w:rsidRPr="00E023CC">
          <w:rPr>
            <w:rStyle w:val="Hyperlink"/>
          </w:rPr>
          <w:t>http://trademark-clearinghouse.com/content/trademark-clearinghouse-fees</w:t>
        </w:r>
      </w:hyperlink>
      <w:r w:rsidRPr="00E023CC">
        <w:t xml:space="preserve"> </w:t>
      </w:r>
    </w:p>
    <w:p w14:paraId="63D46B5F" w14:textId="77777777" w:rsidR="00E023CC" w:rsidRPr="00E023CC" w:rsidRDefault="00E023CC" w:rsidP="00E023CC">
      <w:hyperlink r:id="rId6" w:history="1">
        <w:r w:rsidRPr="00E023CC">
          <w:rPr>
            <w:rStyle w:val="Hyperlink"/>
          </w:rPr>
          <w:t>http://www.trademark-clearinghouse.com/sites/default/files/files/downloads/trademarkclearinghouse_fee_structure_01-04-2015_2.pdf</w:t>
        </w:r>
      </w:hyperlink>
      <w:r w:rsidRPr="00E023CC">
        <w:t xml:space="preserve"> </w:t>
      </w:r>
    </w:p>
    <w:p w14:paraId="672814F8" w14:textId="77777777" w:rsidR="00E023CC" w:rsidRPr="00E023CC" w:rsidRDefault="00E023CC" w:rsidP="00E023CC"/>
    <w:p w14:paraId="07B958CC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Fee structure for record inclusion in the TMCH</w:t>
      </w:r>
    </w:p>
    <w:p w14:paraId="6C903065" w14:textId="77777777" w:rsidR="00E023CC" w:rsidRPr="00E023CC" w:rsidRDefault="00E023CC" w:rsidP="00E023CC">
      <w:pPr>
        <w:numPr>
          <w:ilvl w:val="1"/>
          <w:numId w:val="1"/>
        </w:numPr>
      </w:pPr>
      <w:r w:rsidRPr="00E023CC">
        <w:t>Costs for Abused Domain Name Label service</w:t>
      </w:r>
    </w:p>
    <w:p w14:paraId="729D8BEC" w14:textId="77777777" w:rsidR="009D7663" w:rsidRDefault="00785BC6" w:rsidP="00E023CC">
      <w:pPr>
        <w:rPr>
          <w:i/>
        </w:rPr>
      </w:pPr>
    </w:p>
    <w:p w14:paraId="210DD90B" w14:textId="77777777" w:rsidR="00E023CC" w:rsidRDefault="00E023CC" w:rsidP="00E023CC">
      <w:pPr>
        <w:rPr>
          <w:i/>
        </w:rPr>
      </w:pPr>
    </w:p>
    <w:p w14:paraId="2B4C3BA9" w14:textId="77777777" w:rsidR="00E023CC" w:rsidRDefault="00E023CC" w:rsidP="00E023CC"/>
    <w:sectPr w:rsidR="00E023CC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1870"/>
    <w:multiLevelType w:val="hybridMultilevel"/>
    <w:tmpl w:val="80D28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D66EF"/>
    <w:multiLevelType w:val="hybridMultilevel"/>
    <w:tmpl w:val="6212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D63A4"/>
    <w:multiLevelType w:val="hybridMultilevel"/>
    <w:tmpl w:val="8DB0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72201"/>
    <w:multiLevelType w:val="hybridMultilevel"/>
    <w:tmpl w:val="66FE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E5D42"/>
    <w:multiLevelType w:val="hybridMultilevel"/>
    <w:tmpl w:val="E76001FE"/>
    <w:lvl w:ilvl="0" w:tplc="C6285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0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C1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67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4D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AC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CF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85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6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B75F77"/>
    <w:multiLevelType w:val="hybridMultilevel"/>
    <w:tmpl w:val="5D4A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C"/>
    <w:rsid w:val="000A2AAC"/>
    <w:rsid w:val="00273856"/>
    <w:rsid w:val="00326516"/>
    <w:rsid w:val="00435BDF"/>
    <w:rsid w:val="00497DF0"/>
    <w:rsid w:val="00785BC6"/>
    <w:rsid w:val="00A0546B"/>
    <w:rsid w:val="00C6726D"/>
    <w:rsid w:val="00E023CC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075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3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59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3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56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58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48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39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27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78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19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rademark-clearinghouse.com/content/trademark-clearinghouse-fees" TargetMode="External"/><Relationship Id="rId6" Type="http://schemas.openxmlformats.org/officeDocument/2006/relationships/hyperlink" Target="http://www.trademark-clearinghouse.com/sites/default/files/files/downloads/trademarkclearinghouse_fee_structure_01-04-2015_2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5058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2016-07-15T14:34:00Z</dcterms:created>
  <dcterms:modified xsi:type="dcterms:W3CDTF">2016-07-15T14:34:00Z</dcterms:modified>
</cp:coreProperties>
</file>