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896E0" w14:textId="6E691ADD" w:rsidR="009D7663" w:rsidRPr="00FC0925" w:rsidRDefault="00FC0925" w:rsidP="00FC0925">
      <w:pPr>
        <w:jc w:val="center"/>
        <w:rPr>
          <w:rFonts w:asciiTheme="minorHAnsi" w:hAnsiTheme="minorHAnsi"/>
          <w:b/>
          <w:sz w:val="22"/>
          <w:szCs w:val="22"/>
        </w:rPr>
      </w:pPr>
      <w:r w:rsidRPr="00FC0925">
        <w:rPr>
          <w:rFonts w:asciiTheme="minorHAnsi" w:hAnsiTheme="minorHAnsi"/>
          <w:b/>
          <w:sz w:val="22"/>
          <w:szCs w:val="22"/>
        </w:rPr>
        <w:t>DEFINITIONS AND</w:t>
      </w:r>
      <w:r w:rsidR="001C1C11">
        <w:rPr>
          <w:rFonts w:asciiTheme="minorHAnsi" w:hAnsiTheme="minorHAnsi"/>
          <w:b/>
          <w:sz w:val="22"/>
          <w:szCs w:val="22"/>
        </w:rPr>
        <w:t xml:space="preserve"> ADDITIONAL</w:t>
      </w:r>
      <w:r w:rsidRPr="00FC0925">
        <w:rPr>
          <w:rFonts w:asciiTheme="minorHAnsi" w:hAnsiTheme="minorHAnsi"/>
          <w:b/>
          <w:sz w:val="22"/>
          <w:szCs w:val="22"/>
        </w:rPr>
        <w:t xml:space="preserve"> </w:t>
      </w:r>
      <w:r w:rsidR="001C1C11">
        <w:rPr>
          <w:rFonts w:asciiTheme="minorHAnsi" w:hAnsiTheme="minorHAnsi"/>
          <w:b/>
          <w:sz w:val="22"/>
          <w:szCs w:val="22"/>
        </w:rPr>
        <w:t>INFORMATION ON</w:t>
      </w:r>
      <w:r w:rsidRPr="00FC0925">
        <w:rPr>
          <w:rFonts w:asciiTheme="minorHAnsi" w:hAnsiTheme="minorHAnsi"/>
          <w:b/>
          <w:sz w:val="22"/>
          <w:szCs w:val="22"/>
        </w:rPr>
        <w:t xml:space="preserve"> DESIGN MARKS AND GEOGRAPHICAL INDICATIONS</w:t>
      </w:r>
    </w:p>
    <w:p w14:paraId="740821E4" w14:textId="15A51294" w:rsidR="00FC0925" w:rsidRPr="00FC0925" w:rsidRDefault="00FC0925" w:rsidP="00FC0925">
      <w:pPr>
        <w:jc w:val="center"/>
        <w:rPr>
          <w:rFonts w:asciiTheme="minorHAnsi" w:hAnsiTheme="minorHAnsi"/>
          <w:b/>
          <w:sz w:val="22"/>
          <w:szCs w:val="22"/>
        </w:rPr>
      </w:pPr>
      <w:r w:rsidRPr="00FC0925">
        <w:rPr>
          <w:rFonts w:asciiTheme="minorHAnsi" w:hAnsiTheme="minorHAnsi"/>
          <w:b/>
          <w:sz w:val="22"/>
          <w:szCs w:val="22"/>
        </w:rPr>
        <w:t>Prepared by ICANN Staff, 27 April 2017</w:t>
      </w:r>
    </w:p>
    <w:p w14:paraId="5DB5770D" w14:textId="77777777" w:rsidR="00FC0925" w:rsidRDefault="00FC0925">
      <w:pPr>
        <w:rPr>
          <w:rFonts w:asciiTheme="minorHAnsi" w:hAnsiTheme="minorHAnsi"/>
          <w:sz w:val="22"/>
          <w:szCs w:val="22"/>
        </w:rPr>
      </w:pPr>
    </w:p>
    <w:p w14:paraId="6D70F773" w14:textId="77777777" w:rsidR="00F72CAB" w:rsidRDefault="00F72CAB">
      <w:pPr>
        <w:rPr>
          <w:rFonts w:asciiTheme="minorHAnsi" w:hAnsiTheme="minorHAnsi"/>
          <w:sz w:val="22"/>
          <w:szCs w:val="22"/>
        </w:rPr>
      </w:pPr>
    </w:p>
    <w:tbl>
      <w:tblPr>
        <w:tblStyle w:val="TableGrid"/>
        <w:tblW w:w="0" w:type="auto"/>
        <w:tblLook w:val="04A0" w:firstRow="1" w:lastRow="0" w:firstColumn="1" w:lastColumn="0" w:noHBand="0" w:noVBand="1"/>
      </w:tblPr>
      <w:tblGrid>
        <w:gridCol w:w="1594"/>
        <w:gridCol w:w="5241"/>
        <w:gridCol w:w="3420"/>
        <w:gridCol w:w="2695"/>
      </w:tblGrid>
      <w:tr w:rsidR="005F669C" w14:paraId="3D17ADB6" w14:textId="77777777" w:rsidTr="005F669C">
        <w:tc>
          <w:tcPr>
            <w:tcW w:w="1594" w:type="dxa"/>
            <w:shd w:val="clear" w:color="auto" w:fill="D9E2F3" w:themeFill="accent1" w:themeFillTint="33"/>
          </w:tcPr>
          <w:p w14:paraId="21D1DC15" w14:textId="77777777" w:rsidR="008C13B6" w:rsidRPr="00DA7C88" w:rsidRDefault="008C13B6">
            <w:pPr>
              <w:rPr>
                <w:rFonts w:asciiTheme="minorHAnsi" w:hAnsiTheme="minorHAnsi"/>
                <w:b/>
                <w:sz w:val="22"/>
                <w:szCs w:val="22"/>
              </w:rPr>
            </w:pPr>
            <w:r w:rsidRPr="00DA7C88">
              <w:rPr>
                <w:rFonts w:asciiTheme="minorHAnsi" w:hAnsiTheme="minorHAnsi"/>
                <w:b/>
                <w:sz w:val="22"/>
                <w:szCs w:val="22"/>
              </w:rPr>
              <w:t>Term</w:t>
            </w:r>
          </w:p>
        </w:tc>
        <w:tc>
          <w:tcPr>
            <w:tcW w:w="5241" w:type="dxa"/>
            <w:shd w:val="clear" w:color="auto" w:fill="D9E2F3" w:themeFill="accent1" w:themeFillTint="33"/>
          </w:tcPr>
          <w:p w14:paraId="0AF4DB49" w14:textId="256F49CC" w:rsidR="008C13B6" w:rsidRPr="005F669C" w:rsidRDefault="008C13B6">
            <w:pPr>
              <w:rPr>
                <w:rFonts w:asciiTheme="minorHAnsi" w:hAnsiTheme="minorHAnsi"/>
                <w:b/>
                <w:sz w:val="22"/>
                <w:szCs w:val="22"/>
              </w:rPr>
            </w:pPr>
            <w:r w:rsidRPr="005F669C">
              <w:rPr>
                <w:rFonts w:asciiTheme="minorHAnsi" w:hAnsiTheme="minorHAnsi"/>
                <w:b/>
                <w:sz w:val="22"/>
                <w:szCs w:val="22"/>
              </w:rPr>
              <w:t>Definition(s)</w:t>
            </w:r>
            <w:r w:rsidR="004B5235">
              <w:rPr>
                <w:rFonts w:asciiTheme="minorHAnsi" w:hAnsiTheme="minorHAnsi"/>
                <w:b/>
                <w:sz w:val="22"/>
                <w:szCs w:val="22"/>
              </w:rPr>
              <w:t>/Common Usages</w:t>
            </w:r>
          </w:p>
        </w:tc>
        <w:tc>
          <w:tcPr>
            <w:tcW w:w="3420" w:type="dxa"/>
            <w:shd w:val="clear" w:color="auto" w:fill="D9E2F3" w:themeFill="accent1" w:themeFillTint="33"/>
          </w:tcPr>
          <w:p w14:paraId="0309A3A5" w14:textId="784FCEA4" w:rsidR="008C13B6" w:rsidRPr="005F669C" w:rsidRDefault="00421D9E">
            <w:pPr>
              <w:rPr>
                <w:rFonts w:asciiTheme="minorHAnsi" w:hAnsiTheme="minorHAnsi"/>
                <w:b/>
                <w:sz w:val="22"/>
                <w:szCs w:val="22"/>
              </w:rPr>
            </w:pPr>
            <w:r w:rsidRPr="005F669C">
              <w:rPr>
                <w:rFonts w:asciiTheme="minorHAnsi" w:hAnsiTheme="minorHAnsi"/>
                <w:b/>
                <w:sz w:val="22"/>
                <w:szCs w:val="22"/>
              </w:rPr>
              <w:t>Additional Comments</w:t>
            </w:r>
          </w:p>
        </w:tc>
        <w:tc>
          <w:tcPr>
            <w:tcW w:w="2695" w:type="dxa"/>
            <w:shd w:val="clear" w:color="auto" w:fill="D9E2F3" w:themeFill="accent1" w:themeFillTint="33"/>
          </w:tcPr>
          <w:p w14:paraId="6E8D4833" w14:textId="5296ECDC" w:rsidR="008C13B6" w:rsidRPr="005F669C" w:rsidRDefault="008C13B6">
            <w:pPr>
              <w:rPr>
                <w:rFonts w:asciiTheme="minorHAnsi" w:hAnsiTheme="minorHAnsi"/>
                <w:b/>
                <w:sz w:val="22"/>
                <w:szCs w:val="22"/>
              </w:rPr>
            </w:pPr>
            <w:r w:rsidRPr="005F669C">
              <w:rPr>
                <w:rFonts w:asciiTheme="minorHAnsi" w:hAnsiTheme="minorHAnsi"/>
                <w:b/>
                <w:sz w:val="22"/>
                <w:szCs w:val="22"/>
              </w:rPr>
              <w:t>Working Group Discussion</w:t>
            </w:r>
          </w:p>
        </w:tc>
      </w:tr>
      <w:tr w:rsidR="005F669C" w14:paraId="7A1B5619" w14:textId="77777777" w:rsidTr="005F669C">
        <w:tc>
          <w:tcPr>
            <w:tcW w:w="1594" w:type="dxa"/>
          </w:tcPr>
          <w:p w14:paraId="506FE938" w14:textId="77777777" w:rsidR="008C13B6" w:rsidRPr="00DA7C88" w:rsidRDefault="008C13B6">
            <w:pPr>
              <w:rPr>
                <w:rFonts w:asciiTheme="minorHAnsi" w:hAnsiTheme="minorHAnsi"/>
                <w:b/>
                <w:sz w:val="22"/>
                <w:szCs w:val="22"/>
              </w:rPr>
            </w:pPr>
            <w:r w:rsidRPr="00DA7C88">
              <w:rPr>
                <w:rFonts w:asciiTheme="minorHAnsi" w:hAnsiTheme="minorHAnsi"/>
                <w:b/>
                <w:sz w:val="22"/>
                <w:szCs w:val="22"/>
              </w:rPr>
              <w:t>Appellation of Origin</w:t>
            </w:r>
            <w:r w:rsidRPr="00DA7C88">
              <w:rPr>
                <w:rStyle w:val="FootnoteReference"/>
                <w:rFonts w:asciiTheme="minorHAnsi" w:hAnsiTheme="minorHAnsi"/>
                <w:b/>
                <w:sz w:val="22"/>
                <w:szCs w:val="22"/>
              </w:rPr>
              <w:footnoteReference w:id="1"/>
            </w:r>
            <w:r w:rsidRPr="00DA7C88">
              <w:rPr>
                <w:rFonts w:asciiTheme="minorHAnsi" w:hAnsiTheme="minorHAnsi"/>
                <w:b/>
                <w:sz w:val="22"/>
                <w:szCs w:val="22"/>
              </w:rPr>
              <w:t xml:space="preserve"> </w:t>
            </w:r>
          </w:p>
        </w:tc>
        <w:tc>
          <w:tcPr>
            <w:tcW w:w="5241" w:type="dxa"/>
          </w:tcPr>
          <w:p w14:paraId="7052FBD5" w14:textId="77777777" w:rsidR="008C13B6" w:rsidRPr="00F44A6D" w:rsidRDefault="008C13B6" w:rsidP="00F94303">
            <w:pPr>
              <w:rPr>
                <w:rFonts w:asciiTheme="minorHAnsi" w:hAnsiTheme="minorHAnsi"/>
                <w:b/>
                <w:sz w:val="22"/>
                <w:szCs w:val="22"/>
              </w:rPr>
            </w:pPr>
            <w:r>
              <w:rPr>
                <w:rFonts w:asciiTheme="minorHAnsi" w:hAnsiTheme="minorHAnsi"/>
                <w:sz w:val="22"/>
                <w:szCs w:val="22"/>
              </w:rPr>
              <w:t>“T</w:t>
            </w:r>
            <w:r w:rsidRPr="00F94303">
              <w:rPr>
                <w:rFonts w:asciiTheme="minorHAnsi" w:hAnsiTheme="minorHAnsi"/>
                <w:sz w:val="22"/>
                <w:szCs w:val="22"/>
              </w:rPr>
              <w:t>he geographical denomination of a country, region, or locality, which serves to designate a product originating therein, the quality or characteristics of which are due exclusively or essentially to the geographical environment, including natural and human factors</w:t>
            </w:r>
            <w:r>
              <w:rPr>
                <w:rFonts w:asciiTheme="minorHAnsi" w:hAnsiTheme="minorHAnsi"/>
                <w:sz w:val="22"/>
                <w:szCs w:val="22"/>
              </w:rPr>
              <w:t xml:space="preserve">” </w:t>
            </w:r>
            <w:r w:rsidRPr="00F44A6D">
              <w:rPr>
                <w:rFonts w:asciiTheme="minorHAnsi" w:hAnsiTheme="minorHAnsi"/>
                <w:b/>
                <w:sz w:val="22"/>
                <w:szCs w:val="22"/>
              </w:rPr>
              <w:t>(Article 2, Lisbon Agreement)</w:t>
            </w:r>
          </w:p>
          <w:p w14:paraId="3A940933" w14:textId="77777777" w:rsidR="008C13B6" w:rsidRDefault="008C13B6">
            <w:pPr>
              <w:rPr>
                <w:rFonts w:asciiTheme="minorHAnsi" w:hAnsiTheme="minorHAnsi"/>
                <w:sz w:val="22"/>
                <w:szCs w:val="22"/>
              </w:rPr>
            </w:pPr>
          </w:p>
        </w:tc>
        <w:tc>
          <w:tcPr>
            <w:tcW w:w="3420" w:type="dxa"/>
          </w:tcPr>
          <w:p w14:paraId="21CB9A0F" w14:textId="7133574B" w:rsidR="008C13B6" w:rsidRDefault="005F669C">
            <w:pPr>
              <w:rPr>
                <w:rFonts w:asciiTheme="minorHAnsi" w:hAnsiTheme="minorHAnsi"/>
                <w:sz w:val="22"/>
                <w:szCs w:val="22"/>
              </w:rPr>
            </w:pPr>
            <w:r>
              <w:rPr>
                <w:rFonts w:asciiTheme="minorHAnsi" w:hAnsiTheme="minorHAnsi"/>
                <w:sz w:val="22"/>
                <w:szCs w:val="22"/>
              </w:rPr>
              <w:t>These are a spec</w:t>
            </w:r>
            <w:r w:rsidR="00E3310B">
              <w:rPr>
                <w:rFonts w:asciiTheme="minorHAnsi" w:hAnsiTheme="minorHAnsi"/>
                <w:sz w:val="22"/>
                <w:szCs w:val="22"/>
              </w:rPr>
              <w:t>ific form of GI (see further</w:t>
            </w:r>
            <w:r>
              <w:rPr>
                <w:rFonts w:asciiTheme="minorHAnsi" w:hAnsiTheme="minorHAnsi"/>
                <w:sz w:val="22"/>
                <w:szCs w:val="22"/>
              </w:rPr>
              <w:t xml:space="preserve"> below)</w:t>
            </w:r>
          </w:p>
        </w:tc>
        <w:tc>
          <w:tcPr>
            <w:tcW w:w="2695" w:type="dxa"/>
          </w:tcPr>
          <w:p w14:paraId="5C31B5E1" w14:textId="23D79DC0" w:rsidR="008C13B6" w:rsidRDefault="008C13B6">
            <w:pPr>
              <w:rPr>
                <w:rFonts w:asciiTheme="minorHAnsi" w:hAnsiTheme="minorHAnsi"/>
                <w:sz w:val="22"/>
                <w:szCs w:val="22"/>
              </w:rPr>
            </w:pPr>
          </w:p>
        </w:tc>
      </w:tr>
      <w:tr w:rsidR="0014283D" w14:paraId="53D33ACC" w14:textId="77777777" w:rsidTr="005F669C">
        <w:tc>
          <w:tcPr>
            <w:tcW w:w="1594" w:type="dxa"/>
          </w:tcPr>
          <w:p w14:paraId="698396BF" w14:textId="783B1A24" w:rsidR="0014283D" w:rsidRDefault="0014283D">
            <w:pPr>
              <w:rPr>
                <w:rFonts w:asciiTheme="minorHAnsi" w:hAnsiTheme="minorHAnsi"/>
                <w:b/>
                <w:sz w:val="22"/>
                <w:szCs w:val="22"/>
              </w:rPr>
            </w:pPr>
            <w:r>
              <w:rPr>
                <w:rFonts w:asciiTheme="minorHAnsi" w:hAnsiTheme="minorHAnsi"/>
                <w:b/>
                <w:sz w:val="22"/>
                <w:szCs w:val="22"/>
              </w:rPr>
              <w:t>Certification Mark</w:t>
            </w:r>
          </w:p>
          <w:p w14:paraId="75493EE8" w14:textId="77777777" w:rsidR="0014283D" w:rsidRPr="00DA7C88" w:rsidRDefault="0014283D">
            <w:pPr>
              <w:rPr>
                <w:rFonts w:asciiTheme="minorHAnsi" w:hAnsiTheme="minorHAnsi"/>
                <w:b/>
                <w:sz w:val="22"/>
                <w:szCs w:val="22"/>
              </w:rPr>
            </w:pPr>
          </w:p>
        </w:tc>
        <w:tc>
          <w:tcPr>
            <w:tcW w:w="5241" w:type="dxa"/>
          </w:tcPr>
          <w:p w14:paraId="2AA54C38" w14:textId="71C10488" w:rsidR="001E0598" w:rsidRPr="001E0598" w:rsidRDefault="003B1045" w:rsidP="001E0598">
            <w:pPr>
              <w:rPr>
                <w:rFonts w:asciiTheme="minorHAnsi" w:hAnsiTheme="minorHAnsi"/>
                <w:b/>
                <w:bCs/>
                <w:sz w:val="22"/>
                <w:szCs w:val="22"/>
              </w:rPr>
            </w:pPr>
            <w:r>
              <w:rPr>
                <w:rFonts w:asciiTheme="minorHAnsi" w:hAnsiTheme="minorHAnsi"/>
                <w:b/>
                <w:bCs/>
                <w:sz w:val="22"/>
                <w:szCs w:val="22"/>
              </w:rPr>
              <w:t xml:space="preserve">EU: </w:t>
            </w:r>
            <w:r w:rsidR="001E0598" w:rsidRPr="001E0598">
              <w:rPr>
                <w:rFonts w:asciiTheme="minorHAnsi" w:hAnsiTheme="minorHAnsi"/>
                <w:bCs/>
                <w:sz w:val="22"/>
                <w:szCs w:val="22"/>
              </w:rPr>
              <w:t>“An EU certification mark shall be an EU trade mark which is described as such when the mark is applied for and is capable of distinguishing goods or services which are certified by the proprietor of the mark in respect of material, mode of manufacture of goods or performance of services, quality, accuracy or other characteristics, with the exception of geographical origin, from goods and services which are not so certified</w:t>
            </w:r>
            <w:r w:rsidR="00A06E19">
              <w:rPr>
                <w:rFonts w:asciiTheme="minorHAnsi" w:hAnsiTheme="minorHAnsi"/>
                <w:bCs/>
                <w:sz w:val="22"/>
                <w:szCs w:val="22"/>
              </w:rPr>
              <w:t>.</w:t>
            </w:r>
            <w:r w:rsidR="001E0598" w:rsidRPr="001E0598">
              <w:rPr>
                <w:rFonts w:asciiTheme="minorHAnsi" w:hAnsiTheme="minorHAnsi"/>
                <w:bCs/>
                <w:sz w:val="22"/>
                <w:szCs w:val="22"/>
              </w:rPr>
              <w:t>”</w:t>
            </w:r>
            <w:r w:rsidR="001E0598">
              <w:rPr>
                <w:rStyle w:val="FootnoteReference"/>
                <w:rFonts w:asciiTheme="minorHAnsi" w:hAnsiTheme="minorHAnsi"/>
                <w:bCs/>
                <w:sz w:val="22"/>
                <w:szCs w:val="22"/>
              </w:rPr>
              <w:footnoteReference w:id="2"/>
            </w:r>
          </w:p>
          <w:p w14:paraId="2282A378" w14:textId="77777777" w:rsidR="003B1045" w:rsidRDefault="003B1045" w:rsidP="00B64B79">
            <w:pPr>
              <w:rPr>
                <w:rFonts w:asciiTheme="minorHAnsi" w:hAnsiTheme="minorHAnsi"/>
                <w:b/>
                <w:bCs/>
                <w:sz w:val="22"/>
                <w:szCs w:val="22"/>
              </w:rPr>
            </w:pPr>
          </w:p>
          <w:p w14:paraId="1C5B366F" w14:textId="060E95DA" w:rsidR="00B64B79" w:rsidRPr="00B64B79" w:rsidRDefault="00B64B79" w:rsidP="00B64B79">
            <w:pPr>
              <w:rPr>
                <w:rFonts w:asciiTheme="minorHAnsi" w:hAnsiTheme="minorHAnsi"/>
                <w:bCs/>
                <w:sz w:val="22"/>
                <w:szCs w:val="22"/>
              </w:rPr>
            </w:pPr>
            <w:r w:rsidRPr="00B64B79">
              <w:rPr>
                <w:rFonts w:asciiTheme="minorHAnsi" w:hAnsiTheme="minorHAnsi"/>
                <w:b/>
                <w:bCs/>
                <w:sz w:val="22"/>
                <w:szCs w:val="22"/>
              </w:rPr>
              <w:t>USA:</w:t>
            </w:r>
            <w:r>
              <w:rPr>
                <w:rFonts w:asciiTheme="minorHAnsi" w:hAnsiTheme="minorHAnsi"/>
                <w:bCs/>
                <w:sz w:val="22"/>
                <w:szCs w:val="22"/>
              </w:rPr>
              <w:t xml:space="preserve"> “</w:t>
            </w:r>
            <w:r w:rsidRPr="00B64B79">
              <w:rPr>
                <w:rFonts w:asciiTheme="minorHAnsi" w:hAnsiTheme="minorHAnsi"/>
                <w:bCs/>
                <w:sz w:val="22"/>
                <w:szCs w:val="22"/>
              </w:rPr>
              <w:t>means any word, name, symbol, or device, or any combination thereof</w:t>
            </w:r>
            <w:r>
              <w:rPr>
                <w:rFonts w:asciiTheme="minorHAnsi" w:hAnsiTheme="minorHAnsi"/>
                <w:bCs/>
                <w:sz w:val="22"/>
                <w:szCs w:val="22"/>
              </w:rPr>
              <w:t xml:space="preserve"> -</w:t>
            </w:r>
          </w:p>
          <w:p w14:paraId="7243F9DE" w14:textId="77777777" w:rsidR="00B64B79" w:rsidRPr="00B64B79" w:rsidRDefault="00B64B79" w:rsidP="00B64B79">
            <w:pPr>
              <w:numPr>
                <w:ilvl w:val="0"/>
                <w:numId w:val="4"/>
              </w:numPr>
              <w:rPr>
                <w:rFonts w:asciiTheme="minorHAnsi" w:hAnsiTheme="minorHAnsi"/>
                <w:bCs/>
                <w:sz w:val="22"/>
                <w:szCs w:val="22"/>
              </w:rPr>
            </w:pPr>
            <w:r w:rsidRPr="00B64B79">
              <w:rPr>
                <w:rFonts w:asciiTheme="minorHAnsi" w:hAnsiTheme="minorHAnsi"/>
                <w:bCs/>
                <w:sz w:val="22"/>
                <w:szCs w:val="22"/>
              </w:rPr>
              <w:t>(1) used by a person other than its owner, or</w:t>
            </w:r>
          </w:p>
          <w:p w14:paraId="34D5A6AC" w14:textId="77777777" w:rsidR="00B64B79" w:rsidRPr="00B64B79" w:rsidRDefault="00B64B79" w:rsidP="00B64B79">
            <w:pPr>
              <w:numPr>
                <w:ilvl w:val="0"/>
                <w:numId w:val="4"/>
              </w:numPr>
              <w:rPr>
                <w:rFonts w:asciiTheme="minorHAnsi" w:hAnsiTheme="minorHAnsi"/>
                <w:bCs/>
                <w:sz w:val="22"/>
                <w:szCs w:val="22"/>
              </w:rPr>
            </w:pPr>
            <w:r w:rsidRPr="00B64B79">
              <w:rPr>
                <w:rFonts w:asciiTheme="minorHAnsi" w:hAnsiTheme="minorHAnsi"/>
                <w:bCs/>
                <w:sz w:val="22"/>
                <w:szCs w:val="22"/>
              </w:rPr>
              <w:t xml:space="preserve">(2) which its owner has a bona fide intention to permit a person other than the owner to use in commerce and files an application to register </w:t>
            </w:r>
            <w:r w:rsidRPr="00B64B79">
              <w:rPr>
                <w:rFonts w:asciiTheme="minorHAnsi" w:hAnsiTheme="minorHAnsi"/>
                <w:bCs/>
                <w:sz w:val="22"/>
                <w:szCs w:val="22"/>
              </w:rPr>
              <w:lastRenderedPageBreak/>
              <w:t>on the principal register established by this [Act],</w:t>
            </w:r>
          </w:p>
          <w:p w14:paraId="0367D30E" w14:textId="14D7D0D1" w:rsidR="00B64B79" w:rsidRPr="00B64B79" w:rsidRDefault="00B64B79" w:rsidP="00B64B79">
            <w:pPr>
              <w:rPr>
                <w:rFonts w:asciiTheme="minorHAnsi" w:hAnsiTheme="minorHAnsi"/>
                <w:bCs/>
                <w:sz w:val="22"/>
                <w:szCs w:val="22"/>
              </w:rPr>
            </w:pPr>
            <w:r w:rsidRPr="00B64B79">
              <w:rPr>
                <w:rFonts w:asciiTheme="minorHAnsi" w:hAnsiTheme="minorHAnsi"/>
                <w:bCs/>
                <w:sz w:val="22"/>
                <w:szCs w:val="22"/>
              </w:rPr>
              <w:t>to certify regional or other origin, material, mode of manufacture, quality, accuracy, or other characteristics of such person’s goods or services or that the work or labor on the goods or services was performed by members of a union or other organization</w:t>
            </w:r>
            <w:r w:rsidR="00A06E19">
              <w:rPr>
                <w:rFonts w:asciiTheme="minorHAnsi" w:hAnsiTheme="minorHAnsi"/>
                <w:bCs/>
                <w:sz w:val="22"/>
                <w:szCs w:val="22"/>
              </w:rPr>
              <w:t>.</w:t>
            </w:r>
            <w:r>
              <w:rPr>
                <w:rFonts w:asciiTheme="minorHAnsi" w:hAnsiTheme="minorHAnsi"/>
                <w:bCs/>
                <w:sz w:val="22"/>
                <w:szCs w:val="22"/>
              </w:rPr>
              <w:t>”</w:t>
            </w:r>
          </w:p>
          <w:p w14:paraId="15FF331C" w14:textId="77777777" w:rsidR="0014283D" w:rsidRDefault="0014283D" w:rsidP="003B1045">
            <w:pPr>
              <w:rPr>
                <w:rFonts w:asciiTheme="minorHAnsi" w:hAnsiTheme="minorHAnsi"/>
                <w:sz w:val="22"/>
                <w:szCs w:val="22"/>
              </w:rPr>
            </w:pPr>
          </w:p>
        </w:tc>
        <w:tc>
          <w:tcPr>
            <w:tcW w:w="3420" w:type="dxa"/>
          </w:tcPr>
          <w:p w14:paraId="30FB1CE6" w14:textId="77777777" w:rsidR="0014283D" w:rsidRPr="003B1045" w:rsidRDefault="003B1045">
            <w:pPr>
              <w:rPr>
                <w:rFonts w:asciiTheme="minorHAnsi" w:hAnsiTheme="minorHAnsi"/>
                <w:b/>
                <w:sz w:val="22"/>
                <w:szCs w:val="22"/>
              </w:rPr>
            </w:pPr>
            <w:r w:rsidRPr="003B1045">
              <w:rPr>
                <w:rFonts w:asciiTheme="minorHAnsi" w:hAnsiTheme="minorHAnsi"/>
                <w:b/>
                <w:sz w:val="22"/>
                <w:szCs w:val="22"/>
              </w:rPr>
              <w:lastRenderedPageBreak/>
              <w:t>From WIPO:</w:t>
            </w:r>
          </w:p>
          <w:p w14:paraId="3D8384BC" w14:textId="13F4D812" w:rsidR="003B1045" w:rsidRPr="005058A2" w:rsidRDefault="003B1045" w:rsidP="003B1045">
            <w:pPr>
              <w:rPr>
                <w:rFonts w:asciiTheme="minorHAnsi" w:hAnsiTheme="minorHAnsi"/>
                <w:sz w:val="22"/>
                <w:szCs w:val="22"/>
              </w:rPr>
            </w:pPr>
            <w:r>
              <w:rPr>
                <w:rFonts w:asciiTheme="minorHAnsi" w:hAnsiTheme="minorHAnsi"/>
                <w:bCs/>
                <w:sz w:val="22"/>
                <w:szCs w:val="22"/>
              </w:rPr>
              <w:t>“</w:t>
            </w:r>
            <w:r w:rsidRPr="005058A2">
              <w:rPr>
                <w:rFonts w:asciiTheme="minorHAnsi" w:hAnsiTheme="minorHAnsi"/>
                <w:bCs/>
                <w:sz w:val="22"/>
                <w:szCs w:val="22"/>
              </w:rPr>
              <w:t>Certification marks</w:t>
            </w:r>
            <w:r w:rsidRPr="005058A2">
              <w:rPr>
                <w:rFonts w:asciiTheme="minorHAnsi" w:hAnsiTheme="minorHAnsi"/>
                <w:sz w:val="22"/>
                <w:szCs w:val="22"/>
              </w:rPr>
              <w:t> are usually given for compliance with defined standards, but are not confined to any membership. They may be used by anyone who can certify that the products involved meet certain established standards. Famous certification marks include WOOLMARK which certifies that the goods on which it is used are made of 100% wool.</w:t>
            </w:r>
          </w:p>
          <w:p w14:paraId="7987FE67" w14:textId="77777777" w:rsidR="003B1045" w:rsidRDefault="003B1045" w:rsidP="003B1045">
            <w:pPr>
              <w:rPr>
                <w:rFonts w:asciiTheme="minorHAnsi" w:hAnsiTheme="minorHAnsi"/>
                <w:sz w:val="22"/>
                <w:szCs w:val="22"/>
              </w:rPr>
            </w:pPr>
          </w:p>
          <w:p w14:paraId="7137BB03" w14:textId="2704807F" w:rsidR="003B1045" w:rsidRPr="005058A2" w:rsidRDefault="003B1045" w:rsidP="003B1045">
            <w:pPr>
              <w:rPr>
                <w:rFonts w:asciiTheme="minorHAnsi" w:hAnsiTheme="minorHAnsi"/>
                <w:sz w:val="22"/>
                <w:szCs w:val="22"/>
              </w:rPr>
            </w:pPr>
            <w:r w:rsidRPr="005058A2">
              <w:rPr>
                <w:rFonts w:asciiTheme="minorHAnsi" w:hAnsiTheme="minorHAnsi"/>
                <w:sz w:val="22"/>
                <w:szCs w:val="22"/>
              </w:rPr>
              <w:t xml:space="preserve">Certification marks may be used together with the individual trademark of the producer of a given good. The label used as a </w:t>
            </w:r>
            <w:r w:rsidRPr="005058A2">
              <w:rPr>
                <w:rFonts w:asciiTheme="minorHAnsi" w:hAnsiTheme="minorHAnsi"/>
                <w:sz w:val="22"/>
                <w:szCs w:val="22"/>
              </w:rPr>
              <w:lastRenderedPageBreak/>
              <w:t>certification mark will be evidence that the company's products meet the specific standards required for the use of the certification mark.</w:t>
            </w:r>
            <w:r>
              <w:rPr>
                <w:rFonts w:asciiTheme="minorHAnsi" w:hAnsiTheme="minorHAnsi"/>
                <w:sz w:val="22"/>
                <w:szCs w:val="22"/>
              </w:rPr>
              <w:t>”</w:t>
            </w:r>
          </w:p>
          <w:p w14:paraId="7A587124" w14:textId="1E9E10E6" w:rsidR="003B1045" w:rsidRDefault="003B1045">
            <w:pPr>
              <w:rPr>
                <w:rFonts w:asciiTheme="minorHAnsi" w:hAnsiTheme="minorHAnsi"/>
                <w:sz w:val="22"/>
                <w:szCs w:val="22"/>
              </w:rPr>
            </w:pPr>
          </w:p>
        </w:tc>
        <w:tc>
          <w:tcPr>
            <w:tcW w:w="2695" w:type="dxa"/>
          </w:tcPr>
          <w:p w14:paraId="2DF96638" w14:textId="77777777" w:rsidR="0014283D" w:rsidRDefault="0014283D">
            <w:pPr>
              <w:rPr>
                <w:rFonts w:asciiTheme="minorHAnsi" w:hAnsiTheme="minorHAnsi"/>
                <w:sz w:val="22"/>
                <w:szCs w:val="22"/>
              </w:rPr>
            </w:pPr>
          </w:p>
        </w:tc>
      </w:tr>
      <w:tr w:rsidR="00630D4B" w14:paraId="58CF0B94" w14:textId="77777777" w:rsidTr="005F669C">
        <w:tc>
          <w:tcPr>
            <w:tcW w:w="1594" w:type="dxa"/>
          </w:tcPr>
          <w:p w14:paraId="19FC01BD" w14:textId="2C907920" w:rsidR="00630D4B" w:rsidRDefault="00630D4B">
            <w:pPr>
              <w:rPr>
                <w:rFonts w:asciiTheme="minorHAnsi" w:hAnsiTheme="minorHAnsi"/>
                <w:b/>
                <w:sz w:val="22"/>
                <w:szCs w:val="22"/>
              </w:rPr>
            </w:pPr>
            <w:r>
              <w:rPr>
                <w:rFonts w:asciiTheme="minorHAnsi" w:hAnsiTheme="minorHAnsi"/>
                <w:b/>
                <w:sz w:val="22"/>
                <w:szCs w:val="22"/>
              </w:rPr>
              <w:lastRenderedPageBreak/>
              <w:t>Collective Mark</w:t>
            </w:r>
          </w:p>
          <w:p w14:paraId="19211F19" w14:textId="77777777" w:rsidR="00630D4B" w:rsidRDefault="00630D4B">
            <w:pPr>
              <w:rPr>
                <w:rFonts w:asciiTheme="minorHAnsi" w:hAnsiTheme="minorHAnsi"/>
                <w:b/>
                <w:sz w:val="22"/>
                <w:szCs w:val="22"/>
              </w:rPr>
            </w:pPr>
          </w:p>
        </w:tc>
        <w:tc>
          <w:tcPr>
            <w:tcW w:w="5241" w:type="dxa"/>
          </w:tcPr>
          <w:p w14:paraId="46D6EC11" w14:textId="36729BB2" w:rsidR="00205042" w:rsidRPr="00205042" w:rsidRDefault="00F2185F" w:rsidP="00205042">
            <w:pPr>
              <w:rPr>
                <w:rFonts w:asciiTheme="minorHAnsi" w:hAnsiTheme="minorHAnsi"/>
                <w:b/>
                <w:bCs/>
                <w:sz w:val="22"/>
                <w:szCs w:val="22"/>
              </w:rPr>
            </w:pPr>
            <w:r>
              <w:rPr>
                <w:rFonts w:asciiTheme="minorHAnsi" w:hAnsiTheme="minorHAnsi"/>
                <w:b/>
                <w:bCs/>
                <w:sz w:val="22"/>
                <w:szCs w:val="22"/>
              </w:rPr>
              <w:t xml:space="preserve">EU: </w:t>
            </w:r>
            <w:r w:rsidR="00205042">
              <w:rPr>
                <w:rFonts w:asciiTheme="minorHAnsi" w:hAnsiTheme="minorHAnsi"/>
                <w:b/>
                <w:bCs/>
                <w:sz w:val="22"/>
                <w:szCs w:val="22"/>
              </w:rPr>
              <w:t>“</w:t>
            </w:r>
            <w:r w:rsidR="00205042" w:rsidRPr="00205042">
              <w:rPr>
                <w:rFonts w:asciiTheme="minorHAnsi" w:hAnsiTheme="minorHAnsi"/>
                <w:bCs/>
                <w:sz w:val="22"/>
                <w:szCs w:val="22"/>
              </w:rPr>
              <w:t xml:space="preserve">This </w:t>
            </w:r>
            <w:r w:rsidR="00205042">
              <w:rPr>
                <w:rFonts w:asciiTheme="minorHAnsi" w:hAnsiTheme="minorHAnsi"/>
                <w:bCs/>
                <w:sz w:val="22"/>
                <w:szCs w:val="22"/>
              </w:rPr>
              <w:t xml:space="preserve">[Trade Mark] </w:t>
            </w:r>
            <w:r w:rsidR="00205042" w:rsidRPr="00205042">
              <w:rPr>
                <w:rFonts w:asciiTheme="minorHAnsi" w:hAnsiTheme="minorHAnsi"/>
                <w:bCs/>
                <w:sz w:val="22"/>
                <w:szCs w:val="22"/>
              </w:rPr>
              <w:t>Directive shall apply to every trade mark in respect of goods or services which is the subject of registration or of an application in a Member State for registration as an individual trade mark, a collective mark or a guarantee or certification mark, or which is the subject of a registration or an application for registration in the Benelux Office for Intellectual Property or of an international registration having effect in a Member Stat</w:t>
            </w:r>
            <w:r w:rsidR="00205042">
              <w:rPr>
                <w:rFonts w:asciiTheme="minorHAnsi" w:hAnsiTheme="minorHAnsi"/>
                <w:bCs/>
                <w:sz w:val="22"/>
                <w:szCs w:val="22"/>
              </w:rPr>
              <w:t>e</w:t>
            </w:r>
            <w:r w:rsidR="00A06E19">
              <w:rPr>
                <w:rFonts w:asciiTheme="minorHAnsi" w:hAnsiTheme="minorHAnsi"/>
                <w:bCs/>
                <w:sz w:val="22"/>
                <w:szCs w:val="22"/>
              </w:rPr>
              <w:t>.</w:t>
            </w:r>
            <w:r w:rsidR="00205042">
              <w:rPr>
                <w:rFonts w:asciiTheme="minorHAnsi" w:hAnsiTheme="minorHAnsi"/>
                <w:bCs/>
                <w:sz w:val="22"/>
                <w:szCs w:val="22"/>
              </w:rPr>
              <w:t>”</w:t>
            </w:r>
            <w:r w:rsidR="00E80F3F">
              <w:rPr>
                <w:rStyle w:val="FootnoteReference"/>
                <w:rFonts w:asciiTheme="minorHAnsi" w:hAnsiTheme="minorHAnsi"/>
                <w:bCs/>
                <w:sz w:val="22"/>
                <w:szCs w:val="22"/>
              </w:rPr>
              <w:footnoteReference w:id="3"/>
            </w:r>
          </w:p>
          <w:p w14:paraId="40A7928F" w14:textId="77777777" w:rsidR="00F2185F" w:rsidRDefault="00F2185F" w:rsidP="00F2185F">
            <w:pPr>
              <w:rPr>
                <w:rFonts w:asciiTheme="minorHAnsi" w:hAnsiTheme="minorHAnsi"/>
                <w:b/>
                <w:bCs/>
                <w:sz w:val="22"/>
                <w:szCs w:val="22"/>
              </w:rPr>
            </w:pPr>
          </w:p>
          <w:p w14:paraId="74C21477" w14:textId="12C81996" w:rsidR="00F2185F" w:rsidRPr="00F2185F" w:rsidRDefault="00F2185F" w:rsidP="00F2185F">
            <w:pPr>
              <w:rPr>
                <w:rFonts w:asciiTheme="minorHAnsi" w:hAnsiTheme="minorHAnsi"/>
                <w:bCs/>
                <w:sz w:val="22"/>
                <w:szCs w:val="22"/>
              </w:rPr>
            </w:pPr>
            <w:r w:rsidRPr="00F2185F">
              <w:rPr>
                <w:rFonts w:asciiTheme="minorHAnsi" w:hAnsiTheme="minorHAnsi"/>
                <w:b/>
                <w:bCs/>
                <w:sz w:val="22"/>
                <w:szCs w:val="22"/>
              </w:rPr>
              <w:t>USA:</w:t>
            </w:r>
            <w:r>
              <w:rPr>
                <w:rFonts w:asciiTheme="minorHAnsi" w:hAnsiTheme="minorHAnsi"/>
                <w:bCs/>
                <w:sz w:val="22"/>
                <w:szCs w:val="22"/>
              </w:rPr>
              <w:t xml:space="preserve"> “</w:t>
            </w:r>
            <w:r w:rsidRPr="00F2185F">
              <w:rPr>
                <w:rFonts w:asciiTheme="minorHAnsi" w:hAnsiTheme="minorHAnsi"/>
                <w:bCs/>
                <w:sz w:val="22"/>
                <w:szCs w:val="22"/>
              </w:rPr>
              <w:t>The term “collective mark” means a trademark or service mark--</w:t>
            </w:r>
          </w:p>
          <w:p w14:paraId="54980700" w14:textId="77777777" w:rsidR="00F2185F" w:rsidRPr="00F2185F" w:rsidRDefault="00F2185F" w:rsidP="00F2185F">
            <w:pPr>
              <w:numPr>
                <w:ilvl w:val="0"/>
                <w:numId w:val="5"/>
              </w:numPr>
              <w:rPr>
                <w:rFonts w:asciiTheme="minorHAnsi" w:hAnsiTheme="minorHAnsi"/>
                <w:bCs/>
                <w:sz w:val="22"/>
                <w:szCs w:val="22"/>
              </w:rPr>
            </w:pPr>
            <w:r w:rsidRPr="00F2185F">
              <w:rPr>
                <w:rFonts w:asciiTheme="minorHAnsi" w:hAnsiTheme="minorHAnsi"/>
                <w:bCs/>
                <w:sz w:val="22"/>
                <w:szCs w:val="22"/>
              </w:rPr>
              <w:t>(1) used by the members of a cooperative, an association, or other collective group or organization, or</w:t>
            </w:r>
          </w:p>
          <w:p w14:paraId="192471C7" w14:textId="2BBC3C27" w:rsidR="008D4FE2" w:rsidRPr="00A06E19" w:rsidRDefault="00F2185F" w:rsidP="008D4FE2">
            <w:pPr>
              <w:numPr>
                <w:ilvl w:val="0"/>
                <w:numId w:val="5"/>
              </w:numPr>
              <w:rPr>
                <w:rFonts w:asciiTheme="minorHAnsi" w:hAnsiTheme="minorHAnsi"/>
                <w:bCs/>
                <w:sz w:val="22"/>
                <w:szCs w:val="22"/>
              </w:rPr>
            </w:pPr>
            <w:r w:rsidRPr="00F2185F">
              <w:rPr>
                <w:rFonts w:asciiTheme="minorHAnsi" w:hAnsiTheme="minorHAnsi"/>
                <w:bCs/>
                <w:sz w:val="22"/>
                <w:szCs w:val="22"/>
              </w:rPr>
              <w:t>(2) which such cooperative, association, or other collective group or organization has a bona fide intention to use in commerce and applies to register on the principal register established by this [Act], and includes marks indicating membership in a union, an association, or other organization.</w:t>
            </w:r>
            <w:r>
              <w:rPr>
                <w:rFonts w:asciiTheme="minorHAnsi" w:hAnsiTheme="minorHAnsi"/>
                <w:bCs/>
                <w:sz w:val="22"/>
                <w:szCs w:val="22"/>
              </w:rPr>
              <w:t>”</w:t>
            </w:r>
          </w:p>
          <w:p w14:paraId="26B2BFFA" w14:textId="77777777" w:rsidR="00630D4B" w:rsidRPr="008D4FE2" w:rsidRDefault="00630D4B" w:rsidP="00B64B79">
            <w:pPr>
              <w:rPr>
                <w:rFonts w:asciiTheme="minorHAnsi" w:hAnsiTheme="minorHAnsi"/>
                <w:bCs/>
                <w:sz w:val="22"/>
                <w:szCs w:val="22"/>
              </w:rPr>
            </w:pPr>
          </w:p>
        </w:tc>
        <w:tc>
          <w:tcPr>
            <w:tcW w:w="3420" w:type="dxa"/>
          </w:tcPr>
          <w:p w14:paraId="027E776A" w14:textId="77777777" w:rsidR="00630D4B" w:rsidRPr="003B1045" w:rsidRDefault="003B1045">
            <w:pPr>
              <w:rPr>
                <w:rFonts w:asciiTheme="minorHAnsi" w:hAnsiTheme="minorHAnsi"/>
                <w:b/>
                <w:sz w:val="22"/>
                <w:szCs w:val="22"/>
              </w:rPr>
            </w:pPr>
            <w:r w:rsidRPr="003B1045">
              <w:rPr>
                <w:rFonts w:asciiTheme="minorHAnsi" w:hAnsiTheme="minorHAnsi"/>
                <w:b/>
                <w:sz w:val="22"/>
                <w:szCs w:val="22"/>
              </w:rPr>
              <w:t>From WIPO:</w:t>
            </w:r>
          </w:p>
          <w:p w14:paraId="1DE79AC5" w14:textId="77777777" w:rsidR="003B1045" w:rsidRDefault="003B1045">
            <w:pPr>
              <w:rPr>
                <w:rFonts w:asciiTheme="minorHAnsi" w:hAnsiTheme="minorHAnsi"/>
                <w:sz w:val="22"/>
                <w:szCs w:val="22"/>
              </w:rPr>
            </w:pPr>
            <w:r>
              <w:rPr>
                <w:rFonts w:asciiTheme="minorHAnsi" w:hAnsiTheme="minorHAnsi"/>
                <w:sz w:val="22"/>
                <w:szCs w:val="22"/>
              </w:rPr>
              <w:t>“</w:t>
            </w:r>
            <w:r w:rsidRPr="003B1045">
              <w:rPr>
                <w:rFonts w:asciiTheme="minorHAnsi" w:hAnsiTheme="minorHAnsi"/>
                <w:sz w:val="22"/>
                <w:szCs w:val="22"/>
              </w:rPr>
              <w:t>In many countries, the main difference between collective marks and certification marks is that the former may only be used by a specific group of enterprises, e.g., members of an association, while certification marks may be used by anybody who complies with the standards defined by the owner of the certification mark. An important requirement for certification marks is that the entity which applies for registration is considered "competent to certify" the products concerned.</w:t>
            </w:r>
            <w:r>
              <w:rPr>
                <w:rFonts w:asciiTheme="minorHAnsi" w:hAnsiTheme="minorHAnsi"/>
                <w:sz w:val="22"/>
                <w:szCs w:val="22"/>
              </w:rPr>
              <w:t>”</w:t>
            </w:r>
          </w:p>
          <w:p w14:paraId="327B8EA5" w14:textId="12FA0D94" w:rsidR="003B1045" w:rsidRDefault="003B1045">
            <w:pPr>
              <w:rPr>
                <w:rFonts w:asciiTheme="minorHAnsi" w:hAnsiTheme="minorHAnsi"/>
                <w:sz w:val="22"/>
                <w:szCs w:val="22"/>
              </w:rPr>
            </w:pPr>
          </w:p>
        </w:tc>
        <w:tc>
          <w:tcPr>
            <w:tcW w:w="2695" w:type="dxa"/>
          </w:tcPr>
          <w:p w14:paraId="491C2BF4" w14:textId="77777777" w:rsidR="00630D4B" w:rsidRDefault="00630D4B">
            <w:pPr>
              <w:rPr>
                <w:rFonts w:asciiTheme="minorHAnsi" w:hAnsiTheme="minorHAnsi"/>
                <w:sz w:val="22"/>
                <w:szCs w:val="22"/>
              </w:rPr>
            </w:pPr>
          </w:p>
        </w:tc>
      </w:tr>
      <w:tr w:rsidR="005F669C" w14:paraId="712A39C2" w14:textId="77777777" w:rsidTr="005F669C">
        <w:tc>
          <w:tcPr>
            <w:tcW w:w="1594" w:type="dxa"/>
          </w:tcPr>
          <w:p w14:paraId="05C2E35D" w14:textId="48B7C059" w:rsidR="008C13B6" w:rsidRPr="00DA7C88" w:rsidRDefault="008C13B6">
            <w:pPr>
              <w:rPr>
                <w:rFonts w:asciiTheme="minorHAnsi" w:hAnsiTheme="minorHAnsi"/>
                <w:b/>
                <w:sz w:val="22"/>
                <w:szCs w:val="22"/>
              </w:rPr>
            </w:pPr>
            <w:r w:rsidRPr="00DA7C88">
              <w:rPr>
                <w:rFonts w:asciiTheme="minorHAnsi" w:hAnsiTheme="minorHAnsi"/>
                <w:b/>
                <w:sz w:val="22"/>
                <w:szCs w:val="22"/>
              </w:rPr>
              <w:t>Composite Mark</w:t>
            </w:r>
          </w:p>
        </w:tc>
        <w:tc>
          <w:tcPr>
            <w:tcW w:w="5241" w:type="dxa"/>
          </w:tcPr>
          <w:p w14:paraId="65823FD1" w14:textId="4BE78B33" w:rsidR="008C13B6" w:rsidRDefault="00DA7C88">
            <w:pPr>
              <w:rPr>
                <w:rFonts w:asciiTheme="minorHAnsi" w:hAnsiTheme="minorHAnsi"/>
                <w:sz w:val="22"/>
                <w:szCs w:val="22"/>
              </w:rPr>
            </w:pPr>
            <w:r w:rsidRPr="00DA7C88">
              <w:rPr>
                <w:rFonts w:asciiTheme="minorHAnsi" w:hAnsiTheme="minorHAnsi"/>
                <w:b/>
                <w:sz w:val="22"/>
                <w:szCs w:val="22"/>
              </w:rPr>
              <w:t>EU</w:t>
            </w:r>
            <w:r w:rsidR="00F30FD1">
              <w:rPr>
                <w:rFonts w:asciiTheme="minorHAnsi" w:hAnsiTheme="minorHAnsi"/>
                <w:sz w:val="22"/>
                <w:szCs w:val="22"/>
              </w:rPr>
              <w:t xml:space="preserve">: </w:t>
            </w:r>
            <w:r>
              <w:rPr>
                <w:rFonts w:asciiTheme="minorHAnsi" w:hAnsiTheme="minorHAnsi"/>
                <w:sz w:val="22"/>
                <w:szCs w:val="22"/>
              </w:rPr>
              <w:t>does not appear to have a</w:t>
            </w:r>
            <w:r w:rsidR="00BF5395">
              <w:rPr>
                <w:rFonts w:asciiTheme="minorHAnsi" w:hAnsiTheme="minorHAnsi"/>
                <w:sz w:val="22"/>
                <w:szCs w:val="22"/>
              </w:rPr>
              <w:t xml:space="preserve"> specific definition; seemingly used interchangeably with </w:t>
            </w:r>
            <w:r w:rsidR="00F44A6D">
              <w:rPr>
                <w:rFonts w:asciiTheme="minorHAnsi" w:hAnsiTheme="minorHAnsi"/>
                <w:sz w:val="22"/>
                <w:szCs w:val="22"/>
              </w:rPr>
              <w:t xml:space="preserve">the term </w:t>
            </w:r>
            <w:r w:rsidR="00BF5395">
              <w:rPr>
                <w:rFonts w:asciiTheme="minorHAnsi" w:hAnsiTheme="minorHAnsi"/>
                <w:sz w:val="22"/>
                <w:szCs w:val="22"/>
              </w:rPr>
              <w:t>“figurative mark containing letters”</w:t>
            </w:r>
            <w:r w:rsidR="00FC640F">
              <w:rPr>
                <w:rStyle w:val="FootnoteReference"/>
                <w:rFonts w:asciiTheme="minorHAnsi" w:hAnsiTheme="minorHAnsi"/>
                <w:sz w:val="22"/>
                <w:szCs w:val="22"/>
              </w:rPr>
              <w:footnoteReference w:id="4"/>
            </w:r>
          </w:p>
          <w:p w14:paraId="45C362B0" w14:textId="77777777" w:rsidR="00DA7C88" w:rsidRDefault="00DA7C88">
            <w:pPr>
              <w:rPr>
                <w:rFonts w:asciiTheme="minorHAnsi" w:hAnsiTheme="minorHAnsi"/>
                <w:sz w:val="22"/>
                <w:szCs w:val="22"/>
              </w:rPr>
            </w:pPr>
          </w:p>
          <w:p w14:paraId="06C1F2E7" w14:textId="57247572" w:rsidR="00DA7C88" w:rsidRDefault="00DA7C88" w:rsidP="00DA7C88">
            <w:pPr>
              <w:rPr>
                <w:rFonts w:asciiTheme="minorHAnsi" w:hAnsiTheme="minorHAnsi"/>
                <w:sz w:val="22"/>
                <w:szCs w:val="22"/>
              </w:rPr>
            </w:pPr>
            <w:r w:rsidRPr="00DA7C88">
              <w:rPr>
                <w:rFonts w:asciiTheme="minorHAnsi" w:hAnsiTheme="minorHAnsi"/>
                <w:b/>
                <w:sz w:val="22"/>
                <w:szCs w:val="22"/>
              </w:rPr>
              <w:t>USA</w:t>
            </w:r>
            <w:r w:rsidR="00F30FD1">
              <w:rPr>
                <w:rFonts w:asciiTheme="minorHAnsi" w:hAnsiTheme="minorHAnsi"/>
                <w:sz w:val="22"/>
                <w:szCs w:val="22"/>
              </w:rPr>
              <w:t>:</w:t>
            </w:r>
            <w:r>
              <w:rPr>
                <w:rFonts w:asciiTheme="minorHAnsi" w:hAnsiTheme="minorHAnsi"/>
                <w:sz w:val="22"/>
                <w:szCs w:val="22"/>
              </w:rPr>
              <w:t xml:space="preserve"> used in the </w:t>
            </w:r>
            <w:r w:rsidRPr="00DA7C88">
              <w:rPr>
                <w:rFonts w:asciiTheme="minorHAnsi" w:hAnsiTheme="minorHAnsi"/>
                <w:sz w:val="22"/>
                <w:szCs w:val="22"/>
              </w:rPr>
              <w:t>USPTO Trademark Manual of Examining Procedure (TMEP</w:t>
            </w:r>
            <w:r w:rsidR="00044D95">
              <w:rPr>
                <w:rFonts w:asciiTheme="minorHAnsi" w:hAnsiTheme="minorHAnsi"/>
                <w:sz w:val="22"/>
                <w:szCs w:val="22"/>
              </w:rPr>
              <w:t>, 1207.01(c)(ii)</w:t>
            </w:r>
            <w:r w:rsidRPr="00DA7C88">
              <w:rPr>
                <w:rFonts w:asciiTheme="minorHAnsi" w:hAnsiTheme="minorHAnsi"/>
                <w:sz w:val="22"/>
                <w:szCs w:val="22"/>
              </w:rPr>
              <w:t>)</w:t>
            </w:r>
            <w:r>
              <w:rPr>
                <w:rFonts w:asciiTheme="minorHAnsi" w:hAnsiTheme="minorHAnsi"/>
                <w:sz w:val="22"/>
                <w:szCs w:val="22"/>
              </w:rPr>
              <w:t xml:space="preserve"> to refer to a </w:t>
            </w:r>
            <w:r w:rsidRPr="00DA7C88">
              <w:rPr>
                <w:rFonts w:asciiTheme="minorHAnsi" w:hAnsiTheme="minorHAnsi"/>
                <w:sz w:val="22"/>
                <w:szCs w:val="22"/>
                <w:u w:val="single"/>
              </w:rPr>
              <w:t>mark consisting of a design element combined with words and/or letters</w:t>
            </w:r>
            <w:r>
              <w:rPr>
                <w:rFonts w:asciiTheme="minorHAnsi" w:hAnsiTheme="minorHAnsi"/>
                <w:sz w:val="22"/>
                <w:szCs w:val="22"/>
              </w:rPr>
              <w:t>:</w:t>
            </w:r>
          </w:p>
          <w:p w14:paraId="5414D5A0" w14:textId="2939880D" w:rsidR="00DA7C88" w:rsidRDefault="00DA7C88" w:rsidP="00DA7C88">
            <w:pPr>
              <w:ind w:left="720"/>
              <w:rPr>
                <w:rFonts w:asciiTheme="minorHAnsi" w:hAnsiTheme="minorHAnsi"/>
                <w:sz w:val="22"/>
                <w:szCs w:val="22"/>
              </w:rPr>
            </w:pPr>
            <w:r>
              <w:rPr>
                <w:rFonts w:asciiTheme="minorHAnsi" w:hAnsiTheme="minorHAnsi"/>
                <w:sz w:val="22"/>
                <w:szCs w:val="22"/>
              </w:rPr>
              <w:t>“</w:t>
            </w:r>
            <w:r w:rsidRPr="00DA7C88">
              <w:rPr>
                <w:rFonts w:asciiTheme="minorHAnsi" w:hAnsiTheme="minorHAnsi"/>
                <w:sz w:val="22"/>
                <w:szCs w:val="22"/>
              </w:rPr>
              <w:t>Although it is not proper to dissect a mark, if one feature of a mark is more significant than another feature, greater weight may be given to the dominant feature for purposes of determining likelihood of confusion. </w:t>
            </w:r>
            <w:r w:rsidRPr="00DA7C88">
              <w:rPr>
                <w:rFonts w:asciiTheme="minorHAnsi" w:hAnsiTheme="minorHAnsi"/>
                <w:i/>
                <w:iCs/>
                <w:sz w:val="22"/>
                <w:szCs w:val="22"/>
              </w:rPr>
              <w:t>See, e.g.</w:t>
            </w:r>
            <w:r w:rsidRPr="00DA7C88">
              <w:rPr>
                <w:rFonts w:asciiTheme="minorHAnsi" w:hAnsiTheme="minorHAnsi"/>
                <w:sz w:val="22"/>
                <w:szCs w:val="22"/>
              </w:rPr>
              <w:t>, </w:t>
            </w:r>
            <w:r w:rsidRPr="00DA7C88">
              <w:rPr>
                <w:rFonts w:asciiTheme="minorHAnsi" w:hAnsiTheme="minorHAnsi"/>
                <w:i/>
                <w:iCs/>
                <w:sz w:val="22"/>
                <w:szCs w:val="22"/>
              </w:rPr>
              <w:t>In re Viterra Inc.</w:t>
            </w:r>
            <w:r w:rsidRPr="00DA7C88">
              <w:rPr>
                <w:rFonts w:asciiTheme="minorHAnsi" w:hAnsiTheme="minorHAnsi"/>
                <w:sz w:val="22"/>
                <w:szCs w:val="22"/>
              </w:rPr>
              <w:t>, 671 F.3d 1358, 1362, 101 USPQ2d 1905, 1908 (Fed. Cir. 2012); </w:t>
            </w:r>
            <w:r w:rsidRPr="00DA7C88">
              <w:rPr>
                <w:rFonts w:asciiTheme="minorHAnsi" w:hAnsiTheme="minorHAnsi"/>
                <w:i/>
                <w:iCs/>
                <w:sz w:val="22"/>
                <w:szCs w:val="22"/>
              </w:rPr>
              <w:t>Giant Food, Inc. v. Nation’s Foodservice, Inc.</w:t>
            </w:r>
            <w:r w:rsidRPr="00DA7C88">
              <w:rPr>
                <w:rFonts w:asciiTheme="minorHAnsi" w:hAnsiTheme="minorHAnsi"/>
                <w:sz w:val="22"/>
                <w:szCs w:val="22"/>
              </w:rPr>
              <w:t>, 710 F.2d 1565, 1570-71, 218 USPQ 390, 395 (Fed. Cir. 1983</w:t>
            </w:r>
            <w:r>
              <w:rPr>
                <w:rFonts w:asciiTheme="minorHAnsi" w:hAnsiTheme="minorHAnsi"/>
                <w:sz w:val="22"/>
                <w:szCs w:val="22"/>
              </w:rPr>
              <w:t xml:space="preserve">) … </w:t>
            </w:r>
          </w:p>
          <w:p w14:paraId="3A7C8AD4" w14:textId="77777777" w:rsidR="00DA7C88" w:rsidRPr="00DA7C88" w:rsidRDefault="00DA7C88" w:rsidP="00DA7C88">
            <w:pPr>
              <w:ind w:left="720"/>
              <w:rPr>
                <w:rFonts w:asciiTheme="minorHAnsi" w:hAnsiTheme="minorHAnsi"/>
                <w:sz w:val="22"/>
                <w:szCs w:val="22"/>
              </w:rPr>
            </w:pPr>
          </w:p>
          <w:p w14:paraId="1D22FFC7" w14:textId="789366DF" w:rsidR="0053528E" w:rsidRDefault="00DA7C88" w:rsidP="008466A1">
            <w:pPr>
              <w:ind w:left="720"/>
              <w:rPr>
                <w:rFonts w:asciiTheme="minorHAnsi" w:hAnsiTheme="minorHAnsi"/>
                <w:sz w:val="22"/>
                <w:szCs w:val="22"/>
              </w:rPr>
            </w:pPr>
            <w:r w:rsidRPr="00DA7C88">
              <w:rPr>
                <w:rFonts w:asciiTheme="minorHAnsi" w:hAnsiTheme="minorHAnsi"/>
                <w:sz w:val="22"/>
                <w:szCs w:val="22"/>
              </w:rPr>
              <w:t>If a mark comprises both wording and a design, greater weight is often given to the wording, because it is the wording that purchasers would use to refer to or request the goods or services. </w:t>
            </w:r>
            <w:r w:rsidRPr="00DA7C88">
              <w:rPr>
                <w:rFonts w:asciiTheme="minorHAnsi" w:hAnsiTheme="minorHAnsi"/>
                <w:i/>
                <w:iCs/>
                <w:sz w:val="22"/>
                <w:szCs w:val="22"/>
              </w:rPr>
              <w:t>See, e.g.</w:t>
            </w:r>
            <w:r w:rsidRPr="00DA7C88">
              <w:rPr>
                <w:rFonts w:asciiTheme="minorHAnsi" w:hAnsiTheme="minorHAnsi"/>
                <w:sz w:val="22"/>
                <w:szCs w:val="22"/>
              </w:rPr>
              <w:t>, </w:t>
            </w:r>
            <w:r w:rsidRPr="00DA7C88">
              <w:rPr>
                <w:rFonts w:asciiTheme="minorHAnsi" w:hAnsiTheme="minorHAnsi"/>
                <w:i/>
                <w:iCs/>
                <w:sz w:val="22"/>
                <w:szCs w:val="22"/>
              </w:rPr>
              <w:t>Viterra</w:t>
            </w:r>
            <w:r w:rsidRPr="00DA7C88">
              <w:rPr>
                <w:rFonts w:asciiTheme="minorHAnsi" w:hAnsiTheme="minorHAnsi"/>
                <w:sz w:val="22"/>
                <w:szCs w:val="22"/>
              </w:rPr>
              <w:t>, 671 F.3d at 1366, 101 USPQ2d at 1911; </w:t>
            </w:r>
            <w:r w:rsidRPr="00DA7C88">
              <w:rPr>
                <w:rFonts w:asciiTheme="minorHAnsi" w:hAnsiTheme="minorHAnsi"/>
                <w:i/>
                <w:iCs/>
                <w:sz w:val="22"/>
                <w:szCs w:val="22"/>
              </w:rPr>
              <w:t>In re Max Capital Grp. Ltd.</w:t>
            </w:r>
            <w:r w:rsidRPr="00DA7C88">
              <w:rPr>
                <w:rFonts w:asciiTheme="minorHAnsi" w:hAnsiTheme="minorHAnsi"/>
                <w:sz w:val="22"/>
                <w:szCs w:val="22"/>
              </w:rPr>
              <w:t>, 93 USPQ2d 1243, 1247 (TTAB 2010) ; </w:t>
            </w:r>
            <w:r w:rsidRPr="00DA7C88">
              <w:rPr>
                <w:rFonts w:asciiTheme="minorHAnsi" w:hAnsiTheme="minorHAnsi"/>
                <w:i/>
                <w:iCs/>
                <w:sz w:val="22"/>
                <w:szCs w:val="22"/>
              </w:rPr>
              <w:t>In re Appetito Provisions Co. Inc.</w:t>
            </w:r>
            <w:r w:rsidRPr="00DA7C88">
              <w:rPr>
                <w:rFonts w:asciiTheme="minorHAnsi" w:hAnsiTheme="minorHAnsi"/>
                <w:sz w:val="22"/>
                <w:szCs w:val="22"/>
              </w:rPr>
              <w:t xml:space="preserve">, </w:t>
            </w:r>
            <w:r>
              <w:rPr>
                <w:rFonts w:asciiTheme="minorHAnsi" w:hAnsiTheme="minorHAnsi"/>
                <w:sz w:val="22"/>
                <w:szCs w:val="22"/>
              </w:rPr>
              <w:t>3 USPQ2d 1553, 1554 (TTAB 1987)</w:t>
            </w:r>
            <w:r w:rsidRPr="00DA7C88">
              <w:rPr>
                <w:rFonts w:asciiTheme="minorHAnsi" w:hAnsiTheme="minorHAnsi"/>
                <w:sz w:val="22"/>
                <w:szCs w:val="22"/>
              </w:rPr>
              <w:t>. The Court of Appeals for the Federal Circuit has cautioned, however, that "[t]here is no general rule as to whether letters or designs will dominate in composite marks; nor is the dominance of letters or design dispositive of the issue." </w:t>
            </w:r>
            <w:r w:rsidRPr="00DA7C88">
              <w:rPr>
                <w:rFonts w:asciiTheme="minorHAnsi" w:hAnsiTheme="minorHAnsi"/>
                <w:i/>
                <w:iCs/>
                <w:sz w:val="22"/>
                <w:szCs w:val="22"/>
              </w:rPr>
              <w:t>In re Electrolyte Labs. Inc.</w:t>
            </w:r>
            <w:r w:rsidRPr="00DA7C88">
              <w:rPr>
                <w:rFonts w:asciiTheme="minorHAnsi" w:hAnsiTheme="minorHAnsi"/>
                <w:sz w:val="22"/>
                <w:szCs w:val="22"/>
              </w:rPr>
              <w:t>, 929 F.2d 645, 647, 16 USPQ2d 1239, 1240 (Fed. Cir. 1990).</w:t>
            </w:r>
            <w:r w:rsidR="008466A1">
              <w:rPr>
                <w:rFonts w:asciiTheme="minorHAnsi" w:hAnsiTheme="minorHAnsi"/>
                <w:sz w:val="22"/>
                <w:szCs w:val="22"/>
              </w:rPr>
              <w:t>”</w:t>
            </w:r>
          </w:p>
          <w:p w14:paraId="20991804" w14:textId="72FE3422" w:rsidR="008466A1" w:rsidRDefault="008466A1" w:rsidP="008466A1">
            <w:pPr>
              <w:ind w:left="720"/>
              <w:rPr>
                <w:rFonts w:asciiTheme="minorHAnsi" w:hAnsiTheme="minorHAnsi"/>
                <w:sz w:val="22"/>
                <w:szCs w:val="22"/>
              </w:rPr>
            </w:pPr>
          </w:p>
        </w:tc>
        <w:tc>
          <w:tcPr>
            <w:tcW w:w="3420" w:type="dxa"/>
          </w:tcPr>
          <w:p w14:paraId="67F29FF0" w14:textId="77777777" w:rsidR="008C13B6" w:rsidRDefault="008C13B6">
            <w:pPr>
              <w:rPr>
                <w:rFonts w:asciiTheme="minorHAnsi" w:hAnsiTheme="minorHAnsi"/>
                <w:sz w:val="22"/>
                <w:szCs w:val="22"/>
              </w:rPr>
            </w:pPr>
          </w:p>
        </w:tc>
        <w:tc>
          <w:tcPr>
            <w:tcW w:w="2695" w:type="dxa"/>
          </w:tcPr>
          <w:p w14:paraId="2C3B11E5" w14:textId="1AE1EA9F" w:rsidR="008C13B6" w:rsidRDefault="008C13B6">
            <w:pPr>
              <w:rPr>
                <w:rFonts w:asciiTheme="minorHAnsi" w:hAnsiTheme="minorHAnsi"/>
                <w:sz w:val="22"/>
                <w:szCs w:val="22"/>
              </w:rPr>
            </w:pPr>
          </w:p>
        </w:tc>
      </w:tr>
      <w:tr w:rsidR="005F669C" w14:paraId="390D37CF" w14:textId="77777777" w:rsidTr="005F669C">
        <w:tc>
          <w:tcPr>
            <w:tcW w:w="1594" w:type="dxa"/>
          </w:tcPr>
          <w:p w14:paraId="7BF6B0D3" w14:textId="5990388C" w:rsidR="008C13B6" w:rsidRPr="00DA7C88" w:rsidRDefault="008C13B6">
            <w:pPr>
              <w:rPr>
                <w:rFonts w:asciiTheme="minorHAnsi" w:hAnsiTheme="minorHAnsi"/>
                <w:b/>
                <w:sz w:val="22"/>
                <w:szCs w:val="22"/>
              </w:rPr>
            </w:pPr>
            <w:r w:rsidRPr="00DA7C88">
              <w:rPr>
                <w:rFonts w:asciiTheme="minorHAnsi" w:hAnsiTheme="minorHAnsi"/>
                <w:b/>
                <w:sz w:val="22"/>
                <w:szCs w:val="22"/>
              </w:rPr>
              <w:t>Design Mark</w:t>
            </w:r>
          </w:p>
        </w:tc>
        <w:tc>
          <w:tcPr>
            <w:tcW w:w="5241" w:type="dxa"/>
          </w:tcPr>
          <w:p w14:paraId="2E7ABA68" w14:textId="6ABF1F64" w:rsidR="008C13B6" w:rsidRDefault="00DA7C88" w:rsidP="001716F9">
            <w:pPr>
              <w:rPr>
                <w:rFonts w:asciiTheme="minorHAnsi" w:hAnsiTheme="minorHAnsi"/>
                <w:sz w:val="22"/>
                <w:szCs w:val="22"/>
              </w:rPr>
            </w:pPr>
            <w:r w:rsidRPr="00DA7C88">
              <w:rPr>
                <w:rFonts w:asciiTheme="minorHAnsi" w:hAnsiTheme="minorHAnsi"/>
                <w:b/>
                <w:sz w:val="22"/>
                <w:szCs w:val="22"/>
              </w:rPr>
              <w:t>USA:</w:t>
            </w:r>
            <w:r>
              <w:rPr>
                <w:rFonts w:asciiTheme="minorHAnsi" w:hAnsiTheme="minorHAnsi"/>
                <w:sz w:val="22"/>
                <w:szCs w:val="22"/>
              </w:rPr>
              <w:t xml:space="preserve"> </w:t>
            </w:r>
            <w:r w:rsidR="00934AA8">
              <w:rPr>
                <w:rFonts w:asciiTheme="minorHAnsi" w:hAnsiTheme="minorHAnsi"/>
                <w:sz w:val="22"/>
                <w:szCs w:val="22"/>
              </w:rPr>
              <w:t xml:space="preserve">Not </w:t>
            </w:r>
            <w:r w:rsidR="009877AF">
              <w:rPr>
                <w:rFonts w:asciiTheme="minorHAnsi" w:hAnsiTheme="minorHAnsi"/>
                <w:sz w:val="22"/>
                <w:szCs w:val="22"/>
              </w:rPr>
              <w:t xml:space="preserve">specifically </w:t>
            </w:r>
            <w:r w:rsidR="00934AA8">
              <w:rPr>
                <w:rFonts w:asciiTheme="minorHAnsi" w:hAnsiTheme="minorHAnsi"/>
                <w:sz w:val="22"/>
                <w:szCs w:val="22"/>
              </w:rPr>
              <w:t>defined</w:t>
            </w:r>
            <w:r w:rsidR="008466A1">
              <w:rPr>
                <w:rFonts w:asciiTheme="minorHAnsi" w:hAnsiTheme="minorHAnsi"/>
                <w:sz w:val="22"/>
                <w:szCs w:val="22"/>
              </w:rPr>
              <w:t xml:space="preserve"> but</w:t>
            </w:r>
            <w:r w:rsidR="00934AA8">
              <w:rPr>
                <w:rFonts w:asciiTheme="minorHAnsi" w:hAnsiTheme="minorHAnsi"/>
                <w:sz w:val="22"/>
                <w:szCs w:val="22"/>
              </w:rPr>
              <w:t xml:space="preserve"> used </w:t>
            </w:r>
            <w:r>
              <w:rPr>
                <w:rFonts w:asciiTheme="minorHAnsi" w:hAnsiTheme="minorHAnsi"/>
                <w:sz w:val="22"/>
                <w:szCs w:val="22"/>
              </w:rPr>
              <w:t>in</w:t>
            </w:r>
            <w:r w:rsidR="00934AA8">
              <w:rPr>
                <w:rFonts w:asciiTheme="minorHAnsi" w:hAnsiTheme="minorHAnsi"/>
                <w:sz w:val="22"/>
                <w:szCs w:val="22"/>
              </w:rPr>
              <w:t xml:space="preserve"> </w:t>
            </w:r>
            <w:r>
              <w:rPr>
                <w:rFonts w:asciiTheme="minorHAnsi" w:hAnsiTheme="minorHAnsi"/>
                <w:sz w:val="22"/>
                <w:szCs w:val="22"/>
              </w:rPr>
              <w:t xml:space="preserve">TMEP </w:t>
            </w:r>
            <w:r w:rsidR="00934AA8">
              <w:rPr>
                <w:rFonts w:asciiTheme="minorHAnsi" w:hAnsiTheme="minorHAnsi"/>
                <w:sz w:val="22"/>
                <w:szCs w:val="22"/>
              </w:rPr>
              <w:t>1207.01(c)</w:t>
            </w:r>
            <w:r w:rsidR="00F44A6D">
              <w:rPr>
                <w:rFonts w:asciiTheme="minorHAnsi" w:hAnsiTheme="minorHAnsi"/>
                <w:sz w:val="22"/>
                <w:szCs w:val="22"/>
              </w:rPr>
              <w:t xml:space="preserve"> when describing similarity between design marks</w:t>
            </w:r>
            <w:r w:rsidR="0053528E">
              <w:rPr>
                <w:rFonts w:asciiTheme="minorHAnsi" w:hAnsiTheme="minorHAnsi"/>
                <w:sz w:val="22"/>
                <w:szCs w:val="22"/>
              </w:rPr>
              <w:t xml:space="preserve">. The USPTO has a Design Search Code Manual that lists </w:t>
            </w:r>
            <w:r w:rsidR="0053528E" w:rsidRPr="0053528E">
              <w:rPr>
                <w:rFonts w:asciiTheme="minorHAnsi" w:hAnsiTheme="minorHAnsi"/>
                <w:sz w:val="22"/>
                <w:szCs w:val="22"/>
              </w:rPr>
              <w:t xml:space="preserve">Design Codes </w:t>
            </w:r>
            <w:r w:rsidR="0053528E">
              <w:rPr>
                <w:rFonts w:asciiTheme="minorHAnsi" w:hAnsiTheme="minorHAnsi"/>
                <w:sz w:val="22"/>
                <w:szCs w:val="22"/>
              </w:rPr>
              <w:t>as</w:t>
            </w:r>
            <w:r w:rsidR="0053528E" w:rsidRPr="0053528E">
              <w:rPr>
                <w:rFonts w:asciiTheme="minorHAnsi" w:hAnsiTheme="minorHAnsi"/>
                <w:sz w:val="22"/>
                <w:szCs w:val="22"/>
              </w:rPr>
              <w:t xml:space="preserve"> the basis for categorizing marks with design elements</w:t>
            </w:r>
            <w:r w:rsidR="00F44A6D">
              <w:rPr>
                <w:rFonts w:asciiTheme="minorHAnsi" w:hAnsiTheme="minorHAnsi"/>
                <w:sz w:val="22"/>
                <w:szCs w:val="22"/>
              </w:rPr>
              <w:t>.</w:t>
            </w:r>
            <w:r w:rsidR="009A11D3">
              <w:rPr>
                <w:rFonts w:asciiTheme="minorHAnsi" w:hAnsiTheme="minorHAnsi"/>
                <w:sz w:val="22"/>
                <w:szCs w:val="22"/>
              </w:rPr>
              <w:t xml:space="preserve"> Its example (in its Trademark Basics brochure) seem to indicate that a design mark can mean a mark combining design and text elements.</w:t>
            </w:r>
          </w:p>
          <w:p w14:paraId="41EA777A" w14:textId="22A852BC" w:rsidR="001716F9" w:rsidRDefault="001716F9" w:rsidP="001716F9">
            <w:pPr>
              <w:rPr>
                <w:rFonts w:asciiTheme="minorHAnsi" w:hAnsiTheme="minorHAnsi"/>
                <w:sz w:val="22"/>
                <w:szCs w:val="22"/>
              </w:rPr>
            </w:pPr>
          </w:p>
        </w:tc>
        <w:tc>
          <w:tcPr>
            <w:tcW w:w="3420" w:type="dxa"/>
          </w:tcPr>
          <w:p w14:paraId="1D6EABA4" w14:textId="0E0F8A53" w:rsidR="001716F9" w:rsidRDefault="001716F9" w:rsidP="00112D8C">
            <w:pPr>
              <w:rPr>
                <w:rFonts w:asciiTheme="minorHAnsi" w:hAnsiTheme="minorHAnsi"/>
                <w:sz w:val="22"/>
                <w:szCs w:val="22"/>
              </w:rPr>
            </w:pPr>
          </w:p>
        </w:tc>
        <w:tc>
          <w:tcPr>
            <w:tcW w:w="2695" w:type="dxa"/>
          </w:tcPr>
          <w:p w14:paraId="5AF661A7" w14:textId="61EEB3A5" w:rsidR="008C13B6" w:rsidRDefault="008C13B6">
            <w:pPr>
              <w:rPr>
                <w:rFonts w:asciiTheme="minorHAnsi" w:hAnsiTheme="minorHAnsi"/>
                <w:sz w:val="22"/>
                <w:szCs w:val="22"/>
              </w:rPr>
            </w:pPr>
          </w:p>
        </w:tc>
      </w:tr>
      <w:tr w:rsidR="005F669C" w14:paraId="32AFFE59" w14:textId="77777777" w:rsidTr="005F669C">
        <w:tc>
          <w:tcPr>
            <w:tcW w:w="1594" w:type="dxa"/>
          </w:tcPr>
          <w:p w14:paraId="4B22C881" w14:textId="29DE2885" w:rsidR="008C13B6" w:rsidRPr="00DA7C88" w:rsidRDefault="008C13B6">
            <w:pPr>
              <w:rPr>
                <w:rFonts w:asciiTheme="minorHAnsi" w:hAnsiTheme="minorHAnsi"/>
                <w:b/>
                <w:sz w:val="22"/>
                <w:szCs w:val="22"/>
              </w:rPr>
            </w:pPr>
            <w:r w:rsidRPr="00DA7C88">
              <w:rPr>
                <w:rFonts w:asciiTheme="minorHAnsi" w:hAnsiTheme="minorHAnsi"/>
                <w:b/>
                <w:sz w:val="22"/>
                <w:szCs w:val="22"/>
              </w:rPr>
              <w:t>Device Mark</w:t>
            </w:r>
          </w:p>
        </w:tc>
        <w:tc>
          <w:tcPr>
            <w:tcW w:w="5241" w:type="dxa"/>
          </w:tcPr>
          <w:p w14:paraId="63EAC6BC" w14:textId="17E76CDB" w:rsidR="00112D8C" w:rsidRDefault="00112D8C">
            <w:pPr>
              <w:rPr>
                <w:rFonts w:asciiTheme="minorHAnsi" w:hAnsiTheme="minorHAnsi"/>
                <w:sz w:val="22"/>
                <w:szCs w:val="22"/>
              </w:rPr>
            </w:pPr>
            <w:r>
              <w:rPr>
                <w:rFonts w:asciiTheme="minorHAnsi" w:hAnsiTheme="minorHAnsi"/>
                <w:sz w:val="22"/>
                <w:szCs w:val="22"/>
              </w:rPr>
              <w:t>T</w:t>
            </w:r>
            <w:r w:rsidR="005B0BBF">
              <w:rPr>
                <w:rFonts w:asciiTheme="minorHAnsi" w:hAnsiTheme="minorHAnsi"/>
                <w:sz w:val="22"/>
                <w:szCs w:val="22"/>
              </w:rPr>
              <w:t xml:space="preserve">he distinction used in some countries (e.g. </w:t>
            </w:r>
            <w:r w:rsidR="005B0BBF" w:rsidRPr="00F30FD1">
              <w:rPr>
                <w:rFonts w:asciiTheme="minorHAnsi" w:hAnsiTheme="minorHAnsi"/>
                <w:b/>
                <w:sz w:val="22"/>
                <w:szCs w:val="22"/>
              </w:rPr>
              <w:t>Australia</w:t>
            </w:r>
            <w:r w:rsidR="005B0BBF">
              <w:rPr>
                <w:rFonts w:asciiTheme="minorHAnsi" w:hAnsiTheme="minorHAnsi"/>
                <w:sz w:val="22"/>
                <w:szCs w:val="22"/>
              </w:rPr>
              <w:t xml:space="preserve">, </w:t>
            </w:r>
            <w:r w:rsidR="005B0BBF" w:rsidRPr="00F30FD1">
              <w:rPr>
                <w:rFonts w:asciiTheme="minorHAnsi" w:hAnsiTheme="minorHAnsi"/>
                <w:b/>
                <w:sz w:val="22"/>
                <w:szCs w:val="22"/>
              </w:rPr>
              <w:t>UK</w:t>
            </w:r>
            <w:r w:rsidR="005B0BBF">
              <w:rPr>
                <w:rFonts w:asciiTheme="minorHAnsi" w:hAnsiTheme="minorHAnsi"/>
                <w:sz w:val="22"/>
                <w:szCs w:val="22"/>
              </w:rPr>
              <w:t xml:space="preserve">) seems to be that a “device mark” is </w:t>
            </w:r>
            <w:r>
              <w:rPr>
                <w:rFonts w:asciiTheme="minorHAnsi" w:hAnsiTheme="minorHAnsi"/>
                <w:sz w:val="22"/>
                <w:szCs w:val="22"/>
              </w:rPr>
              <w:t xml:space="preserve">one </w:t>
            </w:r>
            <w:r w:rsidR="005B0BBF">
              <w:rPr>
                <w:rFonts w:asciiTheme="minorHAnsi" w:hAnsiTheme="minorHAnsi"/>
                <w:sz w:val="22"/>
                <w:szCs w:val="22"/>
              </w:rPr>
              <w:t>comprised</w:t>
            </w:r>
            <w:r>
              <w:rPr>
                <w:rFonts w:asciiTheme="minorHAnsi" w:hAnsiTheme="minorHAnsi"/>
                <w:sz w:val="22"/>
                <w:szCs w:val="22"/>
              </w:rPr>
              <w:t xml:space="preserve"> only of design or graphic elements, in contrast with a “composite mark” which is comprised of letters/word/text plus a design or graphic element.</w:t>
            </w:r>
          </w:p>
          <w:p w14:paraId="1072E192" w14:textId="26B409DA" w:rsidR="008C13B6" w:rsidRDefault="005B0BBF">
            <w:pPr>
              <w:rPr>
                <w:rFonts w:asciiTheme="minorHAnsi" w:hAnsiTheme="minorHAnsi"/>
                <w:sz w:val="22"/>
                <w:szCs w:val="22"/>
              </w:rPr>
            </w:pPr>
            <w:r>
              <w:rPr>
                <w:rFonts w:asciiTheme="minorHAnsi" w:hAnsiTheme="minorHAnsi"/>
                <w:sz w:val="22"/>
                <w:szCs w:val="22"/>
              </w:rPr>
              <w:t xml:space="preserve"> </w:t>
            </w:r>
          </w:p>
        </w:tc>
        <w:tc>
          <w:tcPr>
            <w:tcW w:w="3420" w:type="dxa"/>
          </w:tcPr>
          <w:p w14:paraId="690CCD4D" w14:textId="77777777" w:rsidR="008C13B6" w:rsidRDefault="008C13B6">
            <w:pPr>
              <w:rPr>
                <w:rFonts w:asciiTheme="minorHAnsi" w:hAnsiTheme="minorHAnsi"/>
                <w:sz w:val="22"/>
                <w:szCs w:val="22"/>
              </w:rPr>
            </w:pPr>
          </w:p>
        </w:tc>
        <w:tc>
          <w:tcPr>
            <w:tcW w:w="2695" w:type="dxa"/>
          </w:tcPr>
          <w:p w14:paraId="22445650" w14:textId="39BB7F3B" w:rsidR="008C13B6" w:rsidRDefault="008C13B6">
            <w:pPr>
              <w:rPr>
                <w:rFonts w:asciiTheme="minorHAnsi" w:hAnsiTheme="minorHAnsi"/>
                <w:sz w:val="22"/>
                <w:szCs w:val="22"/>
              </w:rPr>
            </w:pPr>
          </w:p>
        </w:tc>
      </w:tr>
      <w:tr w:rsidR="005F669C" w14:paraId="47C11638" w14:textId="77777777" w:rsidTr="005F669C">
        <w:tc>
          <w:tcPr>
            <w:tcW w:w="1594" w:type="dxa"/>
          </w:tcPr>
          <w:p w14:paraId="156E8584" w14:textId="5628D75E" w:rsidR="008C13B6" w:rsidRPr="00DA7C88" w:rsidRDefault="008C13B6">
            <w:pPr>
              <w:rPr>
                <w:rFonts w:asciiTheme="minorHAnsi" w:hAnsiTheme="minorHAnsi"/>
                <w:b/>
                <w:sz w:val="22"/>
                <w:szCs w:val="22"/>
              </w:rPr>
            </w:pPr>
            <w:r w:rsidRPr="00DA7C88">
              <w:rPr>
                <w:rFonts w:asciiTheme="minorHAnsi" w:hAnsiTheme="minorHAnsi"/>
                <w:b/>
                <w:sz w:val="22"/>
                <w:szCs w:val="22"/>
              </w:rPr>
              <w:t>Figurative Mark</w:t>
            </w:r>
            <w:r w:rsidR="009A11D3">
              <w:rPr>
                <w:rFonts w:asciiTheme="minorHAnsi" w:hAnsiTheme="minorHAnsi"/>
                <w:b/>
                <w:sz w:val="22"/>
                <w:szCs w:val="22"/>
              </w:rPr>
              <w:t xml:space="preserve"> </w:t>
            </w:r>
          </w:p>
          <w:p w14:paraId="24BD7A85" w14:textId="77777777" w:rsidR="0082750F" w:rsidRPr="00DA7C88" w:rsidRDefault="0082750F">
            <w:pPr>
              <w:rPr>
                <w:rFonts w:asciiTheme="minorHAnsi" w:hAnsiTheme="minorHAnsi"/>
                <w:b/>
                <w:sz w:val="22"/>
                <w:szCs w:val="22"/>
              </w:rPr>
            </w:pPr>
          </w:p>
        </w:tc>
        <w:tc>
          <w:tcPr>
            <w:tcW w:w="5241" w:type="dxa"/>
          </w:tcPr>
          <w:p w14:paraId="21C76F8A" w14:textId="279B37C7" w:rsidR="00DB0E39" w:rsidRPr="00DB0E39" w:rsidRDefault="00ED330A" w:rsidP="00DB0E39">
            <w:pPr>
              <w:rPr>
                <w:rFonts w:asciiTheme="minorHAnsi" w:hAnsiTheme="minorHAnsi"/>
                <w:sz w:val="22"/>
                <w:szCs w:val="22"/>
              </w:rPr>
            </w:pPr>
            <w:r>
              <w:rPr>
                <w:rFonts w:asciiTheme="minorHAnsi" w:hAnsiTheme="minorHAnsi"/>
                <w:sz w:val="22"/>
                <w:szCs w:val="22"/>
              </w:rPr>
              <w:t>“</w:t>
            </w:r>
            <w:r w:rsidR="00DB0E39" w:rsidRPr="00DB0E39">
              <w:rPr>
                <w:rFonts w:asciiTheme="minorHAnsi" w:hAnsiTheme="minorHAnsi"/>
                <w:sz w:val="22"/>
                <w:szCs w:val="22"/>
              </w:rPr>
              <w:t>A figurative mark is represented using pictures, graphics or images.</w:t>
            </w:r>
            <w:r w:rsidR="00DB0E39">
              <w:rPr>
                <w:rFonts w:asciiTheme="minorHAnsi" w:hAnsiTheme="minorHAnsi"/>
                <w:sz w:val="22"/>
                <w:szCs w:val="22"/>
              </w:rPr>
              <w:t xml:space="preserve"> </w:t>
            </w:r>
            <w:r w:rsidR="00DB0E39" w:rsidRPr="00DB0E39">
              <w:rPr>
                <w:rFonts w:asciiTheme="minorHAnsi" w:hAnsiTheme="minorHAnsi"/>
                <w:sz w:val="22"/>
                <w:szCs w:val="22"/>
              </w:rPr>
              <w:t>A figurative mark containing letters combines the use of pictures, graphics or images</w:t>
            </w:r>
            <w:r w:rsidR="00DB0E39">
              <w:rPr>
                <w:rFonts w:asciiTheme="minorHAnsi" w:hAnsiTheme="minorHAnsi"/>
                <w:sz w:val="22"/>
                <w:szCs w:val="22"/>
              </w:rPr>
              <w:t xml:space="preserve"> with words or letters</w:t>
            </w:r>
            <w:r>
              <w:rPr>
                <w:rFonts w:asciiTheme="minorHAnsi" w:hAnsiTheme="minorHAnsi"/>
                <w:sz w:val="22"/>
                <w:szCs w:val="22"/>
              </w:rPr>
              <w:t>”</w:t>
            </w:r>
            <w:r w:rsidR="00DB0E39">
              <w:rPr>
                <w:rFonts w:asciiTheme="minorHAnsi" w:hAnsiTheme="minorHAnsi"/>
                <w:sz w:val="22"/>
                <w:szCs w:val="22"/>
              </w:rPr>
              <w:t xml:space="preserve"> </w:t>
            </w:r>
            <w:r w:rsidR="00DB0E39" w:rsidRPr="00F44A6D">
              <w:rPr>
                <w:rFonts w:asciiTheme="minorHAnsi" w:hAnsiTheme="minorHAnsi"/>
                <w:b/>
                <w:sz w:val="22"/>
                <w:szCs w:val="22"/>
              </w:rPr>
              <w:t>(EUIPO)</w:t>
            </w:r>
            <w:r w:rsidR="008E22CA">
              <w:rPr>
                <w:rStyle w:val="FootnoteReference"/>
                <w:rFonts w:asciiTheme="minorHAnsi" w:hAnsiTheme="minorHAnsi"/>
                <w:sz w:val="22"/>
                <w:szCs w:val="22"/>
              </w:rPr>
              <w:footnoteReference w:id="5"/>
            </w:r>
          </w:p>
          <w:p w14:paraId="14120029" w14:textId="77777777" w:rsidR="008C13B6" w:rsidRDefault="008C13B6">
            <w:pPr>
              <w:rPr>
                <w:rFonts w:asciiTheme="minorHAnsi" w:hAnsiTheme="minorHAnsi"/>
                <w:sz w:val="22"/>
                <w:szCs w:val="22"/>
              </w:rPr>
            </w:pPr>
          </w:p>
        </w:tc>
        <w:tc>
          <w:tcPr>
            <w:tcW w:w="3420" w:type="dxa"/>
          </w:tcPr>
          <w:p w14:paraId="624E3948" w14:textId="70DACE81" w:rsidR="0082750F" w:rsidRPr="00A06E19" w:rsidRDefault="00F44A6D" w:rsidP="0082750F">
            <w:pPr>
              <w:rPr>
                <w:rFonts w:asciiTheme="minorHAnsi" w:hAnsiTheme="minorHAnsi"/>
                <w:b/>
                <w:sz w:val="22"/>
                <w:szCs w:val="22"/>
              </w:rPr>
            </w:pPr>
            <w:r w:rsidRPr="00A06E19">
              <w:rPr>
                <w:rFonts w:asciiTheme="minorHAnsi" w:hAnsiTheme="minorHAnsi"/>
                <w:b/>
                <w:sz w:val="22"/>
                <w:szCs w:val="22"/>
              </w:rPr>
              <w:t>From the</w:t>
            </w:r>
            <w:r w:rsidR="00A06E19">
              <w:rPr>
                <w:rFonts w:asciiTheme="minorHAnsi" w:hAnsiTheme="minorHAnsi"/>
                <w:b/>
                <w:sz w:val="22"/>
                <w:szCs w:val="22"/>
              </w:rPr>
              <w:t xml:space="preserve"> EU</w:t>
            </w:r>
            <w:r w:rsidR="00ED330A" w:rsidRPr="00A06E19">
              <w:rPr>
                <w:rFonts w:asciiTheme="minorHAnsi" w:hAnsiTheme="minorHAnsi"/>
                <w:b/>
                <w:sz w:val="22"/>
                <w:szCs w:val="22"/>
              </w:rPr>
              <w:t xml:space="preserve"> Trademark &amp; Design Network’s </w:t>
            </w:r>
            <w:r w:rsidR="0082750F" w:rsidRPr="00A06E19">
              <w:rPr>
                <w:rFonts w:asciiTheme="minorHAnsi" w:hAnsiTheme="minorHAnsi"/>
                <w:b/>
                <w:sz w:val="22"/>
                <w:szCs w:val="22"/>
              </w:rPr>
              <w:t xml:space="preserve">Common Communication </w:t>
            </w:r>
            <w:r w:rsidR="00A04208" w:rsidRPr="00A06E19">
              <w:rPr>
                <w:rFonts w:asciiTheme="minorHAnsi" w:hAnsiTheme="minorHAnsi"/>
                <w:b/>
                <w:sz w:val="22"/>
                <w:szCs w:val="22"/>
              </w:rPr>
              <w:t>on the Practice of Distinctiveness – Figurative Marks Containing Descriptive/Non-Distinctive Words</w:t>
            </w:r>
            <w:r w:rsidR="00411987" w:rsidRPr="00A06E19">
              <w:rPr>
                <w:rStyle w:val="FootnoteReference"/>
                <w:rFonts w:asciiTheme="minorHAnsi" w:hAnsiTheme="minorHAnsi"/>
                <w:b/>
                <w:sz w:val="22"/>
                <w:szCs w:val="22"/>
              </w:rPr>
              <w:footnoteReference w:id="6"/>
            </w:r>
            <w:r w:rsidR="00A04208" w:rsidRPr="00A06E19">
              <w:rPr>
                <w:rFonts w:asciiTheme="minorHAnsi" w:hAnsiTheme="minorHAnsi"/>
                <w:b/>
                <w:sz w:val="22"/>
                <w:szCs w:val="22"/>
              </w:rPr>
              <w:t>:</w:t>
            </w:r>
          </w:p>
          <w:p w14:paraId="69365AE1" w14:textId="77777777" w:rsidR="00A04208" w:rsidRDefault="00A04208" w:rsidP="0082750F">
            <w:pPr>
              <w:rPr>
                <w:rFonts w:asciiTheme="minorHAnsi" w:hAnsiTheme="minorHAnsi"/>
                <w:sz w:val="22"/>
                <w:szCs w:val="22"/>
              </w:rPr>
            </w:pPr>
          </w:p>
          <w:p w14:paraId="5F707C91" w14:textId="496E5A6B" w:rsidR="00A04208" w:rsidRPr="00ED330A" w:rsidRDefault="00A04208" w:rsidP="00ED330A">
            <w:pPr>
              <w:pStyle w:val="ListParagraph"/>
              <w:numPr>
                <w:ilvl w:val="0"/>
                <w:numId w:val="1"/>
              </w:numPr>
              <w:rPr>
                <w:rFonts w:asciiTheme="minorHAnsi" w:hAnsiTheme="minorHAnsi"/>
                <w:sz w:val="22"/>
                <w:szCs w:val="22"/>
              </w:rPr>
            </w:pPr>
            <w:r w:rsidRPr="00ED330A">
              <w:rPr>
                <w:rFonts w:asciiTheme="minorHAnsi" w:hAnsiTheme="minorHAnsi"/>
                <w:sz w:val="22"/>
                <w:szCs w:val="22"/>
              </w:rPr>
              <w:t>Where a figurative mark contains descriptive, non-distinctive</w:t>
            </w:r>
            <w:r w:rsidR="00653192">
              <w:rPr>
                <w:rFonts w:asciiTheme="minorHAnsi" w:hAnsiTheme="minorHAnsi"/>
                <w:sz w:val="22"/>
                <w:szCs w:val="22"/>
              </w:rPr>
              <w:t xml:space="preserve"> text:</w:t>
            </w:r>
            <w:r w:rsidRPr="00ED330A">
              <w:rPr>
                <w:rFonts w:asciiTheme="minorHAnsi" w:hAnsiTheme="minorHAnsi"/>
                <w:sz w:val="22"/>
                <w:szCs w:val="22"/>
              </w:rPr>
              <w:t xml:space="preserve"> m</w:t>
            </w:r>
            <w:r w:rsidR="0082750F" w:rsidRPr="00ED330A">
              <w:rPr>
                <w:rFonts w:asciiTheme="minorHAnsi" w:hAnsiTheme="minorHAnsi"/>
                <w:sz w:val="22"/>
                <w:szCs w:val="22"/>
              </w:rPr>
              <w:t xml:space="preserve">ere stylization, adding a color, or using punctuation marks, simple geometric or commonplace shapes will not render </w:t>
            </w:r>
            <w:r w:rsidRPr="00ED330A">
              <w:rPr>
                <w:rFonts w:asciiTheme="minorHAnsi" w:hAnsiTheme="minorHAnsi"/>
                <w:sz w:val="22"/>
                <w:szCs w:val="22"/>
              </w:rPr>
              <w:t>it</w:t>
            </w:r>
            <w:r w:rsidR="0082750F" w:rsidRPr="00ED330A">
              <w:rPr>
                <w:rFonts w:asciiTheme="minorHAnsi" w:hAnsiTheme="minorHAnsi"/>
                <w:sz w:val="22"/>
                <w:szCs w:val="22"/>
              </w:rPr>
              <w:t xml:space="preserve"> registrable</w:t>
            </w:r>
          </w:p>
          <w:p w14:paraId="726257C9" w14:textId="054B9027" w:rsidR="00A04208" w:rsidRPr="00ED330A" w:rsidRDefault="00A04208" w:rsidP="0082750F">
            <w:pPr>
              <w:pStyle w:val="ListParagraph"/>
              <w:numPr>
                <w:ilvl w:val="0"/>
                <w:numId w:val="1"/>
              </w:numPr>
              <w:rPr>
                <w:rFonts w:asciiTheme="minorHAnsi" w:hAnsiTheme="minorHAnsi"/>
                <w:sz w:val="22"/>
                <w:szCs w:val="22"/>
              </w:rPr>
            </w:pPr>
            <w:r w:rsidRPr="00ED330A">
              <w:rPr>
                <w:rFonts w:asciiTheme="minorHAnsi" w:hAnsiTheme="minorHAnsi"/>
                <w:sz w:val="22"/>
                <w:szCs w:val="22"/>
              </w:rPr>
              <w:t>Where graphic</w:t>
            </w:r>
            <w:r w:rsidR="00653192">
              <w:rPr>
                <w:rFonts w:asciiTheme="minorHAnsi" w:hAnsiTheme="minorHAnsi"/>
                <w:sz w:val="22"/>
                <w:szCs w:val="22"/>
              </w:rPr>
              <w:t>al</w:t>
            </w:r>
            <w:r w:rsidRPr="00ED330A">
              <w:rPr>
                <w:rFonts w:asciiTheme="minorHAnsi" w:hAnsiTheme="minorHAnsi"/>
                <w:sz w:val="22"/>
                <w:szCs w:val="22"/>
              </w:rPr>
              <w:t xml:space="preserve"> elements are incorporated as part of the typeface, the mark is registrable if the graphical elements are sufficient to distract the attention of the consumer from the descriptive meaning of the word element or likely to create a lasting impression of the mark</w:t>
            </w:r>
          </w:p>
          <w:p w14:paraId="36497D9B" w14:textId="179CB898" w:rsidR="0082750F" w:rsidRPr="00ED330A" w:rsidRDefault="00A04208" w:rsidP="00ED330A">
            <w:pPr>
              <w:pStyle w:val="ListParagraph"/>
              <w:numPr>
                <w:ilvl w:val="0"/>
                <w:numId w:val="1"/>
              </w:numPr>
              <w:rPr>
                <w:rFonts w:asciiTheme="minorHAnsi" w:hAnsiTheme="minorHAnsi"/>
                <w:sz w:val="22"/>
                <w:szCs w:val="22"/>
              </w:rPr>
            </w:pPr>
            <w:r w:rsidRPr="00ED330A">
              <w:rPr>
                <w:rFonts w:asciiTheme="minorHAnsi" w:hAnsiTheme="minorHAnsi"/>
                <w:sz w:val="22"/>
                <w:szCs w:val="22"/>
              </w:rPr>
              <w:t>W</w:t>
            </w:r>
            <w:r w:rsidR="0082750F" w:rsidRPr="00ED330A">
              <w:rPr>
                <w:rFonts w:asciiTheme="minorHAnsi" w:hAnsiTheme="minorHAnsi"/>
                <w:sz w:val="22"/>
                <w:szCs w:val="22"/>
              </w:rPr>
              <w:t>here the mark is registrable solely on account of its figurative element, its scope of protection is limited to the overall composition. </w:t>
            </w:r>
          </w:p>
          <w:p w14:paraId="78446E00" w14:textId="77777777" w:rsidR="008C13B6" w:rsidRDefault="008C13B6">
            <w:pPr>
              <w:rPr>
                <w:rFonts w:asciiTheme="minorHAnsi" w:hAnsiTheme="minorHAnsi"/>
                <w:sz w:val="22"/>
                <w:szCs w:val="22"/>
              </w:rPr>
            </w:pPr>
          </w:p>
        </w:tc>
        <w:tc>
          <w:tcPr>
            <w:tcW w:w="2695" w:type="dxa"/>
          </w:tcPr>
          <w:p w14:paraId="119CCF15" w14:textId="2B2CFF21" w:rsidR="008C13B6" w:rsidRDefault="008C13B6">
            <w:pPr>
              <w:rPr>
                <w:rFonts w:asciiTheme="minorHAnsi" w:hAnsiTheme="minorHAnsi"/>
                <w:sz w:val="22"/>
                <w:szCs w:val="22"/>
              </w:rPr>
            </w:pPr>
          </w:p>
        </w:tc>
      </w:tr>
      <w:tr w:rsidR="005F669C" w14:paraId="533F465F" w14:textId="77777777" w:rsidTr="005F669C">
        <w:tc>
          <w:tcPr>
            <w:tcW w:w="1594" w:type="dxa"/>
          </w:tcPr>
          <w:p w14:paraId="557E4805" w14:textId="2FC440F5" w:rsidR="008C13B6" w:rsidRPr="00DA7C88" w:rsidRDefault="009A11D3">
            <w:pPr>
              <w:rPr>
                <w:rFonts w:asciiTheme="minorHAnsi" w:hAnsiTheme="minorHAnsi"/>
                <w:b/>
                <w:sz w:val="22"/>
                <w:szCs w:val="22"/>
              </w:rPr>
            </w:pPr>
            <w:r>
              <w:rPr>
                <w:rFonts w:asciiTheme="minorHAnsi" w:hAnsiTheme="minorHAnsi"/>
                <w:b/>
                <w:sz w:val="22"/>
                <w:szCs w:val="22"/>
              </w:rPr>
              <w:t>Geographical Indication (GI</w:t>
            </w:r>
            <w:r w:rsidR="008C13B6" w:rsidRPr="00DA7C88">
              <w:rPr>
                <w:rFonts w:asciiTheme="minorHAnsi" w:hAnsiTheme="minorHAnsi"/>
                <w:b/>
                <w:sz w:val="22"/>
                <w:szCs w:val="22"/>
              </w:rPr>
              <w:t>)</w:t>
            </w:r>
            <w:r w:rsidR="008C13B6" w:rsidRPr="00DA7C88">
              <w:rPr>
                <w:rStyle w:val="FootnoteReference"/>
                <w:rFonts w:asciiTheme="minorHAnsi" w:hAnsiTheme="minorHAnsi"/>
                <w:b/>
                <w:sz w:val="22"/>
                <w:szCs w:val="22"/>
              </w:rPr>
              <w:footnoteReference w:id="7"/>
            </w:r>
          </w:p>
        </w:tc>
        <w:tc>
          <w:tcPr>
            <w:tcW w:w="5241" w:type="dxa"/>
          </w:tcPr>
          <w:p w14:paraId="689DD44F" w14:textId="4723A425" w:rsidR="008C13B6" w:rsidRPr="00F44A6D" w:rsidRDefault="00653192" w:rsidP="00262765">
            <w:pPr>
              <w:rPr>
                <w:rFonts w:asciiTheme="minorHAnsi" w:hAnsiTheme="minorHAnsi"/>
                <w:b/>
                <w:sz w:val="22"/>
                <w:szCs w:val="22"/>
              </w:rPr>
            </w:pPr>
            <w:r>
              <w:rPr>
                <w:rFonts w:asciiTheme="minorHAnsi" w:hAnsiTheme="minorHAnsi"/>
                <w:sz w:val="22"/>
                <w:szCs w:val="22"/>
              </w:rPr>
              <w:t>“</w:t>
            </w:r>
            <w:r w:rsidR="00DB0E39">
              <w:rPr>
                <w:rFonts w:asciiTheme="minorHAnsi" w:hAnsiTheme="minorHAnsi"/>
                <w:sz w:val="22"/>
                <w:szCs w:val="22"/>
              </w:rPr>
              <w:t>I</w:t>
            </w:r>
            <w:r w:rsidR="008C13B6" w:rsidRPr="00262765">
              <w:rPr>
                <w:rFonts w:asciiTheme="minorHAnsi" w:hAnsiTheme="minorHAnsi"/>
                <w:sz w:val="22"/>
                <w:szCs w:val="22"/>
              </w:rPr>
              <w:t xml:space="preserve">ndications which identify a good as originating in the territory of a </w:t>
            </w:r>
            <w:r>
              <w:rPr>
                <w:rFonts w:asciiTheme="minorHAnsi" w:hAnsiTheme="minorHAnsi"/>
                <w:sz w:val="22"/>
                <w:szCs w:val="22"/>
              </w:rPr>
              <w:t xml:space="preserve">[WTO] </w:t>
            </w:r>
            <w:r w:rsidR="008C13B6" w:rsidRPr="00262765">
              <w:rPr>
                <w:rFonts w:asciiTheme="minorHAnsi" w:hAnsiTheme="minorHAnsi"/>
                <w:sz w:val="22"/>
                <w:szCs w:val="22"/>
              </w:rPr>
              <w:t>Member, or a region or locality in that territory, where a given quality, reputation or other characteristic of the good is essentially attribut</w:t>
            </w:r>
            <w:r w:rsidR="00DB0E39">
              <w:rPr>
                <w:rFonts w:asciiTheme="minorHAnsi" w:hAnsiTheme="minorHAnsi"/>
                <w:sz w:val="22"/>
                <w:szCs w:val="22"/>
              </w:rPr>
              <w:t>able to its geographical origin</w:t>
            </w:r>
            <w:r>
              <w:rPr>
                <w:rFonts w:asciiTheme="minorHAnsi" w:hAnsiTheme="minorHAnsi"/>
                <w:sz w:val="22"/>
                <w:szCs w:val="22"/>
              </w:rPr>
              <w:t>”</w:t>
            </w:r>
            <w:r w:rsidR="008C13B6">
              <w:rPr>
                <w:rFonts w:asciiTheme="minorHAnsi" w:hAnsiTheme="minorHAnsi"/>
                <w:sz w:val="22"/>
                <w:szCs w:val="22"/>
              </w:rPr>
              <w:t xml:space="preserve"> </w:t>
            </w:r>
            <w:r w:rsidR="008C13B6" w:rsidRPr="00F44A6D">
              <w:rPr>
                <w:rFonts w:asciiTheme="minorHAnsi" w:hAnsiTheme="minorHAnsi"/>
                <w:b/>
                <w:sz w:val="22"/>
                <w:szCs w:val="22"/>
              </w:rPr>
              <w:t>(Article 22(1), WTO-TRIPS</w:t>
            </w:r>
            <w:r w:rsidR="0036527F" w:rsidRPr="00F44A6D">
              <w:rPr>
                <w:rStyle w:val="FootnoteReference"/>
                <w:rFonts w:asciiTheme="minorHAnsi" w:hAnsiTheme="minorHAnsi"/>
                <w:b/>
                <w:sz w:val="22"/>
                <w:szCs w:val="22"/>
              </w:rPr>
              <w:footnoteReference w:id="8"/>
            </w:r>
            <w:r w:rsidR="008C13B6" w:rsidRPr="00F44A6D">
              <w:rPr>
                <w:rFonts w:asciiTheme="minorHAnsi" w:hAnsiTheme="minorHAnsi"/>
                <w:b/>
                <w:sz w:val="22"/>
                <w:szCs w:val="22"/>
              </w:rPr>
              <w:t>)</w:t>
            </w:r>
          </w:p>
          <w:p w14:paraId="09E6DB81" w14:textId="77777777" w:rsidR="008C13B6" w:rsidRDefault="008C13B6">
            <w:pPr>
              <w:rPr>
                <w:rFonts w:asciiTheme="minorHAnsi" w:hAnsiTheme="minorHAnsi"/>
                <w:sz w:val="22"/>
                <w:szCs w:val="22"/>
              </w:rPr>
            </w:pPr>
          </w:p>
        </w:tc>
        <w:tc>
          <w:tcPr>
            <w:tcW w:w="3420" w:type="dxa"/>
          </w:tcPr>
          <w:p w14:paraId="288A47A0" w14:textId="0D2061FC" w:rsidR="008C13B6" w:rsidRDefault="00421D9E">
            <w:pPr>
              <w:rPr>
                <w:rFonts w:asciiTheme="minorHAnsi" w:hAnsiTheme="minorHAnsi"/>
                <w:sz w:val="22"/>
                <w:szCs w:val="22"/>
              </w:rPr>
            </w:pPr>
            <w:r>
              <w:rPr>
                <w:rFonts w:asciiTheme="minorHAnsi" w:hAnsiTheme="minorHAnsi"/>
                <w:sz w:val="22"/>
                <w:szCs w:val="22"/>
              </w:rPr>
              <w:t>Under WTO-TRIPS, Member States are obliged to prevent</w:t>
            </w:r>
            <w:r>
              <w:rPr>
                <w:rStyle w:val="FootnoteReference"/>
                <w:rFonts w:asciiTheme="minorHAnsi" w:hAnsiTheme="minorHAnsi"/>
                <w:sz w:val="22"/>
                <w:szCs w:val="22"/>
              </w:rPr>
              <w:footnoteReference w:id="9"/>
            </w:r>
            <w:r>
              <w:rPr>
                <w:rFonts w:asciiTheme="minorHAnsi" w:hAnsiTheme="minorHAnsi"/>
                <w:sz w:val="22"/>
                <w:szCs w:val="22"/>
              </w:rPr>
              <w:t>:</w:t>
            </w:r>
          </w:p>
          <w:p w14:paraId="217C0FBF" w14:textId="54ABD760" w:rsidR="00421D9E" w:rsidRPr="00ED330A" w:rsidRDefault="00421D9E" w:rsidP="00ED330A">
            <w:pPr>
              <w:pStyle w:val="ListParagraph"/>
              <w:numPr>
                <w:ilvl w:val="0"/>
                <w:numId w:val="2"/>
              </w:numPr>
              <w:rPr>
                <w:rFonts w:asciiTheme="minorHAnsi" w:hAnsiTheme="minorHAnsi"/>
                <w:sz w:val="22"/>
                <w:szCs w:val="22"/>
              </w:rPr>
            </w:pPr>
            <w:r w:rsidRPr="00ED330A">
              <w:rPr>
                <w:rFonts w:asciiTheme="minorHAnsi" w:hAnsiTheme="minorHAnsi"/>
                <w:sz w:val="22"/>
                <w:szCs w:val="22"/>
              </w:rPr>
              <w:t>the use of any means in the designation or presentation of a good that indicates or suggests that the good in question originates in a geographical area other than the true place of origin in a manner which misleads the public as to the geographical origin of the good; and </w:t>
            </w:r>
          </w:p>
          <w:p w14:paraId="2F74C4AA" w14:textId="7CDFA82B" w:rsidR="00421D9E" w:rsidRPr="00ED330A" w:rsidRDefault="00421D9E" w:rsidP="00ED330A">
            <w:pPr>
              <w:pStyle w:val="ListParagraph"/>
              <w:numPr>
                <w:ilvl w:val="0"/>
                <w:numId w:val="2"/>
              </w:numPr>
              <w:rPr>
                <w:rFonts w:asciiTheme="minorHAnsi" w:hAnsiTheme="minorHAnsi"/>
                <w:sz w:val="22"/>
                <w:szCs w:val="22"/>
              </w:rPr>
            </w:pPr>
            <w:bookmarkStart w:id="0" w:name="art22_2_b"/>
            <w:bookmarkStart w:id="1" w:name="art222b"/>
            <w:bookmarkEnd w:id="0"/>
            <w:bookmarkEnd w:id="1"/>
            <w:r w:rsidRPr="00ED330A">
              <w:rPr>
                <w:rFonts w:asciiTheme="minorHAnsi" w:hAnsiTheme="minorHAnsi"/>
                <w:sz w:val="22"/>
                <w:szCs w:val="22"/>
              </w:rPr>
              <w:t>any use which constitutes an act of unfair competition within the meaning of Article 10bis of the Paris Convention (1967).</w:t>
            </w:r>
          </w:p>
          <w:p w14:paraId="6087889A" w14:textId="77777777" w:rsidR="00421D9E" w:rsidRDefault="00421D9E">
            <w:pPr>
              <w:rPr>
                <w:rFonts w:asciiTheme="minorHAnsi" w:hAnsiTheme="minorHAnsi"/>
                <w:sz w:val="22"/>
                <w:szCs w:val="22"/>
              </w:rPr>
            </w:pPr>
          </w:p>
        </w:tc>
        <w:tc>
          <w:tcPr>
            <w:tcW w:w="2695" w:type="dxa"/>
          </w:tcPr>
          <w:p w14:paraId="787FA08D" w14:textId="743CEE1B" w:rsidR="008C13B6" w:rsidRDefault="008C13B6">
            <w:pPr>
              <w:rPr>
                <w:rFonts w:asciiTheme="minorHAnsi" w:hAnsiTheme="minorHAnsi"/>
                <w:sz w:val="22"/>
                <w:szCs w:val="22"/>
              </w:rPr>
            </w:pPr>
          </w:p>
        </w:tc>
      </w:tr>
      <w:tr w:rsidR="00F30FD1" w14:paraId="00433DAA" w14:textId="77777777" w:rsidTr="005F669C">
        <w:tc>
          <w:tcPr>
            <w:tcW w:w="1594" w:type="dxa"/>
          </w:tcPr>
          <w:p w14:paraId="418281EC" w14:textId="2EA1533D" w:rsidR="00F30FD1" w:rsidRDefault="00F30FD1">
            <w:pPr>
              <w:rPr>
                <w:rFonts w:asciiTheme="minorHAnsi" w:hAnsiTheme="minorHAnsi"/>
                <w:b/>
                <w:sz w:val="22"/>
                <w:szCs w:val="22"/>
              </w:rPr>
            </w:pPr>
            <w:r>
              <w:rPr>
                <w:rFonts w:asciiTheme="minorHAnsi" w:hAnsiTheme="minorHAnsi"/>
                <w:b/>
                <w:sz w:val="22"/>
                <w:szCs w:val="22"/>
              </w:rPr>
              <w:t>Mark</w:t>
            </w:r>
          </w:p>
        </w:tc>
        <w:tc>
          <w:tcPr>
            <w:tcW w:w="5241" w:type="dxa"/>
          </w:tcPr>
          <w:p w14:paraId="49A8C4F5" w14:textId="393530FC" w:rsidR="00F30FD1" w:rsidRDefault="00F30FD1" w:rsidP="00F30FD1">
            <w:pPr>
              <w:rPr>
                <w:rFonts w:asciiTheme="minorHAnsi" w:hAnsiTheme="minorHAnsi"/>
                <w:sz w:val="22"/>
                <w:szCs w:val="22"/>
              </w:rPr>
            </w:pPr>
            <w:r w:rsidRPr="00F30FD1">
              <w:rPr>
                <w:rFonts w:asciiTheme="minorHAnsi" w:hAnsiTheme="minorHAnsi"/>
                <w:b/>
                <w:sz w:val="22"/>
                <w:szCs w:val="22"/>
              </w:rPr>
              <w:t>USA:</w:t>
            </w:r>
            <w:r>
              <w:rPr>
                <w:rFonts w:asciiTheme="minorHAnsi" w:hAnsiTheme="minorHAnsi"/>
                <w:sz w:val="22"/>
                <w:szCs w:val="22"/>
              </w:rPr>
              <w:t xml:space="preserve"> “</w:t>
            </w:r>
            <w:r w:rsidRPr="00F30FD1">
              <w:rPr>
                <w:rFonts w:asciiTheme="minorHAnsi" w:hAnsiTheme="minorHAnsi"/>
                <w:sz w:val="22"/>
                <w:szCs w:val="22"/>
              </w:rPr>
              <w:t>The term “mark” includes any trademark, service mark, collective mark, or certification mark</w:t>
            </w:r>
            <w:r>
              <w:rPr>
                <w:rFonts w:asciiTheme="minorHAnsi" w:hAnsiTheme="minorHAnsi"/>
                <w:sz w:val="22"/>
                <w:szCs w:val="22"/>
              </w:rPr>
              <w:t>”</w:t>
            </w:r>
          </w:p>
          <w:p w14:paraId="04B86222" w14:textId="77777777" w:rsidR="00F30FD1" w:rsidRDefault="00F30FD1" w:rsidP="00F30FD1">
            <w:pPr>
              <w:rPr>
                <w:rFonts w:asciiTheme="minorHAnsi" w:hAnsiTheme="minorHAnsi"/>
                <w:sz w:val="22"/>
                <w:szCs w:val="22"/>
              </w:rPr>
            </w:pPr>
          </w:p>
          <w:p w14:paraId="30995BB7" w14:textId="0F3D851F" w:rsidR="00F30FD1" w:rsidRDefault="00F30FD1" w:rsidP="00F30FD1">
            <w:pPr>
              <w:rPr>
                <w:rFonts w:asciiTheme="minorHAnsi" w:hAnsiTheme="minorHAnsi"/>
                <w:sz w:val="22"/>
                <w:szCs w:val="22"/>
              </w:rPr>
            </w:pPr>
            <w:r w:rsidRPr="00F30FD1">
              <w:rPr>
                <w:rFonts w:asciiTheme="minorHAnsi" w:hAnsiTheme="minorHAnsi"/>
                <w:b/>
                <w:sz w:val="22"/>
                <w:szCs w:val="22"/>
              </w:rPr>
              <w:t>Malaysia:</w:t>
            </w:r>
            <w:r>
              <w:rPr>
                <w:rFonts w:asciiTheme="minorHAnsi" w:hAnsiTheme="minorHAnsi"/>
                <w:sz w:val="22"/>
                <w:szCs w:val="22"/>
              </w:rPr>
              <w:t xml:space="preserve"> The term mark </w:t>
            </w:r>
            <w:r w:rsidRPr="00F30FD1">
              <w:rPr>
                <w:rFonts w:asciiTheme="minorHAnsi" w:hAnsiTheme="minorHAnsi"/>
                <w:sz w:val="22"/>
                <w:szCs w:val="22"/>
              </w:rPr>
              <w:t>“include</w:t>
            </w:r>
            <w:r>
              <w:rPr>
                <w:rFonts w:asciiTheme="minorHAnsi" w:hAnsiTheme="minorHAnsi"/>
                <w:sz w:val="22"/>
                <w:szCs w:val="22"/>
              </w:rPr>
              <w:t>s</w:t>
            </w:r>
            <w:r w:rsidRPr="00F30FD1">
              <w:rPr>
                <w:rFonts w:asciiTheme="minorHAnsi" w:hAnsiTheme="minorHAnsi"/>
                <w:sz w:val="22"/>
                <w:szCs w:val="22"/>
              </w:rPr>
              <w:t xml:space="preserve"> a device, brand, heading, label, ticket, name, signature, word, letter, numeral or any combination thereof”</w:t>
            </w:r>
          </w:p>
          <w:p w14:paraId="4628BCD8" w14:textId="77777777" w:rsidR="00F30FD1" w:rsidRDefault="00F30FD1" w:rsidP="00F30FD1">
            <w:pPr>
              <w:rPr>
                <w:rFonts w:asciiTheme="minorHAnsi" w:hAnsiTheme="minorHAnsi"/>
                <w:sz w:val="22"/>
                <w:szCs w:val="22"/>
              </w:rPr>
            </w:pPr>
          </w:p>
          <w:p w14:paraId="23E1885B" w14:textId="0DB73295" w:rsidR="00F30FD1" w:rsidRPr="00F30FD1" w:rsidRDefault="00F30FD1" w:rsidP="00F30FD1">
            <w:pPr>
              <w:ind w:left="720"/>
              <w:rPr>
                <w:rFonts w:asciiTheme="minorHAnsi" w:hAnsiTheme="minorHAnsi"/>
                <w:sz w:val="22"/>
                <w:szCs w:val="22"/>
              </w:rPr>
            </w:pPr>
            <w:r w:rsidRPr="00F30FD1">
              <w:rPr>
                <w:rFonts w:asciiTheme="minorHAnsi" w:hAnsiTheme="minorHAnsi"/>
                <w:sz w:val="22"/>
                <w:szCs w:val="22"/>
                <w:u w:val="single"/>
              </w:rPr>
              <w:t>NOTE</w:t>
            </w:r>
            <w:r>
              <w:rPr>
                <w:rFonts w:asciiTheme="minorHAnsi" w:hAnsiTheme="minorHAnsi"/>
                <w:sz w:val="22"/>
                <w:szCs w:val="22"/>
              </w:rPr>
              <w:t>: The Malaysian definition is taken from the old UK law, which contained a similar definition. Singapore and Hong Kong law also used to contain this definition, but they have since updated their trademark legislation which now uses the word “sign”, as does the UK law.</w:t>
            </w:r>
          </w:p>
          <w:p w14:paraId="46BF0404" w14:textId="7E0312A4" w:rsidR="00F30FD1" w:rsidRPr="005D0FF8" w:rsidRDefault="00F30FD1">
            <w:pPr>
              <w:rPr>
                <w:rFonts w:asciiTheme="minorHAnsi" w:hAnsiTheme="minorHAnsi"/>
                <w:sz w:val="22"/>
                <w:szCs w:val="22"/>
              </w:rPr>
            </w:pPr>
          </w:p>
        </w:tc>
        <w:tc>
          <w:tcPr>
            <w:tcW w:w="3420" w:type="dxa"/>
          </w:tcPr>
          <w:p w14:paraId="2909D9A8" w14:textId="77777777" w:rsidR="00F30FD1" w:rsidRDefault="00F30FD1">
            <w:pPr>
              <w:rPr>
                <w:rFonts w:asciiTheme="minorHAnsi" w:hAnsiTheme="minorHAnsi"/>
                <w:sz w:val="22"/>
                <w:szCs w:val="22"/>
              </w:rPr>
            </w:pPr>
          </w:p>
        </w:tc>
        <w:tc>
          <w:tcPr>
            <w:tcW w:w="2695" w:type="dxa"/>
          </w:tcPr>
          <w:p w14:paraId="79EFD174" w14:textId="77777777" w:rsidR="00F30FD1" w:rsidRDefault="00F30FD1">
            <w:pPr>
              <w:rPr>
                <w:rFonts w:asciiTheme="minorHAnsi" w:hAnsiTheme="minorHAnsi"/>
                <w:sz w:val="22"/>
                <w:szCs w:val="22"/>
              </w:rPr>
            </w:pPr>
          </w:p>
        </w:tc>
      </w:tr>
      <w:tr w:rsidR="005F669C" w14:paraId="2CEECD8E" w14:textId="77777777" w:rsidTr="005F669C">
        <w:tc>
          <w:tcPr>
            <w:tcW w:w="1594" w:type="dxa"/>
          </w:tcPr>
          <w:p w14:paraId="390BAA1C" w14:textId="546F4562" w:rsidR="008C13B6" w:rsidRPr="00DA7C88" w:rsidRDefault="005D0FF8">
            <w:pPr>
              <w:rPr>
                <w:rFonts w:asciiTheme="minorHAnsi" w:hAnsiTheme="minorHAnsi"/>
                <w:b/>
                <w:sz w:val="22"/>
                <w:szCs w:val="22"/>
              </w:rPr>
            </w:pPr>
            <w:r>
              <w:rPr>
                <w:rFonts w:asciiTheme="minorHAnsi" w:hAnsiTheme="minorHAnsi"/>
                <w:b/>
                <w:sz w:val="22"/>
                <w:szCs w:val="22"/>
              </w:rPr>
              <w:t xml:space="preserve">Service </w:t>
            </w:r>
            <w:r w:rsidR="008C13B6" w:rsidRPr="00DA7C88">
              <w:rPr>
                <w:rFonts w:asciiTheme="minorHAnsi" w:hAnsiTheme="minorHAnsi"/>
                <w:b/>
                <w:sz w:val="22"/>
                <w:szCs w:val="22"/>
              </w:rPr>
              <w:t>Mark</w:t>
            </w:r>
          </w:p>
        </w:tc>
        <w:tc>
          <w:tcPr>
            <w:tcW w:w="5241" w:type="dxa"/>
          </w:tcPr>
          <w:p w14:paraId="3DA03E60" w14:textId="08E2B5C1" w:rsidR="00F30FD1" w:rsidRPr="00F30FD1" w:rsidRDefault="00F30FD1" w:rsidP="00F30FD1">
            <w:pPr>
              <w:rPr>
                <w:rFonts w:asciiTheme="minorHAnsi" w:hAnsiTheme="minorHAnsi"/>
                <w:sz w:val="22"/>
                <w:szCs w:val="22"/>
              </w:rPr>
            </w:pPr>
            <w:r w:rsidRPr="00F30FD1">
              <w:rPr>
                <w:rFonts w:asciiTheme="minorHAnsi" w:hAnsiTheme="minorHAnsi"/>
                <w:b/>
                <w:sz w:val="22"/>
                <w:szCs w:val="22"/>
              </w:rPr>
              <w:t xml:space="preserve">USA: </w:t>
            </w:r>
            <w:r>
              <w:rPr>
                <w:rFonts w:asciiTheme="minorHAnsi" w:hAnsiTheme="minorHAnsi"/>
                <w:b/>
                <w:sz w:val="22"/>
                <w:szCs w:val="22"/>
              </w:rPr>
              <w:t>“</w:t>
            </w:r>
            <w:r w:rsidRPr="00F30FD1">
              <w:rPr>
                <w:rFonts w:asciiTheme="minorHAnsi" w:hAnsiTheme="minorHAnsi"/>
                <w:sz w:val="22"/>
                <w:szCs w:val="22"/>
              </w:rPr>
              <w:t>The term “service mark” means any word, name, symbol, or device, or any combination thereof—</w:t>
            </w:r>
          </w:p>
          <w:p w14:paraId="4785D0F3" w14:textId="77777777" w:rsidR="00F30FD1" w:rsidRPr="00F30FD1" w:rsidRDefault="00F30FD1" w:rsidP="00F30FD1">
            <w:pPr>
              <w:ind w:left="720"/>
              <w:rPr>
                <w:rFonts w:asciiTheme="minorHAnsi" w:hAnsiTheme="minorHAnsi"/>
                <w:sz w:val="22"/>
                <w:szCs w:val="22"/>
              </w:rPr>
            </w:pPr>
            <w:r w:rsidRPr="00F30FD1">
              <w:rPr>
                <w:rFonts w:asciiTheme="minorHAnsi" w:hAnsiTheme="minorHAnsi"/>
                <w:sz w:val="22"/>
                <w:szCs w:val="22"/>
              </w:rPr>
              <w:t>(1) used by a person, or</w:t>
            </w:r>
          </w:p>
          <w:p w14:paraId="73ADDF94" w14:textId="77777777" w:rsidR="00F30FD1" w:rsidRPr="00F30FD1" w:rsidRDefault="00F30FD1" w:rsidP="00F30FD1">
            <w:pPr>
              <w:ind w:left="720"/>
              <w:rPr>
                <w:rFonts w:asciiTheme="minorHAnsi" w:hAnsiTheme="minorHAnsi"/>
                <w:sz w:val="22"/>
                <w:szCs w:val="22"/>
              </w:rPr>
            </w:pPr>
            <w:r w:rsidRPr="00F30FD1">
              <w:rPr>
                <w:rFonts w:asciiTheme="minorHAnsi" w:hAnsiTheme="minorHAnsi"/>
                <w:sz w:val="22"/>
                <w:szCs w:val="22"/>
              </w:rPr>
              <w:t>(2) which a person has a bona fide intention to use in commerce and applies to register on the principal register established by this chapter,</w:t>
            </w:r>
          </w:p>
          <w:p w14:paraId="706720C8" w14:textId="1F37C2B4" w:rsidR="00F30FD1" w:rsidRPr="00F30FD1" w:rsidRDefault="00F30FD1" w:rsidP="00F30FD1">
            <w:pPr>
              <w:rPr>
                <w:rFonts w:asciiTheme="minorHAnsi" w:hAnsiTheme="minorHAnsi"/>
                <w:sz w:val="22"/>
                <w:szCs w:val="22"/>
              </w:rPr>
            </w:pPr>
            <w:r w:rsidRPr="00F30FD1">
              <w:rPr>
                <w:rFonts w:asciiTheme="minorHAnsi" w:hAnsiTheme="minorHAnsi"/>
                <w:sz w:val="22"/>
                <w:szCs w:val="22"/>
              </w:rPr>
              <w:t>to identify and distinguish the services of one person, including a unique service, from the services of others and to indicate the source of the services, even if that source is unknown. Titles, character names, and other distinctive features of radio or television programs may be registered as service marks notwithstanding that they, or the programs, may advertise the goods of the sponsor.</w:t>
            </w:r>
            <w:r>
              <w:rPr>
                <w:rFonts w:asciiTheme="minorHAnsi" w:hAnsiTheme="minorHAnsi"/>
                <w:sz w:val="22"/>
                <w:szCs w:val="22"/>
              </w:rPr>
              <w:t>”</w:t>
            </w:r>
          </w:p>
          <w:p w14:paraId="0F89C8FE" w14:textId="07DB6071" w:rsidR="005D0FF8" w:rsidRDefault="005D0FF8" w:rsidP="00F30FD1">
            <w:pPr>
              <w:rPr>
                <w:rFonts w:asciiTheme="minorHAnsi" w:hAnsiTheme="minorHAnsi"/>
                <w:sz w:val="22"/>
                <w:szCs w:val="22"/>
              </w:rPr>
            </w:pPr>
          </w:p>
        </w:tc>
        <w:tc>
          <w:tcPr>
            <w:tcW w:w="3420" w:type="dxa"/>
          </w:tcPr>
          <w:p w14:paraId="060F8C1F" w14:textId="77777777" w:rsidR="00F30FD1" w:rsidRDefault="00F30FD1" w:rsidP="00F30FD1">
            <w:pPr>
              <w:rPr>
                <w:rFonts w:asciiTheme="minorHAnsi" w:hAnsiTheme="minorHAnsi"/>
                <w:sz w:val="22"/>
                <w:szCs w:val="22"/>
              </w:rPr>
            </w:pPr>
            <w:r>
              <w:rPr>
                <w:rFonts w:asciiTheme="minorHAnsi" w:hAnsiTheme="minorHAnsi"/>
                <w:sz w:val="22"/>
                <w:szCs w:val="22"/>
              </w:rPr>
              <w:t>Generally,</w:t>
            </w:r>
            <w:r w:rsidRPr="005D0FF8">
              <w:rPr>
                <w:rFonts w:asciiTheme="minorHAnsi" w:hAnsiTheme="minorHAnsi"/>
                <w:sz w:val="22"/>
                <w:szCs w:val="22"/>
              </w:rPr>
              <w:t xml:space="preserve"> </w:t>
            </w:r>
            <w:r>
              <w:rPr>
                <w:rFonts w:asciiTheme="minorHAnsi" w:hAnsiTheme="minorHAnsi"/>
                <w:sz w:val="22"/>
                <w:szCs w:val="22"/>
              </w:rPr>
              <w:t xml:space="preserve">a </w:t>
            </w:r>
            <w:r w:rsidRPr="005D0FF8">
              <w:rPr>
                <w:rFonts w:asciiTheme="minorHAnsi" w:hAnsiTheme="minorHAnsi"/>
                <w:sz w:val="22"/>
                <w:szCs w:val="22"/>
              </w:rPr>
              <w:t xml:space="preserve">service mark is the same as a trademark, except that it identifies and distinguishes the source of a service rather than goods. </w:t>
            </w:r>
          </w:p>
          <w:p w14:paraId="48BB00D2" w14:textId="77777777" w:rsidR="008C13B6" w:rsidRDefault="008C13B6">
            <w:pPr>
              <w:rPr>
                <w:rFonts w:asciiTheme="minorHAnsi" w:hAnsiTheme="minorHAnsi"/>
                <w:sz w:val="22"/>
                <w:szCs w:val="22"/>
              </w:rPr>
            </w:pPr>
          </w:p>
        </w:tc>
        <w:tc>
          <w:tcPr>
            <w:tcW w:w="2695" w:type="dxa"/>
          </w:tcPr>
          <w:p w14:paraId="33F0836D" w14:textId="73601964" w:rsidR="008C13B6" w:rsidRDefault="008C13B6">
            <w:pPr>
              <w:rPr>
                <w:rFonts w:asciiTheme="minorHAnsi" w:hAnsiTheme="minorHAnsi"/>
                <w:sz w:val="22"/>
                <w:szCs w:val="22"/>
              </w:rPr>
            </w:pPr>
          </w:p>
        </w:tc>
      </w:tr>
      <w:tr w:rsidR="005F669C" w14:paraId="5CCB4C30" w14:textId="77777777" w:rsidTr="005F669C">
        <w:tc>
          <w:tcPr>
            <w:tcW w:w="1594" w:type="dxa"/>
          </w:tcPr>
          <w:p w14:paraId="60509C12" w14:textId="77777777" w:rsidR="008C13B6" w:rsidRPr="00DA7C88" w:rsidRDefault="008C13B6">
            <w:pPr>
              <w:rPr>
                <w:rFonts w:asciiTheme="minorHAnsi" w:hAnsiTheme="minorHAnsi"/>
                <w:b/>
                <w:sz w:val="22"/>
                <w:szCs w:val="22"/>
              </w:rPr>
            </w:pPr>
            <w:r w:rsidRPr="00DA7C88">
              <w:rPr>
                <w:rFonts w:asciiTheme="minorHAnsi" w:hAnsiTheme="minorHAnsi"/>
                <w:b/>
                <w:sz w:val="22"/>
                <w:szCs w:val="22"/>
              </w:rPr>
              <w:t>Standard Character Mark</w:t>
            </w:r>
          </w:p>
        </w:tc>
        <w:tc>
          <w:tcPr>
            <w:tcW w:w="5241" w:type="dxa"/>
          </w:tcPr>
          <w:p w14:paraId="3E9FA609" w14:textId="15310F32" w:rsidR="00BD2922" w:rsidRPr="00BD2922" w:rsidRDefault="00BD2922" w:rsidP="005E44E8">
            <w:pPr>
              <w:rPr>
                <w:rFonts w:asciiTheme="minorHAnsi" w:hAnsiTheme="minorHAnsi"/>
                <w:sz w:val="22"/>
                <w:szCs w:val="22"/>
              </w:rPr>
            </w:pPr>
            <w:r w:rsidRPr="00BD2922">
              <w:rPr>
                <w:rFonts w:asciiTheme="minorHAnsi" w:hAnsiTheme="minorHAnsi"/>
                <w:b/>
                <w:sz w:val="22"/>
                <w:szCs w:val="22"/>
              </w:rPr>
              <w:t>USA:</w:t>
            </w:r>
            <w:r>
              <w:rPr>
                <w:rFonts w:asciiTheme="minorHAnsi" w:hAnsiTheme="minorHAnsi"/>
                <w:b/>
                <w:sz w:val="22"/>
                <w:szCs w:val="22"/>
              </w:rPr>
              <w:t xml:space="preserve"> </w:t>
            </w:r>
            <w:r>
              <w:rPr>
                <w:rFonts w:asciiTheme="minorHAnsi" w:hAnsiTheme="minorHAnsi"/>
                <w:sz w:val="22"/>
                <w:szCs w:val="22"/>
              </w:rPr>
              <w:t xml:space="preserve">Marks comprising </w:t>
            </w:r>
            <w:r w:rsidRPr="00BD2922">
              <w:rPr>
                <w:rFonts w:asciiTheme="minorHAnsi" w:hAnsiTheme="minorHAnsi"/>
                <w:sz w:val="22"/>
                <w:szCs w:val="22"/>
              </w:rPr>
              <w:t>words, letters, numbers, or any combination thereof without claim to any particular font style, size, or color </w:t>
            </w:r>
            <w:r>
              <w:rPr>
                <w:rFonts w:asciiTheme="minorHAnsi" w:hAnsiTheme="minorHAnsi"/>
                <w:sz w:val="22"/>
                <w:szCs w:val="22"/>
              </w:rPr>
              <w:t>cannot include a design element</w:t>
            </w:r>
            <w:r w:rsidR="00A06E19">
              <w:rPr>
                <w:rFonts w:asciiTheme="minorHAnsi" w:hAnsiTheme="minorHAnsi"/>
                <w:sz w:val="22"/>
                <w:szCs w:val="22"/>
              </w:rPr>
              <w:t>.</w:t>
            </w:r>
          </w:p>
          <w:p w14:paraId="74D19F3D" w14:textId="77777777" w:rsidR="00F44A6D" w:rsidRDefault="00F44A6D" w:rsidP="005E44E8">
            <w:pPr>
              <w:rPr>
                <w:rFonts w:asciiTheme="minorHAnsi" w:hAnsiTheme="minorHAnsi"/>
                <w:sz w:val="22"/>
                <w:szCs w:val="22"/>
              </w:rPr>
            </w:pPr>
          </w:p>
          <w:p w14:paraId="54048B94" w14:textId="35341C6F" w:rsidR="00BD2922" w:rsidRDefault="00BD2922" w:rsidP="005E44E8">
            <w:pPr>
              <w:rPr>
                <w:rFonts w:asciiTheme="minorHAnsi" w:hAnsiTheme="minorHAnsi"/>
                <w:sz w:val="22"/>
                <w:szCs w:val="22"/>
              </w:rPr>
            </w:pPr>
            <w:r>
              <w:rPr>
                <w:rFonts w:asciiTheme="minorHAnsi" w:hAnsiTheme="minorHAnsi"/>
                <w:sz w:val="22"/>
                <w:szCs w:val="22"/>
              </w:rPr>
              <w:t>USPTO Trademark Basics:</w:t>
            </w:r>
          </w:p>
          <w:p w14:paraId="5C6CA243" w14:textId="78AD1A95" w:rsidR="005E44E8" w:rsidRPr="005E44E8" w:rsidRDefault="005E44E8" w:rsidP="00BD2922">
            <w:pPr>
              <w:ind w:left="720"/>
              <w:rPr>
                <w:rFonts w:asciiTheme="minorHAnsi" w:hAnsiTheme="minorHAnsi"/>
                <w:sz w:val="22"/>
                <w:szCs w:val="22"/>
              </w:rPr>
            </w:pPr>
            <w:r>
              <w:rPr>
                <w:rFonts w:asciiTheme="minorHAnsi" w:hAnsiTheme="minorHAnsi"/>
                <w:sz w:val="22"/>
                <w:szCs w:val="22"/>
              </w:rPr>
              <w:t>“</w:t>
            </w:r>
            <w:r w:rsidRPr="005E44E8">
              <w:rPr>
                <w:rFonts w:asciiTheme="minorHAnsi" w:hAnsiTheme="minorHAnsi"/>
                <w:sz w:val="22"/>
                <w:szCs w:val="22"/>
              </w:rPr>
              <w:t>The standard character format means you are able to type your mark into the designated field on the electronic filing form by using characters found within the </w:t>
            </w:r>
            <w:hyperlink r:id="rId7" w:history="1">
              <w:r w:rsidRPr="005E44E8">
                <w:rPr>
                  <w:rStyle w:val="Hyperlink"/>
                  <w:rFonts w:asciiTheme="minorHAnsi" w:hAnsiTheme="minorHAnsi"/>
                  <w:b/>
                  <w:bCs/>
                  <w:sz w:val="22"/>
                  <w:szCs w:val="22"/>
                </w:rPr>
                <w:t>standard character set</w:t>
              </w:r>
            </w:hyperlink>
            <w:r w:rsidRPr="005E44E8">
              <w:rPr>
                <w:rFonts w:asciiTheme="minorHAnsi" w:hAnsiTheme="minorHAnsi"/>
                <w:sz w:val="22"/>
                <w:szCs w:val="22"/>
              </w:rPr>
              <w:t> </w:t>
            </w:r>
            <w:r>
              <w:rPr>
                <w:rFonts w:asciiTheme="minorHAnsi" w:hAnsiTheme="minorHAnsi"/>
                <w:sz w:val="22"/>
                <w:szCs w:val="22"/>
              </w:rPr>
              <w:t>…</w:t>
            </w:r>
            <w:r w:rsidRPr="005E44E8">
              <w:rPr>
                <w:rFonts w:asciiTheme="minorHAnsi" w:hAnsiTheme="minorHAnsi"/>
                <w:sz w:val="22"/>
                <w:szCs w:val="22"/>
              </w:rPr>
              <w:t xml:space="preserve"> This is used to register word(s), letter(s), number(s) or any combination thereof, </w:t>
            </w:r>
            <w:r>
              <w:rPr>
                <w:rFonts w:asciiTheme="minorHAnsi" w:hAnsiTheme="minorHAnsi"/>
                <w:sz w:val="22"/>
                <w:szCs w:val="22"/>
              </w:rPr>
              <w:t xml:space="preserve">without claim to any particular </w:t>
            </w:r>
            <w:r w:rsidRPr="005E44E8">
              <w:rPr>
                <w:rFonts w:asciiTheme="minorHAnsi" w:hAnsiTheme="minorHAnsi"/>
                <w:sz w:val="22"/>
                <w:szCs w:val="22"/>
              </w:rPr>
              <w:t>font style, size, or color, and absent any design element. Registration of a mark in the standard character format will provide broad rights, namely use in any manner of presentation</w:t>
            </w:r>
            <w:r>
              <w:rPr>
                <w:rFonts w:asciiTheme="minorHAnsi" w:hAnsiTheme="minorHAnsi"/>
                <w:sz w:val="22"/>
                <w:szCs w:val="22"/>
              </w:rPr>
              <w:t xml:space="preserve"> … </w:t>
            </w:r>
            <w:r w:rsidRPr="005E44E8">
              <w:rPr>
                <w:rFonts w:asciiTheme="minorHAnsi" w:hAnsiTheme="minorHAnsi"/>
                <w:sz w:val="22"/>
                <w:szCs w:val="22"/>
              </w:rPr>
              <w:t>the rights associated with a mark in standard characters reside in the wording (or other literal element, e.g., letters, numerals, punctuation) and </w:t>
            </w:r>
            <w:r w:rsidRPr="005E44E8">
              <w:rPr>
                <w:rFonts w:asciiTheme="minorHAnsi" w:hAnsiTheme="minorHAnsi"/>
                <w:b/>
                <w:bCs/>
                <w:sz w:val="22"/>
                <w:szCs w:val="22"/>
              </w:rPr>
              <w:t>not</w:t>
            </w:r>
            <w:r w:rsidRPr="005E44E8">
              <w:rPr>
                <w:rFonts w:asciiTheme="minorHAnsi" w:hAnsiTheme="minorHAnsi"/>
                <w:sz w:val="22"/>
                <w:szCs w:val="22"/>
              </w:rPr>
              <w:t> </w:t>
            </w:r>
            <w:r>
              <w:rPr>
                <w:rFonts w:asciiTheme="minorHAnsi" w:hAnsiTheme="minorHAnsi"/>
                <w:sz w:val="22"/>
                <w:szCs w:val="22"/>
              </w:rPr>
              <w:t xml:space="preserve">in any particular display. </w:t>
            </w:r>
            <w:r w:rsidRPr="005E44E8">
              <w:rPr>
                <w:rFonts w:asciiTheme="minorHAnsi" w:hAnsiTheme="minorHAnsi"/>
                <w:sz w:val="22"/>
                <w:szCs w:val="22"/>
              </w:rPr>
              <w:t>Therefore, registration of a standard character mark would entitle you to use and protect the mark in any font style, size, or color.  It is for this reason that a standard character mark can be an attractive option for many companies.</w:t>
            </w:r>
            <w:r>
              <w:rPr>
                <w:rFonts w:asciiTheme="minorHAnsi" w:hAnsiTheme="minorHAnsi"/>
                <w:sz w:val="22"/>
                <w:szCs w:val="22"/>
              </w:rPr>
              <w:t>”</w:t>
            </w:r>
          </w:p>
          <w:p w14:paraId="0F80566D" w14:textId="77777777" w:rsidR="008C13B6" w:rsidRDefault="008C13B6">
            <w:pPr>
              <w:rPr>
                <w:rFonts w:asciiTheme="minorHAnsi" w:hAnsiTheme="minorHAnsi"/>
                <w:sz w:val="22"/>
                <w:szCs w:val="22"/>
              </w:rPr>
            </w:pPr>
          </w:p>
        </w:tc>
        <w:tc>
          <w:tcPr>
            <w:tcW w:w="3420" w:type="dxa"/>
          </w:tcPr>
          <w:p w14:paraId="39C87B0A" w14:textId="77777777" w:rsidR="008C13B6" w:rsidRDefault="008C13B6">
            <w:pPr>
              <w:rPr>
                <w:rFonts w:asciiTheme="minorHAnsi" w:hAnsiTheme="minorHAnsi"/>
                <w:sz w:val="22"/>
                <w:szCs w:val="22"/>
              </w:rPr>
            </w:pPr>
          </w:p>
        </w:tc>
        <w:tc>
          <w:tcPr>
            <w:tcW w:w="2695" w:type="dxa"/>
          </w:tcPr>
          <w:p w14:paraId="49805F0D" w14:textId="491B5CEB" w:rsidR="008C13B6" w:rsidRDefault="008C13B6">
            <w:pPr>
              <w:rPr>
                <w:rFonts w:asciiTheme="minorHAnsi" w:hAnsiTheme="minorHAnsi"/>
                <w:sz w:val="22"/>
                <w:szCs w:val="22"/>
              </w:rPr>
            </w:pPr>
          </w:p>
        </w:tc>
      </w:tr>
      <w:tr w:rsidR="005F669C" w14:paraId="3F0D57A8" w14:textId="77777777" w:rsidTr="005F669C">
        <w:tc>
          <w:tcPr>
            <w:tcW w:w="1594" w:type="dxa"/>
          </w:tcPr>
          <w:p w14:paraId="7E36BECD" w14:textId="77777777" w:rsidR="008C13B6" w:rsidRPr="00DA7C88" w:rsidRDefault="008C13B6">
            <w:pPr>
              <w:rPr>
                <w:rFonts w:asciiTheme="minorHAnsi" w:hAnsiTheme="minorHAnsi"/>
                <w:b/>
                <w:sz w:val="22"/>
                <w:szCs w:val="22"/>
              </w:rPr>
            </w:pPr>
            <w:r w:rsidRPr="00DA7C88">
              <w:rPr>
                <w:rFonts w:asciiTheme="minorHAnsi" w:hAnsiTheme="minorHAnsi"/>
                <w:b/>
                <w:sz w:val="22"/>
                <w:szCs w:val="22"/>
              </w:rPr>
              <w:t>Stylized Mark</w:t>
            </w:r>
          </w:p>
        </w:tc>
        <w:tc>
          <w:tcPr>
            <w:tcW w:w="5241" w:type="dxa"/>
          </w:tcPr>
          <w:p w14:paraId="2E9961A2" w14:textId="16220CF8" w:rsidR="001716F9" w:rsidRPr="001716F9" w:rsidRDefault="009877AF" w:rsidP="001716F9">
            <w:pPr>
              <w:rPr>
                <w:rFonts w:asciiTheme="minorHAnsi" w:hAnsiTheme="minorHAnsi"/>
                <w:sz w:val="22"/>
                <w:szCs w:val="22"/>
              </w:rPr>
            </w:pPr>
            <w:r w:rsidRPr="009877AF">
              <w:rPr>
                <w:rFonts w:asciiTheme="minorHAnsi" w:hAnsiTheme="minorHAnsi"/>
                <w:b/>
                <w:sz w:val="22"/>
                <w:szCs w:val="22"/>
              </w:rPr>
              <w:t>USA:</w:t>
            </w:r>
            <w:r>
              <w:rPr>
                <w:rFonts w:asciiTheme="minorHAnsi" w:hAnsiTheme="minorHAnsi"/>
                <w:sz w:val="22"/>
                <w:szCs w:val="22"/>
              </w:rPr>
              <w:t xml:space="preserve"> </w:t>
            </w:r>
            <w:r w:rsidR="001716F9" w:rsidRPr="001716F9">
              <w:rPr>
                <w:rFonts w:asciiTheme="minorHAnsi" w:hAnsiTheme="minorHAnsi"/>
                <w:sz w:val="22"/>
                <w:szCs w:val="22"/>
              </w:rPr>
              <w:t>No</w:t>
            </w:r>
            <w:r w:rsidR="00F44A6D">
              <w:rPr>
                <w:rFonts w:asciiTheme="minorHAnsi" w:hAnsiTheme="minorHAnsi"/>
                <w:sz w:val="22"/>
                <w:szCs w:val="22"/>
              </w:rPr>
              <w:t xml:space="preserve"> clear</w:t>
            </w:r>
            <w:r w:rsidR="001716F9" w:rsidRPr="001716F9">
              <w:rPr>
                <w:rFonts w:asciiTheme="minorHAnsi" w:hAnsiTheme="minorHAnsi"/>
                <w:sz w:val="22"/>
                <w:szCs w:val="22"/>
              </w:rPr>
              <w:t xml:space="preserve"> distinction, for definitional purposes</w:t>
            </w:r>
            <w:r w:rsidR="001716F9">
              <w:rPr>
                <w:rStyle w:val="FootnoteReference"/>
                <w:rFonts w:asciiTheme="minorHAnsi" w:hAnsiTheme="minorHAnsi"/>
                <w:sz w:val="22"/>
                <w:szCs w:val="22"/>
              </w:rPr>
              <w:footnoteReference w:id="10"/>
            </w:r>
            <w:r w:rsidR="001716F9">
              <w:rPr>
                <w:rFonts w:asciiTheme="minorHAnsi" w:hAnsiTheme="minorHAnsi"/>
                <w:sz w:val="22"/>
                <w:szCs w:val="22"/>
              </w:rPr>
              <w:t xml:space="preserve"> at least</w:t>
            </w:r>
            <w:r w:rsidR="001716F9" w:rsidRPr="001716F9">
              <w:rPr>
                <w:rFonts w:asciiTheme="minorHAnsi" w:hAnsiTheme="minorHAnsi"/>
                <w:sz w:val="22"/>
                <w:szCs w:val="22"/>
              </w:rPr>
              <w:t xml:space="preserve">, </w:t>
            </w:r>
            <w:r w:rsidR="009A11D3">
              <w:rPr>
                <w:rFonts w:asciiTheme="minorHAnsi" w:hAnsiTheme="minorHAnsi"/>
                <w:sz w:val="22"/>
                <w:szCs w:val="22"/>
              </w:rPr>
              <w:t>between a mark comprising stylized text only and</w:t>
            </w:r>
            <w:r w:rsidR="001716F9" w:rsidRPr="001716F9">
              <w:rPr>
                <w:rFonts w:asciiTheme="minorHAnsi" w:hAnsiTheme="minorHAnsi"/>
                <w:sz w:val="22"/>
                <w:szCs w:val="22"/>
              </w:rPr>
              <w:t xml:space="preserve"> a</w:t>
            </w:r>
            <w:r w:rsidR="009A11D3">
              <w:rPr>
                <w:rFonts w:asciiTheme="minorHAnsi" w:hAnsiTheme="minorHAnsi"/>
                <w:sz w:val="22"/>
                <w:szCs w:val="22"/>
              </w:rPr>
              <w:t xml:space="preserve"> mark comprising stylized text with a</w:t>
            </w:r>
            <w:r w:rsidR="001716F9" w:rsidRPr="001716F9">
              <w:rPr>
                <w:rFonts w:asciiTheme="minorHAnsi" w:hAnsiTheme="minorHAnsi"/>
                <w:sz w:val="22"/>
                <w:szCs w:val="22"/>
              </w:rPr>
              <w:t xml:space="preserve"> design </w:t>
            </w:r>
            <w:r w:rsidR="009A11D3">
              <w:rPr>
                <w:rFonts w:asciiTheme="minorHAnsi" w:hAnsiTheme="minorHAnsi"/>
                <w:sz w:val="22"/>
                <w:szCs w:val="22"/>
              </w:rPr>
              <w:t>element</w:t>
            </w:r>
            <w:r w:rsidR="001716F9" w:rsidRPr="001716F9">
              <w:rPr>
                <w:rFonts w:asciiTheme="minorHAnsi" w:hAnsiTheme="minorHAnsi"/>
                <w:sz w:val="22"/>
                <w:szCs w:val="22"/>
              </w:rPr>
              <w:t xml:space="preserve"> – e.g. in the USPTO’s Trademark Basics brochure when contrasting the application method for these with that for a standard character mark:</w:t>
            </w:r>
          </w:p>
          <w:p w14:paraId="4D435E37" w14:textId="77777777" w:rsidR="001716F9" w:rsidRPr="001716F9" w:rsidRDefault="001716F9" w:rsidP="001716F9">
            <w:pPr>
              <w:ind w:left="720"/>
              <w:rPr>
                <w:rFonts w:asciiTheme="minorHAnsi" w:hAnsiTheme="minorHAnsi"/>
                <w:sz w:val="22"/>
                <w:szCs w:val="22"/>
              </w:rPr>
            </w:pPr>
            <w:r w:rsidRPr="001716F9">
              <w:rPr>
                <w:rFonts w:asciiTheme="minorHAnsi" w:hAnsiTheme="minorHAnsi"/>
                <w:sz w:val="22"/>
                <w:szCs w:val="22"/>
              </w:rPr>
              <w:t>“The stylized/design format, on the other hand, is appropriate if you wish to register word(s) by themselves or combined to form a phrase of any length and/or letter(s) having a particular stylized appearance, a mark consisting of a design element, or a combination of stylized wording and a design. Once filed, any design element will be assigned a “design code” [per the Design Code Search Manual].”</w:t>
            </w:r>
          </w:p>
          <w:p w14:paraId="1542B7DC" w14:textId="275F0EC6" w:rsidR="009877AF" w:rsidRDefault="009877AF" w:rsidP="00556824">
            <w:pPr>
              <w:rPr>
                <w:rFonts w:asciiTheme="minorHAnsi" w:hAnsiTheme="minorHAnsi"/>
                <w:sz w:val="22"/>
                <w:szCs w:val="22"/>
              </w:rPr>
            </w:pPr>
          </w:p>
        </w:tc>
        <w:tc>
          <w:tcPr>
            <w:tcW w:w="3420" w:type="dxa"/>
          </w:tcPr>
          <w:p w14:paraId="33FFBB72" w14:textId="77777777" w:rsidR="008C13B6" w:rsidRDefault="008C13B6">
            <w:pPr>
              <w:rPr>
                <w:rFonts w:asciiTheme="minorHAnsi" w:hAnsiTheme="minorHAnsi"/>
                <w:sz w:val="22"/>
                <w:szCs w:val="22"/>
              </w:rPr>
            </w:pPr>
          </w:p>
        </w:tc>
        <w:tc>
          <w:tcPr>
            <w:tcW w:w="2695" w:type="dxa"/>
          </w:tcPr>
          <w:p w14:paraId="3B94304A" w14:textId="5B24F60A" w:rsidR="008C13B6" w:rsidRDefault="008C13B6">
            <w:pPr>
              <w:rPr>
                <w:rFonts w:asciiTheme="minorHAnsi" w:hAnsiTheme="minorHAnsi"/>
                <w:sz w:val="22"/>
                <w:szCs w:val="22"/>
              </w:rPr>
            </w:pPr>
          </w:p>
        </w:tc>
      </w:tr>
      <w:tr w:rsidR="005F669C" w14:paraId="0EB67ECC" w14:textId="77777777" w:rsidTr="005F669C">
        <w:tc>
          <w:tcPr>
            <w:tcW w:w="1594" w:type="dxa"/>
          </w:tcPr>
          <w:p w14:paraId="59E3C17B" w14:textId="77777777" w:rsidR="008C13B6" w:rsidRPr="00DA7C88" w:rsidRDefault="008C13B6">
            <w:pPr>
              <w:rPr>
                <w:rFonts w:asciiTheme="minorHAnsi" w:hAnsiTheme="minorHAnsi"/>
                <w:b/>
                <w:sz w:val="22"/>
                <w:szCs w:val="22"/>
              </w:rPr>
            </w:pPr>
            <w:r w:rsidRPr="00DA7C88">
              <w:rPr>
                <w:rFonts w:asciiTheme="minorHAnsi" w:hAnsiTheme="minorHAnsi"/>
                <w:b/>
                <w:sz w:val="22"/>
                <w:szCs w:val="22"/>
              </w:rPr>
              <w:t>Trademark</w:t>
            </w:r>
          </w:p>
        </w:tc>
        <w:tc>
          <w:tcPr>
            <w:tcW w:w="5241" w:type="dxa"/>
          </w:tcPr>
          <w:p w14:paraId="11827FFA" w14:textId="2FF7B86C" w:rsidR="008C13B6" w:rsidRDefault="00653192" w:rsidP="00EA4C13">
            <w:pPr>
              <w:rPr>
                <w:rFonts w:asciiTheme="minorHAnsi" w:hAnsiTheme="minorHAnsi"/>
                <w:b/>
                <w:bCs/>
                <w:iCs/>
                <w:sz w:val="22"/>
                <w:szCs w:val="22"/>
              </w:rPr>
            </w:pPr>
            <w:r>
              <w:rPr>
                <w:rFonts w:asciiTheme="minorHAnsi" w:hAnsiTheme="minorHAnsi"/>
                <w:bCs/>
                <w:iCs/>
                <w:sz w:val="22"/>
                <w:szCs w:val="22"/>
              </w:rPr>
              <w:t>“</w:t>
            </w:r>
            <w:r w:rsidR="008C13B6" w:rsidRPr="00EA4C13">
              <w:rPr>
                <w:rFonts w:asciiTheme="minorHAnsi" w:hAnsiTheme="minorHAnsi"/>
                <w:bCs/>
                <w:iCs/>
                <w:sz w:val="22"/>
                <w:szCs w:val="22"/>
              </w:rPr>
              <w:t>A trade mark may consist of any signs capable of being represented graphically, particularly words, including personal names, designs, letters, numerals, the shape of goods or of their packaging, provided that such signs are capable of distinguishing the goods or services of one undertaking from those of other undertakings</w:t>
            </w:r>
            <w:r>
              <w:rPr>
                <w:rFonts w:asciiTheme="minorHAnsi" w:hAnsiTheme="minorHAnsi"/>
                <w:bCs/>
                <w:iCs/>
                <w:sz w:val="22"/>
                <w:szCs w:val="22"/>
              </w:rPr>
              <w:t>”</w:t>
            </w:r>
            <w:r w:rsidR="008C13B6">
              <w:rPr>
                <w:rFonts w:asciiTheme="minorHAnsi" w:hAnsiTheme="minorHAnsi"/>
                <w:bCs/>
                <w:iCs/>
                <w:sz w:val="22"/>
                <w:szCs w:val="22"/>
              </w:rPr>
              <w:t xml:space="preserve"> </w:t>
            </w:r>
            <w:r w:rsidR="008C13B6" w:rsidRPr="00F44A6D">
              <w:rPr>
                <w:rFonts w:asciiTheme="minorHAnsi" w:hAnsiTheme="minorHAnsi"/>
                <w:b/>
                <w:bCs/>
                <w:iCs/>
                <w:sz w:val="22"/>
                <w:szCs w:val="22"/>
              </w:rPr>
              <w:t>(Article 2, Directive 2008/95/EC)</w:t>
            </w:r>
          </w:p>
          <w:p w14:paraId="3E972176" w14:textId="77777777" w:rsidR="00912670" w:rsidRDefault="00912670" w:rsidP="00EA4C13">
            <w:pPr>
              <w:rPr>
                <w:rFonts w:asciiTheme="minorHAnsi" w:hAnsiTheme="minorHAnsi"/>
                <w:b/>
                <w:bCs/>
                <w:iCs/>
                <w:sz w:val="22"/>
                <w:szCs w:val="22"/>
              </w:rPr>
            </w:pPr>
          </w:p>
          <w:p w14:paraId="46EB7CDD" w14:textId="5E51A1E6" w:rsidR="00912670" w:rsidRDefault="00912670" w:rsidP="00EA4C13">
            <w:pPr>
              <w:rPr>
                <w:rFonts w:asciiTheme="minorHAnsi" w:hAnsiTheme="minorHAnsi"/>
                <w:bCs/>
                <w:iCs/>
                <w:sz w:val="22"/>
                <w:szCs w:val="22"/>
              </w:rPr>
            </w:pPr>
            <w:r>
              <w:rPr>
                <w:rFonts w:asciiTheme="minorHAnsi" w:hAnsiTheme="minorHAnsi"/>
                <w:b/>
                <w:bCs/>
                <w:iCs/>
                <w:sz w:val="22"/>
                <w:szCs w:val="22"/>
              </w:rPr>
              <w:t xml:space="preserve">UK: </w:t>
            </w:r>
            <w:r w:rsidR="00F30FD1" w:rsidRPr="00F30FD1">
              <w:rPr>
                <w:rFonts w:asciiTheme="minorHAnsi" w:hAnsiTheme="minorHAnsi"/>
                <w:bCs/>
                <w:iCs/>
                <w:sz w:val="22"/>
                <w:szCs w:val="22"/>
              </w:rPr>
              <w:t xml:space="preserve">A trademark means </w:t>
            </w:r>
            <w:r>
              <w:rPr>
                <w:rFonts w:asciiTheme="minorHAnsi" w:hAnsiTheme="minorHAnsi"/>
                <w:bCs/>
                <w:iCs/>
                <w:sz w:val="22"/>
                <w:szCs w:val="22"/>
              </w:rPr>
              <w:t>“</w:t>
            </w:r>
            <w:r w:rsidRPr="00912670">
              <w:rPr>
                <w:rFonts w:asciiTheme="minorHAnsi" w:hAnsiTheme="minorHAnsi"/>
                <w:bCs/>
                <w:iCs/>
                <w:sz w:val="22"/>
                <w:szCs w:val="22"/>
              </w:rPr>
              <w:t>any sign capable of being represented graphically which is capable of distinguishing goods or services of one undertaking from those of other undertakings. A trade mark may, in particular, consist of words (including personal names), designs, letters, numerals or the shape of goods or their packaging.</w:t>
            </w:r>
            <w:r>
              <w:rPr>
                <w:rFonts w:asciiTheme="minorHAnsi" w:hAnsiTheme="minorHAnsi"/>
                <w:bCs/>
                <w:iCs/>
                <w:sz w:val="22"/>
                <w:szCs w:val="22"/>
              </w:rPr>
              <w:t>”</w:t>
            </w:r>
          </w:p>
          <w:p w14:paraId="10E1F0B7" w14:textId="77777777" w:rsidR="00F30FD1" w:rsidRDefault="00F30FD1" w:rsidP="00EA4C13">
            <w:pPr>
              <w:rPr>
                <w:rFonts w:asciiTheme="minorHAnsi" w:hAnsiTheme="minorHAnsi"/>
                <w:bCs/>
                <w:iCs/>
                <w:sz w:val="22"/>
                <w:szCs w:val="22"/>
              </w:rPr>
            </w:pPr>
          </w:p>
          <w:p w14:paraId="0FC8C586" w14:textId="182D3966" w:rsidR="00F30FD1" w:rsidRPr="00F30FD1" w:rsidRDefault="00F30FD1" w:rsidP="00F30FD1">
            <w:pPr>
              <w:rPr>
                <w:rFonts w:asciiTheme="minorHAnsi" w:hAnsiTheme="minorHAnsi"/>
                <w:bCs/>
                <w:iCs/>
                <w:sz w:val="22"/>
                <w:szCs w:val="22"/>
              </w:rPr>
            </w:pPr>
            <w:r w:rsidRPr="00F30FD1">
              <w:rPr>
                <w:rFonts w:asciiTheme="minorHAnsi" w:hAnsiTheme="minorHAnsi"/>
                <w:b/>
                <w:bCs/>
                <w:iCs/>
                <w:sz w:val="22"/>
                <w:szCs w:val="22"/>
              </w:rPr>
              <w:t>USA:</w:t>
            </w:r>
            <w:r>
              <w:rPr>
                <w:rFonts w:asciiTheme="minorHAnsi" w:hAnsiTheme="minorHAnsi"/>
                <w:bCs/>
                <w:iCs/>
                <w:sz w:val="22"/>
                <w:szCs w:val="22"/>
              </w:rPr>
              <w:t xml:space="preserve"> </w:t>
            </w:r>
            <w:r w:rsidR="00A06E19">
              <w:rPr>
                <w:rFonts w:asciiTheme="minorHAnsi" w:hAnsiTheme="minorHAnsi"/>
                <w:bCs/>
                <w:iCs/>
                <w:sz w:val="22"/>
                <w:szCs w:val="22"/>
              </w:rPr>
              <w:t>“</w:t>
            </w:r>
            <w:r w:rsidRPr="00F30FD1">
              <w:rPr>
                <w:rFonts w:asciiTheme="minorHAnsi" w:hAnsiTheme="minorHAnsi"/>
                <w:bCs/>
                <w:iCs/>
                <w:sz w:val="22"/>
                <w:szCs w:val="22"/>
              </w:rPr>
              <w:t>The term “trademark” includes any word, name, symbol, or device, or any combination thereof—</w:t>
            </w:r>
          </w:p>
          <w:p w14:paraId="244E6AEA" w14:textId="77777777" w:rsidR="00F30FD1" w:rsidRPr="00F30FD1" w:rsidRDefault="00F30FD1" w:rsidP="00F30FD1">
            <w:pPr>
              <w:ind w:left="720"/>
              <w:rPr>
                <w:rFonts w:asciiTheme="minorHAnsi" w:hAnsiTheme="minorHAnsi"/>
                <w:bCs/>
                <w:iCs/>
                <w:sz w:val="22"/>
                <w:szCs w:val="22"/>
              </w:rPr>
            </w:pPr>
            <w:r w:rsidRPr="00F30FD1">
              <w:rPr>
                <w:rFonts w:asciiTheme="minorHAnsi" w:hAnsiTheme="minorHAnsi"/>
                <w:bCs/>
                <w:iCs/>
                <w:sz w:val="22"/>
                <w:szCs w:val="22"/>
              </w:rPr>
              <w:t>(1) used by a person, or</w:t>
            </w:r>
          </w:p>
          <w:p w14:paraId="6F68668D" w14:textId="77777777" w:rsidR="00F30FD1" w:rsidRPr="00F30FD1" w:rsidRDefault="00F30FD1" w:rsidP="00F30FD1">
            <w:pPr>
              <w:ind w:left="720"/>
              <w:rPr>
                <w:rFonts w:asciiTheme="minorHAnsi" w:hAnsiTheme="minorHAnsi"/>
                <w:bCs/>
                <w:iCs/>
                <w:sz w:val="22"/>
                <w:szCs w:val="22"/>
              </w:rPr>
            </w:pPr>
            <w:r w:rsidRPr="00F30FD1">
              <w:rPr>
                <w:rFonts w:asciiTheme="minorHAnsi" w:hAnsiTheme="minorHAnsi"/>
                <w:bCs/>
                <w:iCs/>
                <w:sz w:val="22"/>
                <w:szCs w:val="22"/>
              </w:rPr>
              <w:t>(2) which a person has a bona fide intention to use in commerce and applies to register on the principal register established by this chapter,</w:t>
            </w:r>
          </w:p>
          <w:p w14:paraId="13331D5F" w14:textId="78F8803E" w:rsidR="00F30FD1" w:rsidRPr="00F30FD1" w:rsidRDefault="00F30FD1" w:rsidP="00F30FD1">
            <w:pPr>
              <w:rPr>
                <w:rFonts w:asciiTheme="minorHAnsi" w:hAnsiTheme="minorHAnsi"/>
                <w:bCs/>
                <w:iCs/>
                <w:sz w:val="22"/>
                <w:szCs w:val="22"/>
              </w:rPr>
            </w:pPr>
            <w:r w:rsidRPr="00F30FD1">
              <w:rPr>
                <w:rFonts w:asciiTheme="minorHAnsi" w:hAnsiTheme="minorHAnsi"/>
                <w:bCs/>
                <w:iCs/>
                <w:sz w:val="22"/>
                <w:szCs w:val="22"/>
              </w:rPr>
              <w:t>to identify and distinguish his or her goods, including a unique product, from those manufactured or sold by others and to indicate the source of the goods, even if that source is unknown.</w:t>
            </w:r>
            <w:r w:rsidR="00A06E19">
              <w:rPr>
                <w:rFonts w:asciiTheme="minorHAnsi" w:hAnsiTheme="minorHAnsi"/>
                <w:bCs/>
                <w:iCs/>
                <w:sz w:val="22"/>
                <w:szCs w:val="22"/>
              </w:rPr>
              <w:t>”</w:t>
            </w:r>
          </w:p>
          <w:p w14:paraId="567449B3" w14:textId="77777777" w:rsidR="008C13B6" w:rsidRDefault="008C13B6">
            <w:pPr>
              <w:rPr>
                <w:rFonts w:asciiTheme="minorHAnsi" w:hAnsiTheme="minorHAnsi"/>
                <w:sz w:val="22"/>
                <w:szCs w:val="22"/>
              </w:rPr>
            </w:pPr>
          </w:p>
        </w:tc>
        <w:tc>
          <w:tcPr>
            <w:tcW w:w="3420" w:type="dxa"/>
          </w:tcPr>
          <w:p w14:paraId="449FABA7" w14:textId="77777777" w:rsidR="008C13B6" w:rsidRDefault="008C13B6">
            <w:pPr>
              <w:rPr>
                <w:rFonts w:asciiTheme="minorHAnsi" w:hAnsiTheme="minorHAnsi"/>
                <w:sz w:val="22"/>
                <w:szCs w:val="22"/>
              </w:rPr>
            </w:pPr>
          </w:p>
        </w:tc>
        <w:tc>
          <w:tcPr>
            <w:tcW w:w="2695" w:type="dxa"/>
          </w:tcPr>
          <w:p w14:paraId="463C347D" w14:textId="12CC59DA" w:rsidR="008C13B6" w:rsidRDefault="008C13B6">
            <w:pPr>
              <w:rPr>
                <w:rFonts w:asciiTheme="minorHAnsi" w:hAnsiTheme="minorHAnsi"/>
                <w:sz w:val="22"/>
                <w:szCs w:val="22"/>
              </w:rPr>
            </w:pPr>
          </w:p>
        </w:tc>
      </w:tr>
      <w:tr w:rsidR="005F669C" w14:paraId="40944D41" w14:textId="77777777" w:rsidTr="005F669C">
        <w:tc>
          <w:tcPr>
            <w:tcW w:w="1594" w:type="dxa"/>
          </w:tcPr>
          <w:p w14:paraId="0A2B145B" w14:textId="77777777" w:rsidR="008C13B6" w:rsidRPr="00DA7C88" w:rsidRDefault="008C13B6">
            <w:pPr>
              <w:rPr>
                <w:rFonts w:asciiTheme="minorHAnsi" w:hAnsiTheme="minorHAnsi"/>
                <w:b/>
                <w:sz w:val="22"/>
                <w:szCs w:val="22"/>
              </w:rPr>
            </w:pPr>
            <w:r w:rsidRPr="00DA7C88">
              <w:rPr>
                <w:rFonts w:asciiTheme="minorHAnsi" w:hAnsiTheme="minorHAnsi"/>
                <w:b/>
                <w:sz w:val="22"/>
                <w:szCs w:val="22"/>
              </w:rPr>
              <w:t>Word Mark</w:t>
            </w:r>
          </w:p>
        </w:tc>
        <w:tc>
          <w:tcPr>
            <w:tcW w:w="5241" w:type="dxa"/>
          </w:tcPr>
          <w:p w14:paraId="41E4767E" w14:textId="5BAEF261" w:rsidR="008C13B6" w:rsidRPr="00F30FD1" w:rsidRDefault="00307B47">
            <w:pPr>
              <w:rPr>
                <w:rFonts w:asciiTheme="minorHAnsi" w:hAnsiTheme="minorHAnsi"/>
                <w:b/>
                <w:sz w:val="22"/>
                <w:szCs w:val="22"/>
              </w:rPr>
            </w:pPr>
            <w:r w:rsidRPr="00307B47">
              <w:rPr>
                <w:rFonts w:asciiTheme="minorHAnsi" w:hAnsiTheme="minorHAnsi"/>
                <w:b/>
                <w:sz w:val="22"/>
                <w:szCs w:val="22"/>
              </w:rPr>
              <w:t xml:space="preserve">EU: </w:t>
            </w:r>
            <w:r w:rsidR="00653192">
              <w:rPr>
                <w:rFonts w:asciiTheme="minorHAnsi" w:hAnsiTheme="minorHAnsi"/>
                <w:sz w:val="22"/>
                <w:szCs w:val="22"/>
              </w:rPr>
              <w:t>“</w:t>
            </w:r>
            <w:r w:rsidR="00DB0E39" w:rsidRPr="00DB0E39">
              <w:rPr>
                <w:rFonts w:asciiTheme="minorHAnsi" w:hAnsiTheme="minorHAnsi"/>
                <w:sz w:val="22"/>
                <w:szCs w:val="22"/>
              </w:rPr>
              <w:t>A word mark is represented using words, letters, numbers or any other characters that can be typed</w:t>
            </w:r>
            <w:r w:rsidR="00A06E19">
              <w:rPr>
                <w:rFonts w:asciiTheme="minorHAnsi" w:hAnsiTheme="minorHAnsi"/>
                <w:sz w:val="22"/>
                <w:szCs w:val="22"/>
              </w:rPr>
              <w:t>.</w:t>
            </w:r>
            <w:r w:rsidR="00653192">
              <w:rPr>
                <w:rFonts w:asciiTheme="minorHAnsi" w:hAnsiTheme="minorHAnsi"/>
                <w:sz w:val="22"/>
                <w:szCs w:val="22"/>
              </w:rPr>
              <w:t>”</w:t>
            </w:r>
          </w:p>
          <w:p w14:paraId="73D95670" w14:textId="77777777" w:rsidR="00DB0E39" w:rsidRDefault="00DB0E39">
            <w:pPr>
              <w:rPr>
                <w:rFonts w:asciiTheme="minorHAnsi" w:hAnsiTheme="minorHAnsi"/>
                <w:sz w:val="22"/>
                <w:szCs w:val="22"/>
              </w:rPr>
            </w:pPr>
          </w:p>
          <w:p w14:paraId="142F28AF" w14:textId="344DA5E0" w:rsidR="00307B47" w:rsidRPr="00F30FD1" w:rsidRDefault="00307B47">
            <w:pPr>
              <w:rPr>
                <w:rFonts w:asciiTheme="minorHAnsi" w:hAnsiTheme="minorHAnsi"/>
                <w:b/>
                <w:sz w:val="22"/>
                <w:szCs w:val="22"/>
              </w:rPr>
            </w:pPr>
            <w:r w:rsidRPr="00307B47">
              <w:rPr>
                <w:rFonts w:asciiTheme="minorHAnsi" w:hAnsiTheme="minorHAnsi"/>
                <w:b/>
                <w:sz w:val="22"/>
                <w:szCs w:val="22"/>
              </w:rPr>
              <w:t xml:space="preserve">USA: </w:t>
            </w:r>
            <w:r>
              <w:rPr>
                <w:rFonts w:asciiTheme="minorHAnsi" w:hAnsiTheme="minorHAnsi"/>
                <w:sz w:val="22"/>
                <w:szCs w:val="22"/>
              </w:rPr>
              <w:t>Seems to be commonly used to describe the “standard character” mark, especially in contrast with a “design”</w:t>
            </w:r>
            <w:r w:rsidR="008140AD">
              <w:rPr>
                <w:rFonts w:asciiTheme="minorHAnsi" w:hAnsiTheme="minorHAnsi"/>
                <w:sz w:val="22"/>
                <w:szCs w:val="22"/>
              </w:rPr>
              <w:t>,</w:t>
            </w:r>
            <w:r>
              <w:rPr>
                <w:rFonts w:asciiTheme="minorHAnsi" w:hAnsiTheme="minorHAnsi"/>
                <w:sz w:val="22"/>
                <w:szCs w:val="22"/>
              </w:rPr>
              <w:t xml:space="preserve"> “stylized”</w:t>
            </w:r>
            <w:r w:rsidR="008140AD">
              <w:rPr>
                <w:rFonts w:asciiTheme="minorHAnsi" w:hAnsiTheme="minorHAnsi"/>
                <w:sz w:val="22"/>
                <w:szCs w:val="22"/>
              </w:rPr>
              <w:t xml:space="preserve"> or “composite” </w:t>
            </w:r>
            <w:r>
              <w:rPr>
                <w:rFonts w:asciiTheme="minorHAnsi" w:hAnsiTheme="minorHAnsi"/>
                <w:sz w:val="22"/>
                <w:szCs w:val="22"/>
              </w:rPr>
              <w:t>(i.e. word plus design element) mark</w:t>
            </w:r>
          </w:p>
          <w:p w14:paraId="31B89C09" w14:textId="2EEEA4A5" w:rsidR="00307B47" w:rsidRDefault="00307B47">
            <w:pPr>
              <w:rPr>
                <w:rFonts w:asciiTheme="minorHAnsi" w:hAnsiTheme="minorHAnsi"/>
                <w:sz w:val="22"/>
                <w:szCs w:val="22"/>
              </w:rPr>
            </w:pPr>
          </w:p>
        </w:tc>
        <w:tc>
          <w:tcPr>
            <w:tcW w:w="3420" w:type="dxa"/>
          </w:tcPr>
          <w:p w14:paraId="70C4589E" w14:textId="77777777" w:rsidR="008C13B6" w:rsidRDefault="008C13B6">
            <w:pPr>
              <w:rPr>
                <w:rFonts w:asciiTheme="minorHAnsi" w:hAnsiTheme="minorHAnsi"/>
                <w:sz w:val="22"/>
                <w:szCs w:val="22"/>
              </w:rPr>
            </w:pPr>
          </w:p>
        </w:tc>
        <w:tc>
          <w:tcPr>
            <w:tcW w:w="2695" w:type="dxa"/>
          </w:tcPr>
          <w:p w14:paraId="1246C8DC" w14:textId="3C890CFF" w:rsidR="008C13B6" w:rsidRDefault="008C13B6">
            <w:pPr>
              <w:rPr>
                <w:rFonts w:asciiTheme="minorHAnsi" w:hAnsiTheme="minorHAnsi"/>
                <w:sz w:val="22"/>
                <w:szCs w:val="22"/>
              </w:rPr>
            </w:pPr>
          </w:p>
        </w:tc>
      </w:tr>
    </w:tbl>
    <w:p w14:paraId="14648C56" w14:textId="744EF085" w:rsidR="00F72CAB" w:rsidRDefault="00F72CAB">
      <w:pPr>
        <w:rPr>
          <w:rFonts w:asciiTheme="minorHAnsi" w:hAnsiTheme="minorHAnsi"/>
          <w:sz w:val="22"/>
          <w:szCs w:val="22"/>
        </w:rPr>
      </w:pPr>
    </w:p>
    <w:p w14:paraId="70686AEC" w14:textId="77777777" w:rsidR="0015260F" w:rsidRDefault="0015260F">
      <w:pPr>
        <w:rPr>
          <w:rFonts w:asciiTheme="minorHAnsi" w:hAnsiTheme="minorHAnsi"/>
          <w:sz w:val="22"/>
          <w:szCs w:val="22"/>
        </w:rPr>
      </w:pPr>
    </w:p>
    <w:p w14:paraId="2DFB7865" w14:textId="2CBA79FF" w:rsidR="008E22CA" w:rsidRPr="00F30FD1" w:rsidRDefault="008E22CA">
      <w:pPr>
        <w:rPr>
          <w:rFonts w:asciiTheme="minorHAnsi" w:hAnsiTheme="minorHAnsi"/>
          <w:b/>
          <w:sz w:val="22"/>
          <w:szCs w:val="22"/>
        </w:rPr>
      </w:pPr>
      <w:r w:rsidRPr="008E22CA">
        <w:rPr>
          <w:rFonts w:asciiTheme="minorHAnsi" w:hAnsiTheme="minorHAnsi"/>
          <w:b/>
          <w:sz w:val="22"/>
          <w:szCs w:val="22"/>
        </w:rPr>
        <w:t xml:space="preserve">Examples of Figurative Marks </w:t>
      </w:r>
      <w:r w:rsidR="005508F3">
        <w:rPr>
          <w:rFonts w:asciiTheme="minorHAnsi" w:hAnsiTheme="minorHAnsi"/>
          <w:b/>
          <w:sz w:val="22"/>
          <w:szCs w:val="22"/>
        </w:rPr>
        <w:t xml:space="preserve">with Letters </w:t>
      </w:r>
      <w:r w:rsidRPr="008E22CA">
        <w:rPr>
          <w:rFonts w:asciiTheme="minorHAnsi" w:hAnsiTheme="minorHAnsi"/>
          <w:b/>
          <w:sz w:val="22"/>
          <w:szCs w:val="22"/>
        </w:rPr>
        <w:t>from the EUIPO:</w:t>
      </w:r>
    </w:p>
    <w:p w14:paraId="420DF9EA" w14:textId="38131D6E" w:rsidR="005508F3" w:rsidRDefault="005508F3">
      <w:pPr>
        <w:rPr>
          <w:rFonts w:asciiTheme="minorHAnsi" w:hAnsiTheme="minorHAnsi"/>
          <w:sz w:val="22"/>
          <w:szCs w:val="22"/>
        </w:rPr>
      </w:pPr>
      <w:r>
        <w:rPr>
          <w:rFonts w:asciiTheme="minorHAnsi" w:hAnsiTheme="minorHAnsi"/>
          <w:noProof/>
          <w:sz w:val="22"/>
          <w:szCs w:val="22"/>
        </w:rPr>
        <w:drawing>
          <wp:inline distT="0" distB="0" distL="0" distR="0" wp14:anchorId="44AE7EA7" wp14:editId="07145B5E">
            <wp:extent cx="2002536" cy="1600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IPO Fig Mark Letters 1.jpg"/>
                    <pic:cNvPicPr/>
                  </pic:nvPicPr>
                  <pic:blipFill>
                    <a:blip r:embed="rId8">
                      <a:extLst>
                        <a:ext uri="{28A0092B-C50C-407E-A947-70E740481C1C}">
                          <a14:useLocalDpi xmlns:a14="http://schemas.microsoft.com/office/drawing/2010/main" val="0"/>
                        </a:ext>
                      </a:extLst>
                    </a:blip>
                    <a:stretch>
                      <a:fillRect/>
                    </a:stretch>
                  </pic:blipFill>
                  <pic:spPr>
                    <a:xfrm>
                      <a:off x="0" y="0"/>
                      <a:ext cx="2002536" cy="1600200"/>
                    </a:xfrm>
                    <a:prstGeom prst="rect">
                      <a:avLst/>
                    </a:prstGeom>
                  </pic:spPr>
                </pic:pic>
              </a:graphicData>
            </a:graphic>
          </wp:inline>
        </w:drawing>
      </w:r>
      <w:r>
        <w:rPr>
          <w:rFonts w:asciiTheme="minorHAnsi" w:hAnsiTheme="minorHAnsi"/>
          <w:noProof/>
          <w:sz w:val="22"/>
          <w:szCs w:val="22"/>
        </w:rPr>
        <w:drawing>
          <wp:inline distT="0" distB="0" distL="0" distR="0" wp14:anchorId="29A47EFA" wp14:editId="44255849">
            <wp:extent cx="2002536" cy="1600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IPO Fig Mark Letters 2.jpg"/>
                    <pic:cNvPicPr/>
                  </pic:nvPicPr>
                  <pic:blipFill>
                    <a:blip r:embed="rId9">
                      <a:extLst>
                        <a:ext uri="{28A0092B-C50C-407E-A947-70E740481C1C}">
                          <a14:useLocalDpi xmlns:a14="http://schemas.microsoft.com/office/drawing/2010/main" val="0"/>
                        </a:ext>
                      </a:extLst>
                    </a:blip>
                    <a:stretch>
                      <a:fillRect/>
                    </a:stretch>
                  </pic:blipFill>
                  <pic:spPr>
                    <a:xfrm>
                      <a:off x="0" y="0"/>
                      <a:ext cx="2002536" cy="1600200"/>
                    </a:xfrm>
                    <a:prstGeom prst="rect">
                      <a:avLst/>
                    </a:prstGeom>
                  </pic:spPr>
                </pic:pic>
              </a:graphicData>
            </a:graphic>
          </wp:inline>
        </w:drawing>
      </w:r>
      <w:r>
        <w:rPr>
          <w:rFonts w:asciiTheme="minorHAnsi" w:hAnsiTheme="minorHAnsi"/>
          <w:noProof/>
          <w:sz w:val="22"/>
          <w:szCs w:val="22"/>
        </w:rPr>
        <w:drawing>
          <wp:inline distT="0" distB="0" distL="0" distR="0" wp14:anchorId="505CC519" wp14:editId="1BE54F2E">
            <wp:extent cx="2002536" cy="16002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IPO Fig Mark Letters 3.jpg"/>
                    <pic:cNvPicPr/>
                  </pic:nvPicPr>
                  <pic:blipFill>
                    <a:blip r:embed="rId10">
                      <a:extLst>
                        <a:ext uri="{28A0092B-C50C-407E-A947-70E740481C1C}">
                          <a14:useLocalDpi xmlns:a14="http://schemas.microsoft.com/office/drawing/2010/main" val="0"/>
                        </a:ext>
                      </a:extLst>
                    </a:blip>
                    <a:stretch>
                      <a:fillRect/>
                    </a:stretch>
                  </pic:blipFill>
                  <pic:spPr>
                    <a:xfrm>
                      <a:off x="0" y="0"/>
                      <a:ext cx="2002536" cy="1600200"/>
                    </a:xfrm>
                    <a:prstGeom prst="rect">
                      <a:avLst/>
                    </a:prstGeom>
                  </pic:spPr>
                </pic:pic>
              </a:graphicData>
            </a:graphic>
          </wp:inline>
        </w:drawing>
      </w:r>
    </w:p>
    <w:p w14:paraId="641C29D4" w14:textId="77777777" w:rsidR="008E22CA" w:rsidRDefault="008E22CA">
      <w:pPr>
        <w:rPr>
          <w:rFonts w:asciiTheme="minorHAnsi" w:hAnsiTheme="minorHAnsi"/>
          <w:sz w:val="22"/>
          <w:szCs w:val="22"/>
        </w:rPr>
      </w:pPr>
    </w:p>
    <w:p w14:paraId="1026724C" w14:textId="1EE920D5" w:rsidR="008E22CA" w:rsidRPr="001716F9" w:rsidRDefault="001716F9">
      <w:pPr>
        <w:rPr>
          <w:rFonts w:asciiTheme="minorHAnsi" w:hAnsiTheme="minorHAnsi"/>
          <w:b/>
          <w:sz w:val="22"/>
          <w:szCs w:val="22"/>
        </w:rPr>
      </w:pPr>
      <w:r w:rsidRPr="001716F9">
        <w:rPr>
          <w:rFonts w:asciiTheme="minorHAnsi" w:hAnsiTheme="minorHAnsi"/>
          <w:b/>
          <w:sz w:val="22"/>
          <w:szCs w:val="22"/>
        </w:rPr>
        <w:t>Examples of Stylized and Design Marks from the USPTO:</w:t>
      </w:r>
    </w:p>
    <w:p w14:paraId="7639B531" w14:textId="77777777" w:rsidR="001716F9" w:rsidRDefault="001716F9">
      <w:pPr>
        <w:rPr>
          <w:rFonts w:asciiTheme="minorHAnsi" w:hAnsiTheme="minorHAnsi"/>
          <w:sz w:val="22"/>
          <w:szCs w:val="22"/>
        </w:rPr>
      </w:pPr>
    </w:p>
    <w:p w14:paraId="709D418D" w14:textId="6D6D9D22" w:rsidR="001716F9" w:rsidRDefault="001716F9">
      <w:pPr>
        <w:rPr>
          <w:rFonts w:asciiTheme="minorHAnsi" w:hAnsiTheme="minorHAnsi"/>
          <w:sz w:val="22"/>
          <w:szCs w:val="22"/>
        </w:rPr>
      </w:pPr>
      <w:r>
        <w:rPr>
          <w:rFonts w:asciiTheme="minorHAnsi" w:hAnsiTheme="minorHAnsi"/>
          <w:noProof/>
          <w:sz w:val="22"/>
          <w:szCs w:val="22"/>
        </w:rPr>
        <w:drawing>
          <wp:inline distT="0" distB="0" distL="0" distR="0" wp14:anchorId="6B9C94EB" wp14:editId="454F6719">
            <wp:extent cx="2121408" cy="1060704"/>
            <wp:effectExtent l="0" t="0" r="1270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PTO Stylized_Mark.jpg"/>
                    <pic:cNvPicPr/>
                  </pic:nvPicPr>
                  <pic:blipFill>
                    <a:blip r:embed="rId11">
                      <a:extLst>
                        <a:ext uri="{28A0092B-C50C-407E-A947-70E740481C1C}">
                          <a14:useLocalDpi xmlns:a14="http://schemas.microsoft.com/office/drawing/2010/main" val="0"/>
                        </a:ext>
                      </a:extLst>
                    </a:blip>
                    <a:stretch>
                      <a:fillRect/>
                    </a:stretch>
                  </pic:blipFill>
                  <pic:spPr>
                    <a:xfrm>
                      <a:off x="0" y="0"/>
                      <a:ext cx="2121408" cy="1060704"/>
                    </a:xfrm>
                    <a:prstGeom prst="rect">
                      <a:avLst/>
                    </a:prstGeom>
                  </pic:spPr>
                </pic:pic>
              </a:graphicData>
            </a:graphic>
          </wp:inline>
        </w:drawing>
      </w:r>
      <w:r>
        <w:rPr>
          <w:rFonts w:asciiTheme="minorHAnsi" w:hAnsiTheme="minorHAnsi"/>
          <w:sz w:val="22"/>
          <w:szCs w:val="22"/>
        </w:rPr>
        <w:t xml:space="preserve">                        </w:t>
      </w:r>
      <w:r>
        <w:rPr>
          <w:rFonts w:asciiTheme="minorHAnsi" w:hAnsiTheme="minorHAnsi"/>
          <w:noProof/>
          <w:sz w:val="22"/>
          <w:szCs w:val="22"/>
        </w:rPr>
        <w:drawing>
          <wp:inline distT="0" distB="0" distL="0" distR="0" wp14:anchorId="518E6656" wp14:editId="374C6A30">
            <wp:extent cx="2139696" cy="10698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PTO Design_Mark.jpg"/>
                    <pic:cNvPicPr/>
                  </pic:nvPicPr>
                  <pic:blipFill>
                    <a:blip r:embed="rId12">
                      <a:extLst>
                        <a:ext uri="{28A0092B-C50C-407E-A947-70E740481C1C}">
                          <a14:useLocalDpi xmlns:a14="http://schemas.microsoft.com/office/drawing/2010/main" val="0"/>
                        </a:ext>
                      </a:extLst>
                    </a:blip>
                    <a:stretch>
                      <a:fillRect/>
                    </a:stretch>
                  </pic:blipFill>
                  <pic:spPr>
                    <a:xfrm>
                      <a:off x="0" y="0"/>
                      <a:ext cx="2139696" cy="1069848"/>
                    </a:xfrm>
                    <a:prstGeom prst="rect">
                      <a:avLst/>
                    </a:prstGeom>
                  </pic:spPr>
                </pic:pic>
              </a:graphicData>
            </a:graphic>
          </wp:inline>
        </w:drawing>
      </w:r>
    </w:p>
    <w:p w14:paraId="008839B8" w14:textId="77777777" w:rsidR="001716F9" w:rsidRDefault="001716F9">
      <w:pPr>
        <w:rPr>
          <w:rFonts w:asciiTheme="minorHAnsi" w:hAnsiTheme="minorHAnsi"/>
          <w:b/>
          <w:sz w:val="22"/>
          <w:szCs w:val="22"/>
        </w:rPr>
      </w:pPr>
    </w:p>
    <w:p w14:paraId="051AF51B" w14:textId="77777777" w:rsidR="001716F9" w:rsidRDefault="001716F9">
      <w:pPr>
        <w:rPr>
          <w:rFonts w:asciiTheme="minorHAnsi" w:hAnsiTheme="minorHAnsi"/>
          <w:b/>
          <w:sz w:val="22"/>
          <w:szCs w:val="22"/>
        </w:rPr>
      </w:pPr>
    </w:p>
    <w:p w14:paraId="67087404" w14:textId="77777777" w:rsidR="001716F9" w:rsidRDefault="001716F9">
      <w:pPr>
        <w:rPr>
          <w:rFonts w:asciiTheme="minorHAnsi" w:hAnsiTheme="minorHAnsi"/>
          <w:b/>
          <w:sz w:val="22"/>
          <w:szCs w:val="22"/>
        </w:rPr>
      </w:pPr>
    </w:p>
    <w:p w14:paraId="70DADBF6" w14:textId="08C95116" w:rsidR="0015260F" w:rsidRPr="00137F8A" w:rsidRDefault="0015260F">
      <w:pPr>
        <w:rPr>
          <w:rFonts w:asciiTheme="minorHAnsi" w:hAnsiTheme="minorHAnsi"/>
          <w:b/>
          <w:sz w:val="22"/>
          <w:szCs w:val="22"/>
        </w:rPr>
      </w:pPr>
      <w:r w:rsidRPr="00137F8A">
        <w:rPr>
          <w:rFonts w:asciiTheme="minorHAnsi" w:hAnsiTheme="minorHAnsi"/>
          <w:b/>
          <w:sz w:val="22"/>
          <w:szCs w:val="22"/>
        </w:rPr>
        <w:t>Differences between G</w:t>
      </w:r>
      <w:r w:rsidR="004B18EB">
        <w:rPr>
          <w:rFonts w:asciiTheme="minorHAnsi" w:hAnsiTheme="minorHAnsi"/>
          <w:b/>
          <w:sz w:val="22"/>
          <w:szCs w:val="22"/>
        </w:rPr>
        <w:t>I</w:t>
      </w:r>
      <w:r w:rsidRPr="00137F8A">
        <w:rPr>
          <w:rFonts w:asciiTheme="minorHAnsi" w:hAnsiTheme="minorHAnsi"/>
          <w:b/>
          <w:sz w:val="22"/>
          <w:szCs w:val="22"/>
        </w:rPr>
        <w:t>s and Trademarks</w:t>
      </w:r>
    </w:p>
    <w:p w14:paraId="173572DE" w14:textId="77777777" w:rsidR="0015260F" w:rsidRDefault="0015260F">
      <w:pPr>
        <w:rPr>
          <w:rFonts w:asciiTheme="minorHAnsi" w:hAnsiTheme="minorHAnsi"/>
          <w:sz w:val="22"/>
          <w:szCs w:val="22"/>
        </w:rPr>
      </w:pPr>
    </w:p>
    <w:p w14:paraId="6339EB2B" w14:textId="4EE9EAAD" w:rsidR="00804756" w:rsidRDefault="00804756" w:rsidP="008F1447">
      <w:pPr>
        <w:rPr>
          <w:rFonts w:asciiTheme="minorHAnsi" w:hAnsiTheme="minorHAnsi"/>
          <w:sz w:val="22"/>
          <w:szCs w:val="22"/>
        </w:rPr>
      </w:pPr>
      <w:r>
        <w:rPr>
          <w:rFonts w:asciiTheme="minorHAnsi" w:hAnsiTheme="minorHAnsi"/>
          <w:sz w:val="22"/>
          <w:szCs w:val="22"/>
        </w:rPr>
        <w:t xml:space="preserve">From WIPO’s </w:t>
      </w:r>
      <w:r w:rsidR="00137F8A">
        <w:rPr>
          <w:rFonts w:asciiTheme="minorHAnsi" w:hAnsiTheme="minorHAnsi"/>
          <w:sz w:val="22"/>
          <w:szCs w:val="22"/>
        </w:rPr>
        <w:t>Publication on Geographical Indications: An Introduction (</w:t>
      </w:r>
      <w:hyperlink r:id="rId13" w:history="1">
        <w:r w:rsidR="00137F8A" w:rsidRPr="0073050F">
          <w:rPr>
            <w:rStyle w:val="Hyperlink"/>
            <w:rFonts w:asciiTheme="minorHAnsi" w:hAnsiTheme="minorHAnsi"/>
            <w:sz w:val="22"/>
            <w:szCs w:val="22"/>
          </w:rPr>
          <w:t>http://www.wipo.int/edocs/pubdocs/en/geographical/952/wipo_pub_952.pdf)</w:t>
        </w:r>
      </w:hyperlink>
      <w:r w:rsidR="00137F8A">
        <w:rPr>
          <w:rFonts w:asciiTheme="minorHAnsi" w:hAnsiTheme="minorHAnsi"/>
          <w:sz w:val="22"/>
          <w:szCs w:val="22"/>
        </w:rPr>
        <w:t xml:space="preserve">: </w:t>
      </w:r>
    </w:p>
    <w:p w14:paraId="2EC0B50C" w14:textId="77777777" w:rsidR="00404533" w:rsidRDefault="00137F8A" w:rsidP="00404533">
      <w:pPr>
        <w:ind w:left="720"/>
        <w:rPr>
          <w:rFonts w:asciiTheme="minorHAnsi" w:hAnsiTheme="minorHAnsi"/>
          <w:sz w:val="22"/>
          <w:szCs w:val="22"/>
        </w:rPr>
      </w:pPr>
      <w:r>
        <w:rPr>
          <w:rFonts w:asciiTheme="minorHAnsi" w:hAnsiTheme="minorHAnsi"/>
          <w:sz w:val="22"/>
          <w:szCs w:val="22"/>
        </w:rPr>
        <w:t>“</w:t>
      </w:r>
      <w:r w:rsidR="0015260F" w:rsidRPr="0015260F">
        <w:rPr>
          <w:rFonts w:asciiTheme="minorHAnsi" w:hAnsiTheme="minorHAnsi"/>
          <w:sz w:val="22"/>
          <w:szCs w:val="22"/>
        </w:rPr>
        <w:t xml:space="preserve">Geographical indications and trademarks are distinctive signs used to distinguish goods or services in the marketplace. Both convey information about the origin of a good or service, and enable consumers to associate a particular quality with a good or service. Trademarks inform consumers about the source of a good or service. They identify a good or service as originating from a particular company. Trademarks help consumers associate a good or service with a specific quality or reputation, based on information about the company responsible for producing or offering it. Geographical indications identify a good as originating from a particular place. Based on its place of origin, consumers may associate a good with a particular quality, characteristic or reputation. </w:t>
      </w:r>
    </w:p>
    <w:p w14:paraId="1EA7077B" w14:textId="77777777" w:rsidR="00404533" w:rsidRDefault="00404533" w:rsidP="00404533">
      <w:pPr>
        <w:ind w:left="720"/>
        <w:rPr>
          <w:rFonts w:asciiTheme="minorHAnsi" w:hAnsiTheme="minorHAnsi"/>
          <w:sz w:val="22"/>
          <w:szCs w:val="22"/>
        </w:rPr>
      </w:pPr>
    </w:p>
    <w:p w14:paraId="788463EB" w14:textId="31EE5105" w:rsidR="008F1447" w:rsidRPr="008F1447" w:rsidRDefault="0015260F" w:rsidP="00404533">
      <w:pPr>
        <w:ind w:left="720"/>
        <w:rPr>
          <w:rFonts w:asciiTheme="minorHAnsi" w:hAnsiTheme="minorHAnsi"/>
          <w:sz w:val="22"/>
          <w:szCs w:val="22"/>
        </w:rPr>
      </w:pPr>
      <w:r w:rsidRPr="0015260F">
        <w:rPr>
          <w:rFonts w:asciiTheme="minorHAnsi" w:hAnsiTheme="minorHAnsi"/>
          <w:sz w:val="22"/>
          <w:szCs w:val="22"/>
        </w:rPr>
        <w:t>A trademark often consists of a fanciful or arbitrary sign that may be used by its owner or another person authorized to do so. A trademark can be assigned or licensed to anyone, anywhere in the world, because it is linked to a specific company and not to a particular place</w:t>
      </w:r>
      <w:r w:rsidR="008F1447">
        <w:rPr>
          <w:rFonts w:asciiTheme="minorHAnsi" w:hAnsiTheme="minorHAnsi"/>
          <w:sz w:val="22"/>
          <w:szCs w:val="22"/>
        </w:rPr>
        <w:t xml:space="preserve">. </w:t>
      </w:r>
      <w:r w:rsidR="008F1447" w:rsidRPr="008F1447">
        <w:rPr>
          <w:rFonts w:asciiTheme="minorHAnsi" w:hAnsiTheme="minorHAnsi"/>
          <w:sz w:val="22"/>
          <w:szCs w:val="22"/>
        </w:rPr>
        <w:t>In contrast, the sign used to denote a GI usually corresponds to the name of the place of origin of the good, or to the name by which the good is known in that place. A GI may be used by all persons who, in the area of origin, produce the good according to specified standards. However, because of its link with the place of origin, a GI cannot be assigned or licensed to someone outside that place or not belonging to the group of authorized producers.</w:t>
      </w:r>
      <w:r w:rsidR="00137F8A">
        <w:rPr>
          <w:rFonts w:asciiTheme="minorHAnsi" w:hAnsiTheme="minorHAnsi"/>
          <w:sz w:val="22"/>
          <w:szCs w:val="22"/>
        </w:rPr>
        <w:t>”</w:t>
      </w:r>
    </w:p>
    <w:p w14:paraId="09FA3432" w14:textId="77777777" w:rsidR="0015260F" w:rsidRDefault="0015260F" w:rsidP="0015260F">
      <w:pPr>
        <w:rPr>
          <w:rFonts w:asciiTheme="minorHAnsi" w:hAnsiTheme="minorHAnsi"/>
          <w:sz w:val="22"/>
          <w:szCs w:val="22"/>
        </w:rPr>
      </w:pPr>
    </w:p>
    <w:p w14:paraId="2A04780E" w14:textId="443A1694" w:rsidR="004B18EB" w:rsidRPr="004B18EB" w:rsidRDefault="004B18EB" w:rsidP="0015260F">
      <w:pPr>
        <w:rPr>
          <w:rFonts w:asciiTheme="minorHAnsi" w:hAnsiTheme="minorHAnsi"/>
          <w:b/>
          <w:sz w:val="22"/>
          <w:szCs w:val="22"/>
        </w:rPr>
      </w:pPr>
      <w:r w:rsidRPr="004B18EB">
        <w:rPr>
          <w:rFonts w:asciiTheme="minorHAnsi" w:hAnsiTheme="minorHAnsi"/>
          <w:b/>
          <w:sz w:val="22"/>
          <w:szCs w:val="22"/>
        </w:rPr>
        <w:t>Difference</w:t>
      </w:r>
      <w:r>
        <w:rPr>
          <w:rFonts w:asciiTheme="minorHAnsi" w:hAnsiTheme="minorHAnsi"/>
          <w:b/>
          <w:sz w:val="22"/>
          <w:szCs w:val="22"/>
        </w:rPr>
        <w:t>s</w:t>
      </w:r>
      <w:r w:rsidRPr="004B18EB">
        <w:rPr>
          <w:rFonts w:asciiTheme="minorHAnsi" w:hAnsiTheme="minorHAnsi"/>
          <w:b/>
          <w:sz w:val="22"/>
          <w:szCs w:val="22"/>
        </w:rPr>
        <w:t xml:space="preserve"> between GIs and Geographical Names</w:t>
      </w:r>
    </w:p>
    <w:p w14:paraId="747193A5" w14:textId="77777777" w:rsidR="004B18EB" w:rsidRDefault="004B18EB" w:rsidP="0015260F">
      <w:pPr>
        <w:rPr>
          <w:rFonts w:asciiTheme="minorHAnsi" w:hAnsiTheme="minorHAnsi"/>
          <w:sz w:val="22"/>
          <w:szCs w:val="22"/>
        </w:rPr>
      </w:pPr>
    </w:p>
    <w:p w14:paraId="158B6C3D" w14:textId="4AF967C5" w:rsidR="004B18EB" w:rsidRDefault="004B18EB" w:rsidP="0015260F">
      <w:pPr>
        <w:rPr>
          <w:rFonts w:asciiTheme="minorHAnsi" w:hAnsiTheme="minorHAnsi"/>
          <w:sz w:val="22"/>
          <w:szCs w:val="22"/>
        </w:rPr>
      </w:pPr>
      <w:r>
        <w:rPr>
          <w:rFonts w:asciiTheme="minorHAnsi" w:hAnsiTheme="minorHAnsi"/>
          <w:sz w:val="22"/>
          <w:szCs w:val="22"/>
        </w:rPr>
        <w:t>See the European Commission’s report on GIs and TRIPS – Ten Years Later (</w:t>
      </w:r>
      <w:hyperlink r:id="rId14" w:history="1">
        <w:r w:rsidRPr="0073050F">
          <w:rPr>
            <w:rStyle w:val="Hyperlink"/>
            <w:rFonts w:asciiTheme="minorHAnsi" w:hAnsiTheme="minorHAnsi"/>
            <w:sz w:val="22"/>
            <w:szCs w:val="22"/>
          </w:rPr>
          <w:t>http://trade.ec.europa.eu/doclib/docs/2007/june/tradoc_135088.pdf)</w:t>
        </w:r>
      </w:hyperlink>
      <w:r>
        <w:rPr>
          <w:rFonts w:asciiTheme="minorHAnsi" w:hAnsiTheme="minorHAnsi"/>
          <w:sz w:val="22"/>
          <w:szCs w:val="22"/>
        </w:rPr>
        <w:t xml:space="preserve">: </w:t>
      </w:r>
    </w:p>
    <w:p w14:paraId="5D0EBF51" w14:textId="77777777" w:rsidR="004B18EB" w:rsidRDefault="004B18EB" w:rsidP="004B18EB">
      <w:pPr>
        <w:rPr>
          <w:rFonts w:asciiTheme="minorHAnsi" w:hAnsiTheme="minorHAnsi"/>
          <w:sz w:val="22"/>
          <w:szCs w:val="22"/>
        </w:rPr>
      </w:pPr>
    </w:p>
    <w:p w14:paraId="135DC277" w14:textId="013211A0" w:rsidR="004B18EB" w:rsidRDefault="004B18EB" w:rsidP="004B18EB">
      <w:pPr>
        <w:ind w:left="720"/>
        <w:rPr>
          <w:rFonts w:asciiTheme="minorHAnsi" w:hAnsiTheme="minorHAnsi"/>
          <w:sz w:val="22"/>
          <w:szCs w:val="22"/>
        </w:rPr>
      </w:pPr>
      <w:r>
        <w:rPr>
          <w:rFonts w:asciiTheme="minorHAnsi" w:hAnsiTheme="minorHAnsi"/>
          <w:sz w:val="22"/>
          <w:szCs w:val="22"/>
        </w:rPr>
        <w:t xml:space="preserve">“GIs are </w:t>
      </w:r>
      <w:r w:rsidRPr="004B18EB">
        <w:rPr>
          <w:rFonts w:asciiTheme="minorHAnsi" w:hAnsiTheme="minorHAnsi"/>
          <w:sz w:val="22"/>
          <w:szCs w:val="22"/>
        </w:rPr>
        <w:t xml:space="preserve">signs (most usually proper names) which identify a good as originating in the territory of a particular country, or a region or locality in that country, where a given quality, reputation or other characteristic of the good is essentially attributable to its geographical origin. It is a separate type of intellectual property. From this definition it can be deduced that GIs are, first of all, signs and indications, necessarily linked to a particular territory. These are mostly geographical names (such as Parma, Manchego, Roquefort, etc.). Traditional and historical non-geographical names can nevertheless be protected if they are linked to a particular place. The most famous example of such a GI is “Feta”, which is not a place in Greece but is so closely connected to Greece as to identify a typical Greek product. </w:t>
      </w:r>
    </w:p>
    <w:p w14:paraId="270A79A7" w14:textId="77777777" w:rsidR="004B18EB" w:rsidRDefault="004B18EB" w:rsidP="004B18EB">
      <w:pPr>
        <w:ind w:left="720"/>
        <w:rPr>
          <w:rFonts w:asciiTheme="minorHAnsi" w:hAnsiTheme="minorHAnsi"/>
          <w:sz w:val="22"/>
          <w:szCs w:val="22"/>
        </w:rPr>
      </w:pPr>
    </w:p>
    <w:p w14:paraId="57E9CE03" w14:textId="77777777" w:rsidR="004B18EB" w:rsidRDefault="004B18EB" w:rsidP="004B18EB">
      <w:pPr>
        <w:ind w:left="720"/>
        <w:rPr>
          <w:rFonts w:asciiTheme="minorHAnsi" w:hAnsiTheme="minorHAnsi"/>
          <w:sz w:val="22"/>
          <w:szCs w:val="22"/>
        </w:rPr>
      </w:pPr>
      <w:r w:rsidRPr="004B18EB">
        <w:rPr>
          <w:rFonts w:asciiTheme="minorHAnsi" w:hAnsiTheme="minorHAnsi"/>
          <w:sz w:val="22"/>
          <w:szCs w:val="22"/>
        </w:rPr>
        <w:t xml:space="preserve">There are three major conditions for the recognition of a sign as a geographical indication: </w:t>
      </w:r>
    </w:p>
    <w:p w14:paraId="058ECAEF" w14:textId="77777777" w:rsidR="004B18EB" w:rsidRDefault="004B18EB" w:rsidP="004B18EB">
      <w:pPr>
        <w:ind w:left="1440"/>
        <w:rPr>
          <w:rFonts w:asciiTheme="minorHAnsi" w:hAnsiTheme="minorHAnsi"/>
          <w:sz w:val="22"/>
          <w:szCs w:val="22"/>
        </w:rPr>
      </w:pPr>
      <w:r w:rsidRPr="004B18EB">
        <w:rPr>
          <w:rFonts w:asciiTheme="minorHAnsi" w:hAnsiTheme="minorHAnsi"/>
          <w:sz w:val="22"/>
          <w:szCs w:val="22"/>
        </w:rPr>
        <w:t xml:space="preserve">• it must relate to a good (although in some countries services are also included, for example in Azerbaijan, Bahrain, Croatia, Jamaica, Saint Lucia, Singapore and others); </w:t>
      </w:r>
    </w:p>
    <w:p w14:paraId="418ACCE1" w14:textId="520BF3B6" w:rsidR="004B18EB" w:rsidRDefault="004B18EB" w:rsidP="004B18EB">
      <w:pPr>
        <w:ind w:left="1440"/>
        <w:rPr>
          <w:rFonts w:asciiTheme="minorHAnsi" w:hAnsiTheme="minorHAnsi"/>
          <w:sz w:val="22"/>
          <w:szCs w:val="22"/>
        </w:rPr>
      </w:pPr>
      <w:r w:rsidRPr="004B18EB">
        <w:rPr>
          <w:rFonts w:asciiTheme="minorHAnsi" w:hAnsiTheme="minorHAnsi"/>
          <w:sz w:val="22"/>
          <w:szCs w:val="22"/>
        </w:rPr>
        <w:t xml:space="preserve">• these goods must originate from a defined area; </w:t>
      </w:r>
    </w:p>
    <w:p w14:paraId="2F91727F" w14:textId="77777777" w:rsidR="004B18EB" w:rsidRDefault="004B18EB" w:rsidP="004B18EB">
      <w:pPr>
        <w:ind w:left="1440"/>
        <w:rPr>
          <w:rFonts w:asciiTheme="minorHAnsi" w:hAnsiTheme="minorHAnsi"/>
          <w:sz w:val="22"/>
          <w:szCs w:val="22"/>
        </w:rPr>
      </w:pPr>
      <w:r w:rsidRPr="004B18EB">
        <w:rPr>
          <w:rFonts w:asciiTheme="minorHAnsi" w:hAnsiTheme="minorHAnsi"/>
          <w:sz w:val="22"/>
          <w:szCs w:val="22"/>
        </w:rPr>
        <w:t xml:space="preserve">• the goods must have qualities, reputations or other characteristics which are clearly linked to the geographical origin of goods. </w:t>
      </w:r>
    </w:p>
    <w:p w14:paraId="7827F765" w14:textId="77777777" w:rsidR="004B18EB" w:rsidRDefault="004B18EB" w:rsidP="004B18EB">
      <w:pPr>
        <w:ind w:left="720"/>
        <w:rPr>
          <w:rFonts w:asciiTheme="minorHAnsi" w:hAnsiTheme="minorHAnsi"/>
          <w:sz w:val="22"/>
          <w:szCs w:val="22"/>
        </w:rPr>
      </w:pPr>
    </w:p>
    <w:p w14:paraId="7A31FA5E" w14:textId="26C24115" w:rsidR="004B18EB" w:rsidRPr="004B18EB" w:rsidRDefault="004B18EB" w:rsidP="004B18EB">
      <w:pPr>
        <w:ind w:left="720"/>
        <w:rPr>
          <w:rFonts w:asciiTheme="minorHAnsi" w:hAnsiTheme="minorHAnsi"/>
          <w:sz w:val="22"/>
          <w:szCs w:val="22"/>
        </w:rPr>
      </w:pPr>
      <w:r w:rsidRPr="004B18EB">
        <w:rPr>
          <w:rFonts w:asciiTheme="minorHAnsi" w:hAnsiTheme="minorHAnsi"/>
          <w:sz w:val="22"/>
          <w:szCs w:val="22"/>
        </w:rPr>
        <w:t>Any sign, even geographical, may not be considered as a geographical indication if it does not fulfil these three conditions.</w:t>
      </w:r>
      <w:r>
        <w:rPr>
          <w:rFonts w:asciiTheme="minorHAnsi" w:hAnsiTheme="minorHAnsi"/>
          <w:sz w:val="22"/>
          <w:szCs w:val="22"/>
        </w:rPr>
        <w:t>”</w:t>
      </w:r>
      <w:r w:rsidRPr="004B18EB">
        <w:rPr>
          <w:rFonts w:asciiTheme="minorHAnsi" w:hAnsiTheme="minorHAnsi"/>
          <w:sz w:val="22"/>
          <w:szCs w:val="22"/>
        </w:rPr>
        <w:t xml:space="preserve"> </w:t>
      </w:r>
    </w:p>
    <w:p w14:paraId="20C4197C" w14:textId="77777777" w:rsidR="004B18EB" w:rsidRDefault="004B18EB" w:rsidP="0015260F">
      <w:pPr>
        <w:rPr>
          <w:rFonts w:asciiTheme="minorHAnsi" w:hAnsiTheme="minorHAnsi"/>
          <w:b/>
          <w:sz w:val="22"/>
          <w:szCs w:val="22"/>
        </w:rPr>
      </w:pPr>
      <w:bookmarkStart w:id="2" w:name="_GoBack"/>
      <w:bookmarkEnd w:id="2"/>
    </w:p>
    <w:p w14:paraId="5EB12586" w14:textId="46414248" w:rsidR="008F1447" w:rsidRPr="00404533" w:rsidRDefault="008F1447" w:rsidP="0015260F">
      <w:pPr>
        <w:rPr>
          <w:rFonts w:asciiTheme="minorHAnsi" w:hAnsiTheme="minorHAnsi"/>
          <w:b/>
          <w:sz w:val="22"/>
          <w:szCs w:val="22"/>
        </w:rPr>
      </w:pPr>
      <w:r w:rsidRPr="00404533">
        <w:rPr>
          <w:rFonts w:asciiTheme="minorHAnsi" w:hAnsiTheme="minorHAnsi"/>
          <w:b/>
          <w:sz w:val="22"/>
          <w:szCs w:val="22"/>
        </w:rPr>
        <w:t>Differences between G</w:t>
      </w:r>
      <w:r w:rsidR="004B18EB">
        <w:rPr>
          <w:rFonts w:asciiTheme="minorHAnsi" w:hAnsiTheme="minorHAnsi"/>
          <w:b/>
          <w:sz w:val="22"/>
          <w:szCs w:val="22"/>
        </w:rPr>
        <w:t>I</w:t>
      </w:r>
      <w:r w:rsidRPr="00404533">
        <w:rPr>
          <w:rFonts w:asciiTheme="minorHAnsi" w:hAnsiTheme="minorHAnsi"/>
          <w:b/>
          <w:sz w:val="22"/>
          <w:szCs w:val="22"/>
        </w:rPr>
        <w:t>s and Appellations of Origin</w:t>
      </w:r>
    </w:p>
    <w:p w14:paraId="4CF96AD5" w14:textId="77777777" w:rsidR="008F1447" w:rsidRDefault="008F1447" w:rsidP="0015260F">
      <w:pPr>
        <w:rPr>
          <w:rFonts w:asciiTheme="minorHAnsi" w:hAnsiTheme="minorHAnsi"/>
          <w:sz w:val="22"/>
          <w:szCs w:val="22"/>
        </w:rPr>
      </w:pPr>
    </w:p>
    <w:p w14:paraId="08FF8226" w14:textId="3319429E" w:rsidR="00404533" w:rsidRDefault="00404533" w:rsidP="00A960B5">
      <w:pPr>
        <w:rPr>
          <w:rFonts w:asciiTheme="minorHAnsi" w:hAnsiTheme="minorHAnsi"/>
          <w:sz w:val="22"/>
          <w:szCs w:val="22"/>
        </w:rPr>
      </w:pPr>
      <w:r>
        <w:rPr>
          <w:rFonts w:asciiTheme="minorHAnsi" w:hAnsiTheme="minorHAnsi"/>
          <w:sz w:val="22"/>
          <w:szCs w:val="22"/>
        </w:rPr>
        <w:t xml:space="preserve">From WIPO’s </w:t>
      </w:r>
      <w:r w:rsidRPr="00404533">
        <w:rPr>
          <w:rFonts w:asciiTheme="minorHAnsi" w:hAnsiTheme="minorHAnsi"/>
          <w:sz w:val="22"/>
          <w:szCs w:val="22"/>
        </w:rPr>
        <w:t>Publication on Geographical Indications: An Introduction (</w:t>
      </w:r>
      <w:hyperlink r:id="rId15" w:history="1">
        <w:r w:rsidRPr="00404533">
          <w:rPr>
            <w:rStyle w:val="Hyperlink"/>
            <w:rFonts w:asciiTheme="minorHAnsi" w:hAnsiTheme="minorHAnsi"/>
            <w:sz w:val="22"/>
            <w:szCs w:val="22"/>
          </w:rPr>
          <w:t>http://www.wipo.int/edocs/pubdocs/en/geographical/952/wipo_pub_952.pdf)</w:t>
        </w:r>
      </w:hyperlink>
      <w:r w:rsidRPr="00404533">
        <w:rPr>
          <w:rFonts w:asciiTheme="minorHAnsi" w:hAnsiTheme="minorHAnsi"/>
          <w:sz w:val="22"/>
          <w:szCs w:val="22"/>
        </w:rPr>
        <w:t>:</w:t>
      </w:r>
    </w:p>
    <w:p w14:paraId="6181860B" w14:textId="77777777" w:rsidR="00404533" w:rsidRDefault="00404533" w:rsidP="00A960B5">
      <w:pPr>
        <w:rPr>
          <w:rFonts w:asciiTheme="minorHAnsi" w:hAnsiTheme="minorHAnsi"/>
          <w:sz w:val="22"/>
          <w:szCs w:val="22"/>
        </w:rPr>
      </w:pPr>
    </w:p>
    <w:p w14:paraId="44DED08E" w14:textId="0C4A0A29" w:rsidR="00A960B5" w:rsidRDefault="00404533" w:rsidP="00404533">
      <w:pPr>
        <w:ind w:left="720"/>
        <w:rPr>
          <w:rFonts w:asciiTheme="minorHAnsi" w:hAnsiTheme="minorHAnsi"/>
          <w:sz w:val="22"/>
          <w:szCs w:val="22"/>
        </w:rPr>
      </w:pPr>
      <w:r>
        <w:rPr>
          <w:rFonts w:asciiTheme="minorHAnsi" w:hAnsiTheme="minorHAnsi"/>
          <w:sz w:val="22"/>
          <w:szCs w:val="22"/>
        </w:rPr>
        <w:t>“</w:t>
      </w:r>
      <w:r w:rsidR="00F94303" w:rsidRPr="00F94303">
        <w:rPr>
          <w:rFonts w:asciiTheme="minorHAnsi" w:hAnsiTheme="minorHAnsi"/>
          <w:sz w:val="22"/>
          <w:szCs w:val="22"/>
        </w:rPr>
        <w:t>Appellations of origin are a special kind of GI. The term is used in the Paris Convention</w:t>
      </w:r>
      <w:r w:rsidR="00643FE1">
        <w:rPr>
          <w:rStyle w:val="FootnoteReference"/>
          <w:rFonts w:asciiTheme="minorHAnsi" w:hAnsiTheme="minorHAnsi"/>
          <w:sz w:val="22"/>
          <w:szCs w:val="22"/>
        </w:rPr>
        <w:footnoteReference w:id="11"/>
      </w:r>
      <w:r w:rsidR="00F94303" w:rsidRPr="00F94303">
        <w:rPr>
          <w:rFonts w:asciiTheme="minorHAnsi" w:hAnsiTheme="minorHAnsi"/>
          <w:sz w:val="22"/>
          <w:szCs w:val="22"/>
        </w:rPr>
        <w:t xml:space="preserve"> and defined in the Lisbon Agreement. </w:t>
      </w:r>
      <w:r w:rsidR="00A960B5">
        <w:rPr>
          <w:rFonts w:asciiTheme="minorHAnsi" w:hAnsiTheme="minorHAnsi"/>
          <w:sz w:val="22"/>
          <w:szCs w:val="22"/>
        </w:rPr>
        <w:t>A</w:t>
      </w:r>
      <w:r w:rsidR="00A960B5" w:rsidRPr="00A960B5">
        <w:rPr>
          <w:rFonts w:asciiTheme="minorHAnsi" w:hAnsiTheme="minorHAnsi"/>
          <w:sz w:val="22"/>
          <w:szCs w:val="22"/>
        </w:rPr>
        <w:t xml:space="preserve">ppellations of origin and GIs both require a qualitative link between the product to which they refer and its place of origin. Both inform consumers about a product’s geographical origin and a quality or characteristic of the product linked to its place of origin. </w:t>
      </w:r>
    </w:p>
    <w:p w14:paraId="497A5950" w14:textId="77777777" w:rsidR="00A960B5" w:rsidRDefault="00A960B5" w:rsidP="00404533">
      <w:pPr>
        <w:ind w:left="720"/>
        <w:rPr>
          <w:rFonts w:asciiTheme="minorHAnsi" w:hAnsiTheme="minorHAnsi"/>
          <w:sz w:val="22"/>
          <w:szCs w:val="22"/>
        </w:rPr>
      </w:pPr>
    </w:p>
    <w:p w14:paraId="75C132B8" w14:textId="77777777" w:rsidR="00A960B5" w:rsidRDefault="00A960B5" w:rsidP="00404533">
      <w:pPr>
        <w:ind w:left="720"/>
        <w:rPr>
          <w:rFonts w:asciiTheme="minorHAnsi" w:hAnsiTheme="minorHAnsi"/>
          <w:sz w:val="22"/>
          <w:szCs w:val="22"/>
        </w:rPr>
      </w:pPr>
      <w:r w:rsidRPr="00A960B5">
        <w:rPr>
          <w:rFonts w:asciiTheme="minorHAnsi" w:hAnsiTheme="minorHAnsi"/>
          <w:sz w:val="22"/>
          <w:szCs w:val="22"/>
        </w:rPr>
        <w:t>The basic difference between the two terms is that the link with the place of origin must be stronger in the case of an appellation of</w:t>
      </w:r>
      <w:r>
        <w:rPr>
          <w:rFonts w:asciiTheme="minorHAnsi" w:hAnsiTheme="minorHAnsi"/>
          <w:sz w:val="22"/>
          <w:szCs w:val="22"/>
        </w:rPr>
        <w:t xml:space="preserve"> </w:t>
      </w:r>
      <w:r w:rsidRPr="00A960B5">
        <w:rPr>
          <w:rFonts w:asciiTheme="minorHAnsi" w:hAnsiTheme="minorHAnsi"/>
          <w:sz w:val="22"/>
          <w:szCs w:val="22"/>
        </w:rPr>
        <w:t xml:space="preserve">origin. The quality or characteristics of a product protected as an appellation of origin must result exclusively or essentially from its geographical origin. This generally means that the raw materials should be sourced in the place of origin and that the processing of the product should also happen there. In the case of GIs, a single criterion attributable to geographical origin is sufficient, be it a quality or other characteristic of the product, or only its reputation. Moreover, the production of the raw materials and the development or processing of a GI product do not necessarily take place entirely in the defined geographical area. </w:t>
      </w:r>
    </w:p>
    <w:p w14:paraId="5F4A345E" w14:textId="77777777" w:rsidR="00A960B5" w:rsidRDefault="00A960B5" w:rsidP="00404533">
      <w:pPr>
        <w:ind w:left="720"/>
        <w:rPr>
          <w:rFonts w:asciiTheme="minorHAnsi" w:hAnsiTheme="minorHAnsi"/>
          <w:sz w:val="22"/>
          <w:szCs w:val="22"/>
        </w:rPr>
      </w:pPr>
    </w:p>
    <w:p w14:paraId="5AC42DBA" w14:textId="484F8C28" w:rsidR="00A960B5" w:rsidRPr="00A960B5" w:rsidRDefault="00A960B5" w:rsidP="00404533">
      <w:pPr>
        <w:ind w:left="720"/>
        <w:rPr>
          <w:rFonts w:asciiTheme="minorHAnsi" w:hAnsiTheme="minorHAnsi"/>
          <w:sz w:val="22"/>
          <w:szCs w:val="22"/>
        </w:rPr>
      </w:pPr>
      <w:r w:rsidRPr="00A960B5">
        <w:rPr>
          <w:rFonts w:asciiTheme="minorHAnsi" w:hAnsiTheme="minorHAnsi"/>
          <w:sz w:val="22"/>
          <w:szCs w:val="22"/>
        </w:rPr>
        <w:t>The term appellation of origin is often used in laws that establish a specific right and system of protection for GIs, in so-called sui generis systems of protection (see the chapter on how to obtain protection for GIs). Geographical indication is a more general concept that does not determine a specific mode of protection.</w:t>
      </w:r>
      <w:r w:rsidR="00404533">
        <w:rPr>
          <w:rFonts w:asciiTheme="minorHAnsi" w:hAnsiTheme="minorHAnsi"/>
          <w:sz w:val="22"/>
          <w:szCs w:val="22"/>
        </w:rPr>
        <w:t>”</w:t>
      </w:r>
    </w:p>
    <w:p w14:paraId="124E4FD2" w14:textId="77777777" w:rsidR="0015260F" w:rsidRDefault="0015260F">
      <w:pPr>
        <w:rPr>
          <w:rFonts w:asciiTheme="minorHAnsi" w:hAnsiTheme="minorHAnsi"/>
          <w:sz w:val="22"/>
          <w:szCs w:val="22"/>
        </w:rPr>
      </w:pPr>
    </w:p>
    <w:p w14:paraId="39732AD2" w14:textId="4327BA0A" w:rsidR="00994C98" w:rsidRPr="00994C98" w:rsidRDefault="00994C98">
      <w:pPr>
        <w:rPr>
          <w:rFonts w:asciiTheme="minorHAnsi" w:hAnsiTheme="minorHAnsi"/>
          <w:b/>
          <w:sz w:val="22"/>
          <w:szCs w:val="22"/>
        </w:rPr>
      </w:pPr>
      <w:r w:rsidRPr="00994C98">
        <w:rPr>
          <w:rFonts w:asciiTheme="minorHAnsi" w:hAnsiTheme="minorHAnsi"/>
          <w:b/>
          <w:sz w:val="22"/>
          <w:szCs w:val="22"/>
        </w:rPr>
        <w:t>Legal Protections for Geographical Indications</w:t>
      </w:r>
      <w:r w:rsidR="0045402C">
        <w:rPr>
          <w:rStyle w:val="FootnoteReference"/>
          <w:rFonts w:asciiTheme="minorHAnsi" w:hAnsiTheme="minorHAnsi"/>
          <w:b/>
          <w:sz w:val="22"/>
          <w:szCs w:val="22"/>
        </w:rPr>
        <w:footnoteReference w:id="12"/>
      </w:r>
      <w:r w:rsidRPr="00994C98">
        <w:rPr>
          <w:rFonts w:asciiTheme="minorHAnsi" w:hAnsiTheme="minorHAnsi"/>
          <w:b/>
          <w:sz w:val="22"/>
          <w:szCs w:val="22"/>
        </w:rPr>
        <w:t>:</w:t>
      </w:r>
    </w:p>
    <w:p w14:paraId="123E7EC7" w14:textId="77777777" w:rsidR="00994C98" w:rsidRDefault="00994C98">
      <w:pPr>
        <w:rPr>
          <w:rFonts w:asciiTheme="minorHAnsi" w:hAnsiTheme="minorHAnsi"/>
          <w:sz w:val="22"/>
          <w:szCs w:val="22"/>
        </w:rPr>
      </w:pPr>
    </w:p>
    <w:p w14:paraId="418E54F2" w14:textId="58A05809" w:rsidR="00994C98" w:rsidRDefault="00994C98">
      <w:pPr>
        <w:rPr>
          <w:rFonts w:asciiTheme="minorHAnsi" w:hAnsiTheme="minorHAnsi"/>
          <w:sz w:val="22"/>
          <w:szCs w:val="22"/>
        </w:rPr>
      </w:pPr>
      <w:r>
        <w:rPr>
          <w:rFonts w:asciiTheme="minorHAnsi" w:hAnsiTheme="minorHAnsi"/>
          <w:sz w:val="22"/>
          <w:szCs w:val="22"/>
        </w:rPr>
        <w:t xml:space="preserve">Generally, GIs </w:t>
      </w:r>
      <w:r w:rsidR="0093144B">
        <w:rPr>
          <w:rFonts w:asciiTheme="minorHAnsi" w:hAnsiTheme="minorHAnsi"/>
          <w:sz w:val="22"/>
          <w:szCs w:val="22"/>
        </w:rPr>
        <w:t>are currently</w:t>
      </w:r>
      <w:r>
        <w:rPr>
          <w:rFonts w:asciiTheme="minorHAnsi" w:hAnsiTheme="minorHAnsi"/>
          <w:sz w:val="22"/>
          <w:szCs w:val="22"/>
        </w:rPr>
        <w:t xml:space="preserve"> protected </w:t>
      </w:r>
      <w:r w:rsidR="0093144B">
        <w:rPr>
          <w:rFonts w:asciiTheme="minorHAnsi" w:hAnsiTheme="minorHAnsi"/>
          <w:sz w:val="22"/>
          <w:szCs w:val="22"/>
        </w:rPr>
        <w:t>in the following</w:t>
      </w:r>
      <w:r>
        <w:rPr>
          <w:rFonts w:asciiTheme="minorHAnsi" w:hAnsiTheme="minorHAnsi"/>
          <w:sz w:val="22"/>
          <w:szCs w:val="22"/>
        </w:rPr>
        <w:t xml:space="preserve"> ways:</w:t>
      </w:r>
    </w:p>
    <w:p w14:paraId="4FE58A5F" w14:textId="1BA4EB2F" w:rsidR="00994C98" w:rsidRDefault="00994C98" w:rsidP="00994C98">
      <w:pPr>
        <w:ind w:left="720"/>
        <w:rPr>
          <w:rFonts w:asciiTheme="minorHAnsi" w:hAnsiTheme="minorHAnsi"/>
          <w:sz w:val="22"/>
          <w:szCs w:val="22"/>
        </w:rPr>
      </w:pPr>
      <w:r>
        <w:rPr>
          <w:rFonts w:asciiTheme="minorHAnsi" w:hAnsiTheme="minorHAnsi"/>
          <w:sz w:val="22"/>
          <w:szCs w:val="22"/>
        </w:rPr>
        <w:t>(1) “Sui Generis” protections – i.e. where a specific right is created for GIs separately from trademark or other intellectual property right (e.g. EU, India, Switzerland)</w:t>
      </w:r>
    </w:p>
    <w:p w14:paraId="5DAD2F0A" w14:textId="481C9634" w:rsidR="00994C98" w:rsidRDefault="00994C98" w:rsidP="00994C98">
      <w:pPr>
        <w:ind w:left="720"/>
        <w:rPr>
          <w:rFonts w:asciiTheme="minorHAnsi" w:hAnsiTheme="minorHAnsi"/>
          <w:sz w:val="22"/>
          <w:szCs w:val="22"/>
        </w:rPr>
      </w:pPr>
      <w:r>
        <w:rPr>
          <w:rFonts w:asciiTheme="minorHAnsi" w:hAnsiTheme="minorHAnsi"/>
          <w:sz w:val="22"/>
          <w:szCs w:val="22"/>
        </w:rPr>
        <w:t>(2) Through collective or certification marks – i.e. as a type of trademark (e.g. Australia, Canada, China, USA)</w:t>
      </w:r>
    </w:p>
    <w:p w14:paraId="57F28319" w14:textId="24BA56E9" w:rsidR="00994C98" w:rsidRPr="00F72CAB" w:rsidRDefault="00994C98" w:rsidP="00994C98">
      <w:pPr>
        <w:ind w:left="720"/>
        <w:rPr>
          <w:rFonts w:asciiTheme="minorHAnsi" w:hAnsiTheme="minorHAnsi"/>
          <w:sz w:val="22"/>
          <w:szCs w:val="22"/>
        </w:rPr>
      </w:pPr>
      <w:r>
        <w:rPr>
          <w:rFonts w:asciiTheme="minorHAnsi" w:hAnsiTheme="minorHAnsi"/>
          <w:sz w:val="22"/>
          <w:szCs w:val="22"/>
        </w:rPr>
        <w:t>(3) Indirect protections under other areas of law - e.g. unfair competition, labeling, consumer protection laws</w:t>
      </w:r>
    </w:p>
    <w:sectPr w:rsidR="00994C98" w:rsidRPr="00F72CAB" w:rsidSect="008C13B6">
      <w:footerReference w:type="even"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CA08E" w14:textId="77777777" w:rsidR="006A282B" w:rsidRDefault="006A282B" w:rsidP="00262765">
      <w:r>
        <w:separator/>
      </w:r>
    </w:p>
  </w:endnote>
  <w:endnote w:type="continuationSeparator" w:id="0">
    <w:p w14:paraId="6A380DC8" w14:textId="77777777" w:rsidR="006A282B" w:rsidRDefault="006A282B" w:rsidP="0026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12B34" w14:textId="77777777" w:rsidR="00A26C2D" w:rsidRDefault="00A26C2D" w:rsidP="007305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7298" w14:textId="77777777" w:rsidR="00A26C2D" w:rsidRDefault="00A26C2D" w:rsidP="00A26C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59208" w14:textId="77777777" w:rsidR="00A26C2D" w:rsidRDefault="00A26C2D" w:rsidP="007305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82B">
      <w:rPr>
        <w:rStyle w:val="PageNumber"/>
        <w:noProof/>
      </w:rPr>
      <w:t>1</w:t>
    </w:r>
    <w:r>
      <w:rPr>
        <w:rStyle w:val="PageNumber"/>
      </w:rPr>
      <w:fldChar w:fldCharType="end"/>
    </w:r>
  </w:p>
  <w:p w14:paraId="3D10C1BF" w14:textId="77777777" w:rsidR="00A26C2D" w:rsidRDefault="00A26C2D" w:rsidP="00A26C2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C9697" w14:textId="77777777" w:rsidR="006A282B" w:rsidRDefault="006A282B" w:rsidP="00262765">
      <w:r>
        <w:separator/>
      </w:r>
    </w:p>
  </w:footnote>
  <w:footnote w:type="continuationSeparator" w:id="0">
    <w:p w14:paraId="00A46EE9" w14:textId="77777777" w:rsidR="006A282B" w:rsidRDefault="006A282B" w:rsidP="00262765">
      <w:r>
        <w:continuationSeparator/>
      </w:r>
    </w:p>
  </w:footnote>
  <w:footnote w:id="1">
    <w:p w14:paraId="44B1BEAA" w14:textId="40958D59" w:rsidR="008C13B6" w:rsidRPr="001E0598" w:rsidRDefault="008C13B6">
      <w:pPr>
        <w:pStyle w:val="FootnoteText"/>
        <w:rPr>
          <w:rFonts w:asciiTheme="minorHAnsi" w:hAnsiTheme="minorHAnsi"/>
          <w:sz w:val="20"/>
          <w:szCs w:val="20"/>
        </w:rPr>
      </w:pPr>
      <w:r w:rsidRPr="001E0598">
        <w:rPr>
          <w:rStyle w:val="FootnoteReference"/>
          <w:rFonts w:asciiTheme="minorHAnsi" w:hAnsiTheme="minorHAnsi"/>
          <w:sz w:val="20"/>
          <w:szCs w:val="20"/>
        </w:rPr>
        <w:footnoteRef/>
      </w:r>
      <w:r w:rsidRPr="001E0598">
        <w:rPr>
          <w:rFonts w:asciiTheme="minorHAnsi" w:hAnsiTheme="minorHAnsi"/>
          <w:sz w:val="20"/>
          <w:szCs w:val="20"/>
        </w:rPr>
        <w:t xml:space="preserve"> </w:t>
      </w:r>
      <w:r w:rsidR="001716F9" w:rsidRPr="001E0598">
        <w:rPr>
          <w:rFonts w:asciiTheme="minorHAnsi" w:hAnsiTheme="minorHAnsi"/>
          <w:sz w:val="20"/>
          <w:szCs w:val="20"/>
        </w:rPr>
        <w:t>See below</w:t>
      </w:r>
      <w:r w:rsidRPr="001E0598">
        <w:rPr>
          <w:rFonts w:asciiTheme="minorHAnsi" w:hAnsiTheme="minorHAnsi"/>
          <w:sz w:val="20"/>
          <w:szCs w:val="20"/>
        </w:rPr>
        <w:t xml:space="preserve"> for the distinction between an Appellation of Origin and a GI.</w:t>
      </w:r>
    </w:p>
  </w:footnote>
  <w:footnote w:id="2">
    <w:p w14:paraId="16341B07" w14:textId="3C61FD17" w:rsidR="001E0598" w:rsidRPr="001E0598" w:rsidRDefault="001E0598" w:rsidP="001E0598">
      <w:pPr>
        <w:pStyle w:val="FootnoteText"/>
        <w:rPr>
          <w:rFonts w:asciiTheme="minorHAnsi" w:hAnsiTheme="minorHAnsi"/>
          <w:sz w:val="20"/>
          <w:szCs w:val="20"/>
        </w:rPr>
      </w:pPr>
      <w:r w:rsidRPr="001E0598">
        <w:rPr>
          <w:rStyle w:val="FootnoteReference"/>
          <w:rFonts w:asciiTheme="minorHAnsi" w:hAnsiTheme="minorHAnsi"/>
          <w:sz w:val="20"/>
          <w:szCs w:val="20"/>
        </w:rPr>
        <w:footnoteRef/>
      </w:r>
      <w:r w:rsidRPr="001E0598">
        <w:rPr>
          <w:rFonts w:asciiTheme="minorHAnsi" w:hAnsiTheme="minorHAnsi"/>
          <w:sz w:val="20"/>
          <w:szCs w:val="20"/>
        </w:rPr>
        <w:t xml:space="preserve"> </w:t>
      </w:r>
      <w:r>
        <w:rPr>
          <w:rFonts w:asciiTheme="minorHAnsi" w:hAnsiTheme="minorHAnsi"/>
          <w:sz w:val="20"/>
          <w:szCs w:val="20"/>
        </w:rPr>
        <w:t>Created</w:t>
      </w:r>
      <w:r w:rsidRPr="001E0598">
        <w:rPr>
          <w:rFonts w:asciiTheme="minorHAnsi" w:hAnsiTheme="minorHAnsi"/>
          <w:sz w:val="20"/>
          <w:szCs w:val="20"/>
        </w:rPr>
        <w:t xml:space="preserve"> recently </w:t>
      </w:r>
      <w:r>
        <w:rPr>
          <w:rFonts w:asciiTheme="minorHAnsi" w:hAnsiTheme="minorHAnsi"/>
          <w:sz w:val="20"/>
          <w:szCs w:val="20"/>
        </w:rPr>
        <w:t xml:space="preserve">as part of the overall EU trademark reform package. A stated reason for introducing the new EU certification mark was </w:t>
      </w:r>
      <w:r w:rsidRPr="001E0598">
        <w:rPr>
          <w:rFonts w:asciiTheme="minorHAnsi" w:hAnsiTheme="minorHAnsi"/>
          <w:sz w:val="20"/>
          <w:szCs w:val="20"/>
        </w:rPr>
        <w:t>“</w:t>
      </w:r>
      <w:r>
        <w:rPr>
          <w:rFonts w:asciiTheme="minorHAnsi" w:hAnsiTheme="minorHAnsi"/>
          <w:sz w:val="20"/>
          <w:szCs w:val="20"/>
        </w:rPr>
        <w:t>a</w:t>
      </w:r>
      <w:r w:rsidRPr="001E0598">
        <w:rPr>
          <w:rFonts w:asciiTheme="minorHAnsi" w:hAnsiTheme="minorHAnsi"/>
          <w:sz w:val="20"/>
          <w:szCs w:val="20"/>
        </w:rPr>
        <w:t>s a complement to the existing provisions on Community collective marks and to remedy the current imbalance between national systems and the EU trade mark system”: see Regulation (EU) 2015/2424, December 2015</w:t>
      </w:r>
    </w:p>
    <w:p w14:paraId="1D8CFA5F" w14:textId="4805FB9C" w:rsidR="001E0598" w:rsidRDefault="001E0598">
      <w:pPr>
        <w:pStyle w:val="FootnoteText"/>
      </w:pPr>
      <w:r w:rsidRPr="001E0598">
        <w:rPr>
          <w:rFonts w:asciiTheme="minorHAnsi" w:hAnsiTheme="minorHAnsi"/>
          <w:sz w:val="20"/>
          <w:szCs w:val="20"/>
        </w:rPr>
        <w:t>(</w:t>
      </w:r>
      <w:hyperlink r:id="rId1" w:history="1">
        <w:r w:rsidRPr="001E0598">
          <w:rPr>
            <w:rStyle w:val="Hyperlink"/>
            <w:rFonts w:asciiTheme="minorHAnsi" w:hAnsiTheme="minorHAnsi"/>
            <w:sz w:val="20"/>
            <w:szCs w:val="20"/>
          </w:rPr>
          <w:t>https://euipo.europa.eu/tunnel-web/secure/webdav/guest/document_library/contentPdfs/legal_reform/regulation_20152424_en.pdf)</w:t>
        </w:r>
      </w:hyperlink>
      <w:r w:rsidRPr="001E0598">
        <w:rPr>
          <w:rFonts w:asciiTheme="minorHAnsi" w:hAnsiTheme="minorHAnsi"/>
          <w:sz w:val="20"/>
          <w:szCs w:val="20"/>
        </w:rPr>
        <w:t xml:space="preserve">. </w:t>
      </w:r>
    </w:p>
  </w:footnote>
  <w:footnote w:id="3">
    <w:p w14:paraId="0AEF511E" w14:textId="771CD50C" w:rsidR="00E80F3F" w:rsidRPr="00E80F3F" w:rsidRDefault="00E80F3F" w:rsidP="00E80F3F">
      <w:pPr>
        <w:pStyle w:val="FootnoteText"/>
        <w:rPr>
          <w:rFonts w:asciiTheme="minorHAnsi" w:hAnsiTheme="minorHAnsi"/>
          <w:sz w:val="20"/>
          <w:szCs w:val="20"/>
        </w:rPr>
      </w:pPr>
      <w:r w:rsidRPr="00E80F3F">
        <w:rPr>
          <w:rStyle w:val="FootnoteReference"/>
          <w:rFonts w:asciiTheme="minorHAnsi" w:hAnsiTheme="minorHAnsi"/>
          <w:sz w:val="20"/>
          <w:szCs w:val="20"/>
        </w:rPr>
        <w:footnoteRef/>
      </w:r>
      <w:r w:rsidRPr="00E80F3F">
        <w:rPr>
          <w:rFonts w:asciiTheme="minorHAnsi" w:hAnsiTheme="minorHAnsi"/>
          <w:sz w:val="20"/>
          <w:szCs w:val="20"/>
        </w:rPr>
        <w:t xml:space="preserve"> The European Commission </w:t>
      </w:r>
      <w:r>
        <w:rPr>
          <w:rFonts w:asciiTheme="minorHAnsi" w:hAnsiTheme="minorHAnsi"/>
          <w:sz w:val="20"/>
          <w:szCs w:val="20"/>
        </w:rPr>
        <w:t xml:space="preserve">website </w:t>
      </w:r>
      <w:r w:rsidRPr="00E80F3F">
        <w:rPr>
          <w:rFonts w:asciiTheme="minorHAnsi" w:hAnsiTheme="minorHAnsi"/>
          <w:sz w:val="20"/>
          <w:szCs w:val="20"/>
        </w:rPr>
        <w:t>provides the following information on collective marks: “‘[C]ollective' does not mean that the mark belongs to several persons (co-applicants/co-owners) or that it designates/covers more than one country (the EU trade mark system covers all EU countries automatically) … A collective mark can be any mark (e.g. word, figurative, 3D, etc.), provided that it belongs to a legal person of public law or to an association and it is used to distinguish the goods and services of the members of that association from those of other undertakings. Only associations of manufacturers, producers, suppliers of services or traders, as well as legal persons governed by public law, may apply for EU collective marks.”</w:t>
      </w:r>
    </w:p>
    <w:p w14:paraId="1A079509" w14:textId="77777777" w:rsidR="00E80F3F" w:rsidRPr="00E80F3F" w:rsidRDefault="00E80F3F" w:rsidP="00E80F3F">
      <w:pPr>
        <w:pStyle w:val="FootnoteText"/>
        <w:rPr>
          <w:rFonts w:asciiTheme="minorHAnsi" w:hAnsiTheme="minorHAnsi"/>
          <w:sz w:val="20"/>
          <w:szCs w:val="20"/>
        </w:rPr>
      </w:pPr>
    </w:p>
    <w:p w14:paraId="1CC1B4B6" w14:textId="3523725C" w:rsidR="00E80F3F" w:rsidRDefault="00E80F3F">
      <w:pPr>
        <w:pStyle w:val="FootnoteText"/>
      </w:pPr>
    </w:p>
  </w:footnote>
  <w:footnote w:id="4">
    <w:p w14:paraId="1D41B5C6" w14:textId="14CFFACA" w:rsidR="00FC640F" w:rsidRPr="005B0BBF" w:rsidRDefault="00FC640F" w:rsidP="00FC640F">
      <w:pPr>
        <w:rPr>
          <w:rFonts w:asciiTheme="minorHAnsi" w:hAnsiTheme="minorHAnsi" w:cs="Lucida Grande"/>
          <w:color w:val="444444"/>
          <w:shd w:val="clear" w:color="auto" w:fill="FFFFFF"/>
        </w:rPr>
      </w:pPr>
      <w:r w:rsidRPr="00F44A6D">
        <w:rPr>
          <w:rStyle w:val="FootnoteReference"/>
          <w:rFonts w:asciiTheme="minorHAnsi" w:hAnsiTheme="minorHAnsi"/>
        </w:rPr>
        <w:footnoteRef/>
      </w:r>
      <w:r w:rsidRPr="00F44A6D">
        <w:rPr>
          <w:rFonts w:asciiTheme="minorHAnsi" w:hAnsiTheme="minorHAnsi"/>
        </w:rPr>
        <w:t xml:space="preserve"> See, e.g., the judgment</w:t>
      </w:r>
      <w:r w:rsidR="00F44A6D" w:rsidRPr="00F44A6D">
        <w:rPr>
          <w:rFonts w:asciiTheme="minorHAnsi" w:hAnsiTheme="minorHAnsi"/>
        </w:rPr>
        <w:t xml:space="preserve"> of the Court of Justice of the European Union</w:t>
      </w:r>
      <w:r w:rsidRPr="00F44A6D">
        <w:rPr>
          <w:rFonts w:asciiTheme="minorHAnsi" w:hAnsiTheme="minorHAnsi"/>
        </w:rPr>
        <w:t xml:space="preserve"> in </w:t>
      </w:r>
      <w:r w:rsidRPr="00E3310B">
        <w:rPr>
          <w:rFonts w:asciiTheme="minorHAnsi" w:hAnsiTheme="minorHAnsi" w:cs="Lucida Grande"/>
          <w:i/>
          <w:color w:val="444444"/>
          <w:shd w:val="clear" w:color="auto" w:fill="FFFFFF"/>
        </w:rPr>
        <w:t>Colloseum Holding AG v Levi Strauss &amp; Co</w:t>
      </w:r>
      <w:r w:rsidRPr="00F44A6D">
        <w:rPr>
          <w:rFonts w:asciiTheme="minorHAnsi" w:hAnsiTheme="minorHAnsi" w:cs="Lucida Grande"/>
          <w:color w:val="444444"/>
          <w:shd w:val="clear" w:color="auto" w:fill="FFFFFF"/>
        </w:rPr>
        <w:t xml:space="preserve"> (2013): </w:t>
      </w:r>
      <w:hyperlink r:id="rId2" w:history="1">
        <w:r w:rsidR="00F44A6D" w:rsidRPr="00F44A6D">
          <w:rPr>
            <w:rStyle w:val="Hyperlink"/>
            <w:rFonts w:asciiTheme="minorHAnsi" w:hAnsiTheme="minorHAnsi" w:cs="Lucida Grande"/>
            <w:shd w:val="clear" w:color="auto" w:fill="FFFFFF"/>
          </w:rPr>
          <w:t>http://eur-lex.europa.eu/legal-content/EN/TXT/?uri=CELEX%3A62012CJ0012</w:t>
        </w:r>
      </w:hyperlink>
      <w:r w:rsidR="00F44A6D" w:rsidRPr="00F44A6D">
        <w:rPr>
          <w:rFonts w:asciiTheme="minorHAnsi" w:hAnsiTheme="minorHAnsi" w:cs="Lucida Grande"/>
          <w:color w:val="444444"/>
          <w:shd w:val="clear" w:color="auto" w:fill="FFFFFF"/>
        </w:rPr>
        <w:t xml:space="preserve">. </w:t>
      </w:r>
      <w:r w:rsidR="005B0BBF">
        <w:rPr>
          <w:rFonts w:asciiTheme="minorHAnsi" w:hAnsiTheme="minorHAnsi" w:cs="Lucida Grande"/>
          <w:color w:val="444444"/>
          <w:shd w:val="clear" w:color="auto" w:fill="FFFFFF"/>
        </w:rPr>
        <w:t xml:space="preserve">Where this is used to mean “device mark plus words”, this also seems to be the practice in some countries, e.g. the UK: see the UK IPO decision relating to </w:t>
      </w:r>
      <w:r w:rsidR="005B0BBF" w:rsidRPr="00E3310B">
        <w:rPr>
          <w:rFonts w:asciiTheme="minorHAnsi" w:hAnsiTheme="minorHAnsi" w:cs="Lucida Grande"/>
          <w:i/>
          <w:color w:val="444444"/>
          <w:shd w:val="clear" w:color="auto" w:fill="FFFFFF"/>
        </w:rPr>
        <w:t>trade mark registration no. 2536999 in the name of Marriott Worldwide Corporation and Application no. 500977 by Dr Sascha Salomonowitz to revoke the trade mark for non-use</w:t>
      </w:r>
      <w:r w:rsidR="005B0BBF">
        <w:rPr>
          <w:rFonts w:asciiTheme="minorHAnsi" w:hAnsiTheme="minorHAnsi" w:cs="Lucida Grande"/>
          <w:color w:val="444444"/>
          <w:shd w:val="clear" w:color="auto" w:fill="FFFFFF"/>
        </w:rPr>
        <w:t xml:space="preserve"> (</w:t>
      </w:r>
      <w:hyperlink r:id="rId3" w:history="1">
        <w:r w:rsidR="005B0BBF" w:rsidRPr="0073050F">
          <w:rPr>
            <w:rStyle w:val="Hyperlink"/>
            <w:rFonts w:asciiTheme="minorHAnsi" w:hAnsiTheme="minorHAnsi" w:cs="Lucida Grande"/>
            <w:shd w:val="clear" w:color="auto" w:fill="FFFFFF"/>
          </w:rPr>
          <w:t>https://www.ipo.gov.uk/types/tm/t-os/t-find/t-challenge-decision-results/o38316.pdf</w:t>
        </w:r>
      </w:hyperlink>
      <w:r w:rsidR="005B0BBF">
        <w:rPr>
          <w:rFonts w:asciiTheme="minorHAnsi" w:hAnsiTheme="minorHAnsi" w:cs="Lucida Grande"/>
          <w:color w:val="444444"/>
          <w:shd w:val="clear" w:color="auto" w:fill="FFFFFF"/>
        </w:rPr>
        <w:t>).</w:t>
      </w:r>
    </w:p>
    <w:p w14:paraId="657040FF" w14:textId="19100685" w:rsidR="00FC640F" w:rsidRDefault="00FC640F">
      <w:pPr>
        <w:pStyle w:val="FootnoteText"/>
      </w:pPr>
    </w:p>
  </w:footnote>
  <w:footnote w:id="5">
    <w:p w14:paraId="2F5D35D4" w14:textId="2683C272" w:rsidR="008E22CA" w:rsidRDefault="008E22CA">
      <w:pPr>
        <w:pStyle w:val="FootnoteText"/>
      </w:pPr>
      <w:r w:rsidRPr="008E22CA">
        <w:rPr>
          <w:rStyle w:val="FootnoteReference"/>
          <w:rFonts w:asciiTheme="minorHAnsi" w:hAnsiTheme="minorHAnsi"/>
          <w:sz w:val="20"/>
          <w:szCs w:val="20"/>
        </w:rPr>
        <w:footnoteRef/>
      </w:r>
      <w:r w:rsidR="001716F9">
        <w:rPr>
          <w:rFonts w:asciiTheme="minorHAnsi" w:hAnsiTheme="minorHAnsi"/>
          <w:sz w:val="20"/>
          <w:szCs w:val="20"/>
        </w:rPr>
        <w:t xml:space="preserve"> See below</w:t>
      </w:r>
      <w:r w:rsidRPr="008E22CA">
        <w:rPr>
          <w:rFonts w:asciiTheme="minorHAnsi" w:hAnsiTheme="minorHAnsi"/>
          <w:sz w:val="20"/>
          <w:szCs w:val="20"/>
        </w:rPr>
        <w:t xml:space="preserve"> for examples of figurati</w:t>
      </w:r>
      <w:r w:rsidR="005508F3">
        <w:rPr>
          <w:rFonts w:asciiTheme="minorHAnsi" w:hAnsiTheme="minorHAnsi"/>
          <w:sz w:val="20"/>
          <w:szCs w:val="20"/>
        </w:rPr>
        <w:t>ve marks with letters</w:t>
      </w:r>
      <w:r w:rsidRPr="008E22CA">
        <w:rPr>
          <w:rFonts w:asciiTheme="minorHAnsi" w:hAnsiTheme="minorHAnsi"/>
          <w:sz w:val="20"/>
          <w:szCs w:val="20"/>
        </w:rPr>
        <w:t xml:space="preserve"> from the EUIPO.</w:t>
      </w:r>
    </w:p>
  </w:footnote>
  <w:footnote w:id="6">
    <w:p w14:paraId="3DFD6208" w14:textId="59A8CF15" w:rsidR="00411987" w:rsidRDefault="00411987">
      <w:pPr>
        <w:pStyle w:val="FootnoteText"/>
      </w:pPr>
      <w:r w:rsidRPr="00411987">
        <w:rPr>
          <w:rStyle w:val="FootnoteReference"/>
          <w:rFonts w:asciiTheme="minorHAnsi" w:hAnsiTheme="minorHAnsi"/>
          <w:sz w:val="20"/>
          <w:szCs w:val="20"/>
        </w:rPr>
        <w:footnoteRef/>
      </w:r>
      <w:r w:rsidRPr="00411987">
        <w:rPr>
          <w:rFonts w:asciiTheme="minorHAnsi" w:hAnsiTheme="minorHAnsi"/>
          <w:sz w:val="20"/>
          <w:szCs w:val="20"/>
        </w:rPr>
        <w:t xml:space="preserve"> </w:t>
      </w:r>
      <w:r w:rsidR="006D1AF4">
        <w:rPr>
          <w:rFonts w:asciiTheme="minorHAnsi" w:hAnsiTheme="minorHAnsi"/>
          <w:sz w:val="20"/>
          <w:szCs w:val="20"/>
        </w:rPr>
        <w:t xml:space="preserve">Issued </w:t>
      </w:r>
      <w:r w:rsidR="00E3310B">
        <w:rPr>
          <w:rFonts w:asciiTheme="minorHAnsi" w:hAnsiTheme="minorHAnsi"/>
          <w:sz w:val="20"/>
          <w:szCs w:val="20"/>
        </w:rPr>
        <w:t xml:space="preserve">under the Convergence Program </w:t>
      </w:r>
      <w:r w:rsidR="006D1AF4">
        <w:rPr>
          <w:rFonts w:asciiTheme="minorHAnsi" w:hAnsiTheme="minorHAnsi"/>
          <w:sz w:val="20"/>
          <w:szCs w:val="20"/>
        </w:rPr>
        <w:t>by the EUIPO and the various national EU IP offices</w:t>
      </w:r>
      <w:r w:rsidRPr="00411987">
        <w:rPr>
          <w:rFonts w:asciiTheme="minorHAnsi" w:hAnsiTheme="minorHAnsi"/>
          <w:sz w:val="20"/>
          <w:szCs w:val="20"/>
        </w:rPr>
        <w:t xml:space="preserve">: </w:t>
      </w:r>
      <w:hyperlink r:id="rId4" w:history="1">
        <w:r w:rsidRPr="00411987">
          <w:rPr>
            <w:rStyle w:val="Hyperlink"/>
            <w:rFonts w:asciiTheme="minorHAnsi" w:hAnsiTheme="minorHAnsi"/>
            <w:sz w:val="20"/>
            <w:szCs w:val="20"/>
          </w:rPr>
          <w:t>https://www.tmdn.org/network/documents/10181/278891cf-6e4a-41ad-b8d8-1e0795c47cb1</w:t>
        </w:r>
      </w:hyperlink>
      <w:r>
        <w:t xml:space="preserve">. </w:t>
      </w:r>
    </w:p>
  </w:footnote>
  <w:footnote w:id="7">
    <w:p w14:paraId="71EC47E0" w14:textId="39ACB207" w:rsidR="008C13B6" w:rsidRPr="0036527F" w:rsidRDefault="008C13B6">
      <w:pPr>
        <w:pStyle w:val="FootnoteText"/>
        <w:rPr>
          <w:rFonts w:asciiTheme="minorHAnsi" w:hAnsiTheme="minorHAnsi"/>
          <w:sz w:val="20"/>
          <w:szCs w:val="20"/>
        </w:rPr>
      </w:pPr>
      <w:r w:rsidRPr="00262765">
        <w:rPr>
          <w:rStyle w:val="FootnoteReference"/>
          <w:rFonts w:asciiTheme="minorHAnsi" w:hAnsiTheme="minorHAnsi"/>
          <w:sz w:val="20"/>
          <w:szCs w:val="20"/>
        </w:rPr>
        <w:footnoteRef/>
      </w:r>
      <w:r w:rsidRPr="00262765">
        <w:rPr>
          <w:rFonts w:asciiTheme="minorHAnsi" w:hAnsiTheme="minorHAnsi"/>
          <w:sz w:val="20"/>
          <w:szCs w:val="20"/>
        </w:rPr>
        <w:t xml:space="preserve"> See </w:t>
      </w:r>
      <w:r w:rsidR="001716F9">
        <w:rPr>
          <w:rFonts w:asciiTheme="minorHAnsi" w:hAnsiTheme="minorHAnsi"/>
          <w:sz w:val="20"/>
          <w:szCs w:val="20"/>
        </w:rPr>
        <w:t>below</w:t>
      </w:r>
      <w:r w:rsidRPr="00262765">
        <w:rPr>
          <w:rFonts w:asciiTheme="minorHAnsi" w:hAnsiTheme="minorHAnsi"/>
          <w:sz w:val="20"/>
          <w:szCs w:val="20"/>
        </w:rPr>
        <w:t xml:space="preserve"> for the </w:t>
      </w:r>
      <w:r w:rsidRPr="0036527F">
        <w:rPr>
          <w:rFonts w:asciiTheme="minorHAnsi" w:hAnsiTheme="minorHAnsi"/>
          <w:sz w:val="20"/>
          <w:szCs w:val="20"/>
        </w:rPr>
        <w:t>distinction between</w:t>
      </w:r>
      <w:r w:rsidR="00421D9E">
        <w:rPr>
          <w:rFonts w:asciiTheme="minorHAnsi" w:hAnsiTheme="minorHAnsi"/>
          <w:sz w:val="20"/>
          <w:szCs w:val="20"/>
        </w:rPr>
        <w:t xml:space="preserve"> a GI</w:t>
      </w:r>
      <w:r w:rsidRPr="0036527F">
        <w:rPr>
          <w:rFonts w:asciiTheme="minorHAnsi" w:hAnsiTheme="minorHAnsi"/>
          <w:sz w:val="20"/>
          <w:szCs w:val="20"/>
        </w:rPr>
        <w:t xml:space="preserve"> and a trademark.</w:t>
      </w:r>
    </w:p>
  </w:footnote>
  <w:footnote w:id="8">
    <w:p w14:paraId="3B9F56E0" w14:textId="56680FDE" w:rsidR="0036527F" w:rsidRPr="001716F9" w:rsidRDefault="0036527F">
      <w:pPr>
        <w:pStyle w:val="FootnoteText"/>
        <w:rPr>
          <w:rFonts w:asciiTheme="minorHAnsi" w:hAnsiTheme="minorHAnsi"/>
          <w:sz w:val="20"/>
          <w:szCs w:val="20"/>
        </w:rPr>
      </w:pPr>
      <w:r w:rsidRPr="0036527F">
        <w:rPr>
          <w:rStyle w:val="FootnoteReference"/>
          <w:rFonts w:asciiTheme="minorHAnsi" w:hAnsiTheme="minorHAnsi"/>
          <w:sz w:val="20"/>
          <w:szCs w:val="20"/>
        </w:rPr>
        <w:footnoteRef/>
      </w:r>
      <w:r w:rsidRPr="0036527F">
        <w:rPr>
          <w:rFonts w:asciiTheme="minorHAnsi" w:hAnsiTheme="minorHAnsi"/>
          <w:sz w:val="20"/>
          <w:szCs w:val="20"/>
        </w:rPr>
        <w:t xml:space="preserve"> </w:t>
      </w:r>
      <w:r>
        <w:rPr>
          <w:rFonts w:asciiTheme="minorHAnsi" w:hAnsiTheme="minorHAnsi"/>
          <w:sz w:val="20"/>
          <w:szCs w:val="20"/>
        </w:rPr>
        <w:t xml:space="preserve">i.e. </w:t>
      </w:r>
      <w:r w:rsidRPr="0036527F">
        <w:rPr>
          <w:rFonts w:asciiTheme="minorHAnsi" w:hAnsiTheme="minorHAnsi"/>
          <w:sz w:val="20"/>
          <w:szCs w:val="20"/>
        </w:rPr>
        <w:t xml:space="preserve">The Agreement on Trade-Related Aspects of Intellectual Property Rights (Annex 1C, </w:t>
      </w:r>
      <w:r>
        <w:rPr>
          <w:rFonts w:asciiTheme="minorHAnsi" w:hAnsiTheme="minorHAnsi"/>
          <w:sz w:val="20"/>
          <w:szCs w:val="20"/>
        </w:rPr>
        <w:t xml:space="preserve">Marrakesh </w:t>
      </w:r>
      <w:r w:rsidRPr="0036527F">
        <w:rPr>
          <w:rFonts w:asciiTheme="minorHAnsi" w:hAnsiTheme="minorHAnsi"/>
          <w:sz w:val="20"/>
          <w:szCs w:val="20"/>
        </w:rPr>
        <w:t>Agreement Establishing the World Trade Organization</w:t>
      </w:r>
      <w:r>
        <w:rPr>
          <w:rFonts w:asciiTheme="minorHAnsi" w:hAnsiTheme="minorHAnsi"/>
          <w:sz w:val="20"/>
          <w:szCs w:val="20"/>
        </w:rPr>
        <w:t>, 1</w:t>
      </w:r>
      <w:r w:rsidRPr="00421D9E">
        <w:rPr>
          <w:rFonts w:asciiTheme="minorHAnsi" w:hAnsiTheme="minorHAnsi"/>
          <w:sz w:val="20"/>
          <w:szCs w:val="20"/>
        </w:rPr>
        <w:t>994)</w:t>
      </w:r>
    </w:p>
  </w:footnote>
  <w:footnote w:id="9">
    <w:p w14:paraId="2E5BA962" w14:textId="6FD97F1C" w:rsidR="00421D9E" w:rsidRPr="001716F9" w:rsidRDefault="00421D9E">
      <w:pPr>
        <w:pStyle w:val="FootnoteText"/>
        <w:rPr>
          <w:rFonts w:asciiTheme="minorHAnsi" w:hAnsiTheme="minorHAnsi"/>
          <w:sz w:val="20"/>
          <w:szCs w:val="20"/>
        </w:rPr>
      </w:pPr>
      <w:r w:rsidRPr="001716F9">
        <w:rPr>
          <w:rStyle w:val="FootnoteReference"/>
          <w:rFonts w:asciiTheme="minorHAnsi" w:hAnsiTheme="minorHAnsi"/>
          <w:sz w:val="20"/>
          <w:szCs w:val="20"/>
        </w:rPr>
        <w:footnoteRef/>
      </w:r>
      <w:r w:rsidRPr="001716F9">
        <w:rPr>
          <w:rFonts w:asciiTheme="minorHAnsi" w:hAnsiTheme="minorHAnsi"/>
          <w:sz w:val="20"/>
          <w:szCs w:val="20"/>
        </w:rPr>
        <w:t xml:space="preserve"> Article 23 of WTO-TRIPS contains additional protections for GIs relating to wines and spirits</w:t>
      </w:r>
      <w:r w:rsidR="003F3454" w:rsidRPr="001716F9">
        <w:rPr>
          <w:rFonts w:asciiTheme="minorHAnsi" w:hAnsiTheme="minorHAnsi"/>
          <w:sz w:val="20"/>
          <w:szCs w:val="20"/>
        </w:rPr>
        <w:t>, and Article 24 contains certain exceptions to protections for GIs</w:t>
      </w:r>
      <w:r w:rsidR="0011274D" w:rsidRPr="001716F9">
        <w:rPr>
          <w:rFonts w:asciiTheme="minorHAnsi" w:hAnsiTheme="minorHAnsi"/>
          <w:sz w:val="20"/>
          <w:szCs w:val="20"/>
        </w:rPr>
        <w:t xml:space="preserve"> (e.g. where the term has become customary as common usage</w:t>
      </w:r>
      <w:r w:rsidR="00DB0E39" w:rsidRPr="001716F9">
        <w:rPr>
          <w:rFonts w:asciiTheme="minorHAnsi" w:hAnsiTheme="minorHAnsi"/>
          <w:sz w:val="20"/>
          <w:szCs w:val="20"/>
        </w:rPr>
        <w:t>, or where a trademark registration had been acquired in good faith before the country in question joined the WTO)</w:t>
      </w:r>
      <w:r w:rsidRPr="001716F9">
        <w:rPr>
          <w:rFonts w:asciiTheme="minorHAnsi" w:hAnsiTheme="minorHAnsi"/>
          <w:sz w:val="20"/>
          <w:szCs w:val="20"/>
        </w:rPr>
        <w:t>.</w:t>
      </w:r>
    </w:p>
  </w:footnote>
  <w:footnote w:id="10">
    <w:p w14:paraId="08895154" w14:textId="3FC298AF" w:rsidR="001716F9" w:rsidRDefault="001716F9">
      <w:pPr>
        <w:pStyle w:val="FootnoteText"/>
      </w:pPr>
      <w:r w:rsidRPr="001716F9">
        <w:rPr>
          <w:rStyle w:val="FootnoteReference"/>
          <w:rFonts w:asciiTheme="minorHAnsi" w:hAnsiTheme="minorHAnsi"/>
          <w:sz w:val="20"/>
          <w:szCs w:val="20"/>
        </w:rPr>
        <w:footnoteRef/>
      </w:r>
      <w:r w:rsidRPr="001716F9">
        <w:rPr>
          <w:rFonts w:asciiTheme="minorHAnsi" w:hAnsiTheme="minorHAnsi"/>
          <w:sz w:val="20"/>
          <w:szCs w:val="20"/>
        </w:rPr>
        <w:t xml:space="preserve"> But see </w:t>
      </w:r>
      <w:r>
        <w:rPr>
          <w:rFonts w:asciiTheme="minorHAnsi" w:hAnsiTheme="minorHAnsi"/>
          <w:sz w:val="20"/>
          <w:szCs w:val="20"/>
        </w:rPr>
        <w:t>below</w:t>
      </w:r>
      <w:r w:rsidRPr="001716F9">
        <w:rPr>
          <w:rFonts w:asciiTheme="minorHAnsi" w:hAnsiTheme="minorHAnsi"/>
          <w:sz w:val="20"/>
          <w:szCs w:val="20"/>
        </w:rPr>
        <w:t xml:space="preserve"> for visual depictions of what the USPTO considers a “stylized” mark a</w:t>
      </w:r>
      <w:r>
        <w:rPr>
          <w:rFonts w:asciiTheme="minorHAnsi" w:hAnsiTheme="minorHAnsi"/>
          <w:sz w:val="20"/>
          <w:szCs w:val="20"/>
        </w:rPr>
        <w:t>s compared to</w:t>
      </w:r>
      <w:r w:rsidRPr="001716F9">
        <w:rPr>
          <w:rFonts w:asciiTheme="minorHAnsi" w:hAnsiTheme="minorHAnsi"/>
          <w:sz w:val="20"/>
          <w:szCs w:val="20"/>
        </w:rPr>
        <w:t xml:space="preserve"> a “design” mark.</w:t>
      </w:r>
    </w:p>
  </w:footnote>
  <w:footnote w:id="11">
    <w:p w14:paraId="79EA06F0" w14:textId="46710E5F" w:rsidR="00643FE1" w:rsidRPr="0045402C" w:rsidRDefault="00643FE1" w:rsidP="0045402C">
      <w:pPr>
        <w:rPr>
          <w:rFonts w:asciiTheme="minorHAnsi" w:hAnsiTheme="minorHAnsi"/>
        </w:rPr>
      </w:pPr>
      <w:r w:rsidRPr="00643FE1">
        <w:rPr>
          <w:rStyle w:val="FootnoteReference"/>
          <w:rFonts w:asciiTheme="minorHAnsi" w:hAnsiTheme="minorHAnsi"/>
        </w:rPr>
        <w:footnoteRef/>
      </w:r>
      <w:r w:rsidRPr="00643FE1">
        <w:rPr>
          <w:rFonts w:asciiTheme="minorHAnsi" w:hAnsiTheme="minorHAnsi"/>
        </w:rPr>
        <w:t xml:space="preserve"> Article 1(2) of the </w:t>
      </w:r>
      <w:r>
        <w:rPr>
          <w:rFonts w:asciiTheme="minorHAnsi" w:hAnsiTheme="minorHAnsi"/>
        </w:rPr>
        <w:t xml:space="preserve">Paris </w:t>
      </w:r>
      <w:r w:rsidRPr="00643FE1">
        <w:rPr>
          <w:rFonts w:asciiTheme="minorHAnsi" w:hAnsiTheme="minorHAnsi"/>
        </w:rPr>
        <w:t xml:space="preserve">Convention recognizes “indications of source” and “appellations of origin” as subject matter for industrial property. </w:t>
      </w:r>
      <w:r>
        <w:rPr>
          <w:rFonts w:asciiTheme="minorHAnsi" w:hAnsiTheme="minorHAnsi"/>
        </w:rPr>
        <w:t xml:space="preserve">However, </w:t>
      </w:r>
      <w:r w:rsidR="005F669C">
        <w:rPr>
          <w:rFonts w:asciiTheme="minorHAnsi" w:hAnsiTheme="minorHAnsi"/>
        </w:rPr>
        <w:t>it did not contain</w:t>
      </w:r>
      <w:r>
        <w:rPr>
          <w:rFonts w:asciiTheme="minorHAnsi" w:hAnsiTheme="minorHAnsi"/>
        </w:rPr>
        <w:t xml:space="preserve"> specific definition</w:t>
      </w:r>
      <w:r w:rsidR="005F669C">
        <w:rPr>
          <w:rFonts w:asciiTheme="minorHAnsi" w:hAnsiTheme="minorHAnsi"/>
        </w:rPr>
        <w:t>s</w:t>
      </w:r>
      <w:r>
        <w:rPr>
          <w:rFonts w:asciiTheme="minorHAnsi" w:hAnsiTheme="minorHAnsi"/>
        </w:rPr>
        <w:t xml:space="preserve"> for</w:t>
      </w:r>
      <w:r w:rsidRPr="00643FE1">
        <w:rPr>
          <w:rFonts w:asciiTheme="minorHAnsi" w:hAnsiTheme="minorHAnsi"/>
        </w:rPr>
        <w:t xml:space="preserve"> either of these terms</w:t>
      </w:r>
      <w:r>
        <w:rPr>
          <w:rFonts w:asciiTheme="minorHAnsi" w:hAnsiTheme="minorHAnsi"/>
        </w:rPr>
        <w:t>.</w:t>
      </w:r>
      <w:r w:rsidR="008C13B6">
        <w:rPr>
          <w:rFonts w:asciiTheme="minorHAnsi" w:hAnsiTheme="minorHAnsi"/>
        </w:rPr>
        <w:t xml:space="preserve"> In cases of false indications of source, the Paris Convention allows for seizure of the goods </w:t>
      </w:r>
      <w:r w:rsidR="008C13B6" w:rsidRPr="008C13B6">
        <w:rPr>
          <w:rFonts w:asciiTheme="minorHAnsi" w:hAnsiTheme="minorHAnsi"/>
        </w:rPr>
        <w:t xml:space="preserve">upon importation </w:t>
      </w:r>
      <w:r w:rsidR="008C13B6">
        <w:rPr>
          <w:rFonts w:asciiTheme="minorHAnsi" w:hAnsiTheme="minorHAnsi"/>
        </w:rPr>
        <w:t>and remedies provided by</w:t>
      </w:r>
      <w:r w:rsidR="008C13B6" w:rsidRPr="008C13B6">
        <w:rPr>
          <w:rFonts w:asciiTheme="minorHAnsi" w:hAnsiTheme="minorHAnsi"/>
        </w:rPr>
        <w:t xml:space="preserve"> the country of importation. Member States </w:t>
      </w:r>
      <w:r w:rsidR="008C13B6">
        <w:rPr>
          <w:rFonts w:asciiTheme="minorHAnsi" w:hAnsiTheme="minorHAnsi"/>
        </w:rPr>
        <w:t xml:space="preserve">are also obliged </w:t>
      </w:r>
      <w:r w:rsidR="008C13B6" w:rsidRPr="008C13B6">
        <w:rPr>
          <w:rFonts w:asciiTheme="minorHAnsi" w:hAnsiTheme="minorHAnsi"/>
        </w:rPr>
        <w:t>to ensure appropriate legal remedies for repressing the use of false indications of source</w:t>
      </w:r>
      <w:r w:rsidR="008C13B6">
        <w:rPr>
          <w:rFonts w:asciiTheme="minorHAnsi" w:hAnsiTheme="minorHAnsi"/>
        </w:rPr>
        <w:t xml:space="preserve"> as well as</w:t>
      </w:r>
      <w:r w:rsidR="008C13B6" w:rsidRPr="008C13B6">
        <w:rPr>
          <w:rFonts w:asciiTheme="minorHAnsi" w:hAnsiTheme="minorHAnsi"/>
        </w:rPr>
        <w:t xml:space="preserve"> effective protection against unfair competition. </w:t>
      </w:r>
      <w:r w:rsidR="008C13B6">
        <w:rPr>
          <w:rFonts w:asciiTheme="minorHAnsi" w:hAnsiTheme="minorHAnsi"/>
        </w:rPr>
        <w:t xml:space="preserve">Protections against false indications of source were subsequently extended to “deceptive” indications by the Madrid </w:t>
      </w:r>
      <w:r w:rsidR="008C13B6" w:rsidRPr="008C13B6">
        <w:rPr>
          <w:rFonts w:asciiTheme="minorHAnsi" w:hAnsiTheme="minorHAnsi"/>
        </w:rPr>
        <w:t>Agreement for the Repressio</w:t>
      </w:r>
      <w:r w:rsidR="008C13B6" w:rsidRPr="0045402C">
        <w:rPr>
          <w:rFonts w:asciiTheme="minorHAnsi" w:hAnsiTheme="minorHAnsi"/>
        </w:rPr>
        <w:t>n of False or Deceptive Indications of Source on Goods.</w:t>
      </w:r>
    </w:p>
  </w:footnote>
  <w:footnote w:id="12">
    <w:p w14:paraId="6618E387" w14:textId="1168D7D1" w:rsidR="0045402C" w:rsidRDefault="0045402C">
      <w:pPr>
        <w:pStyle w:val="FootnoteText"/>
      </w:pPr>
      <w:r w:rsidRPr="0045402C">
        <w:rPr>
          <w:rStyle w:val="FootnoteReference"/>
          <w:rFonts w:asciiTheme="minorHAnsi" w:hAnsiTheme="minorHAnsi"/>
          <w:sz w:val="20"/>
          <w:szCs w:val="20"/>
        </w:rPr>
        <w:footnoteRef/>
      </w:r>
      <w:r w:rsidRPr="0045402C">
        <w:rPr>
          <w:rFonts w:asciiTheme="minorHAnsi" w:hAnsiTheme="minorHAnsi"/>
          <w:sz w:val="20"/>
          <w:szCs w:val="20"/>
        </w:rPr>
        <w:t xml:space="preserve"> </w:t>
      </w:r>
      <w:r>
        <w:rPr>
          <w:rFonts w:asciiTheme="minorHAnsi" w:hAnsiTheme="minorHAnsi"/>
          <w:sz w:val="20"/>
          <w:szCs w:val="20"/>
        </w:rPr>
        <w:t>The European Commission</w:t>
      </w:r>
      <w:r w:rsidRPr="0045402C">
        <w:rPr>
          <w:rFonts w:asciiTheme="minorHAnsi" w:hAnsiTheme="minorHAnsi"/>
          <w:sz w:val="20"/>
          <w:szCs w:val="20"/>
        </w:rPr>
        <w:t xml:space="preserve"> published a report surveying the state of legal protection for GIs in 160 countries worldwide</w:t>
      </w:r>
      <w:r>
        <w:rPr>
          <w:rFonts w:asciiTheme="minorHAnsi" w:hAnsiTheme="minorHAnsi"/>
          <w:sz w:val="20"/>
          <w:szCs w:val="20"/>
        </w:rPr>
        <w:t xml:space="preserve"> (as of 2007)</w:t>
      </w:r>
      <w:r w:rsidRPr="0045402C">
        <w:rPr>
          <w:rFonts w:asciiTheme="minorHAnsi" w:hAnsiTheme="minorHAnsi"/>
          <w:sz w:val="20"/>
          <w:szCs w:val="20"/>
        </w:rPr>
        <w:t xml:space="preserve">: </w:t>
      </w:r>
      <w:hyperlink r:id="rId5" w:history="1">
        <w:r w:rsidRPr="0045402C">
          <w:rPr>
            <w:rStyle w:val="Hyperlink"/>
            <w:rFonts w:asciiTheme="minorHAnsi" w:hAnsiTheme="minorHAnsi"/>
            <w:sz w:val="20"/>
            <w:szCs w:val="20"/>
          </w:rPr>
          <w:t>http://trade.ec.europa.eu/doclib/docs/2007/june/tradoc_135088.pdf</w:t>
        </w:r>
      </w:hyperlink>
      <w:r w:rsidRPr="0045402C">
        <w:rPr>
          <w:rFonts w:asciiTheme="minorHAnsi" w:hAnsiTheme="minorHAns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73AD0"/>
    <w:multiLevelType w:val="multilevel"/>
    <w:tmpl w:val="ED7A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1404D"/>
    <w:multiLevelType w:val="hybridMultilevel"/>
    <w:tmpl w:val="A0486E76"/>
    <w:lvl w:ilvl="0" w:tplc="AAC24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C246F1"/>
    <w:multiLevelType w:val="hybridMultilevel"/>
    <w:tmpl w:val="ABFC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5622AE"/>
    <w:multiLevelType w:val="hybridMultilevel"/>
    <w:tmpl w:val="5E6C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F34AC5"/>
    <w:multiLevelType w:val="multilevel"/>
    <w:tmpl w:val="6426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AB"/>
    <w:rsid w:val="00005BDA"/>
    <w:rsid w:val="00044D95"/>
    <w:rsid w:val="00047F8D"/>
    <w:rsid w:val="0006430B"/>
    <w:rsid w:val="000930F3"/>
    <w:rsid w:val="000A2AAC"/>
    <w:rsid w:val="0011274D"/>
    <w:rsid w:val="00112D8C"/>
    <w:rsid w:val="00137F8A"/>
    <w:rsid w:val="0014283D"/>
    <w:rsid w:val="001460FB"/>
    <w:rsid w:val="0015260F"/>
    <w:rsid w:val="001716F9"/>
    <w:rsid w:val="001A155B"/>
    <w:rsid w:val="001C1C11"/>
    <w:rsid w:val="001E0598"/>
    <w:rsid w:val="00205042"/>
    <w:rsid w:val="00262765"/>
    <w:rsid w:val="00273856"/>
    <w:rsid w:val="00285AEA"/>
    <w:rsid w:val="002C4F29"/>
    <w:rsid w:val="002F4E78"/>
    <w:rsid w:val="003011B3"/>
    <w:rsid w:val="00307B47"/>
    <w:rsid w:val="00326516"/>
    <w:rsid w:val="0036527F"/>
    <w:rsid w:val="003B1045"/>
    <w:rsid w:val="003F3454"/>
    <w:rsid w:val="00404533"/>
    <w:rsid w:val="00411987"/>
    <w:rsid w:val="00421D9E"/>
    <w:rsid w:val="00435BDF"/>
    <w:rsid w:val="0045402C"/>
    <w:rsid w:val="0046446B"/>
    <w:rsid w:val="004B18EB"/>
    <w:rsid w:val="004B5235"/>
    <w:rsid w:val="005058A2"/>
    <w:rsid w:val="0053528E"/>
    <w:rsid w:val="005428EB"/>
    <w:rsid w:val="005508F3"/>
    <w:rsid w:val="00556824"/>
    <w:rsid w:val="005B0BBF"/>
    <w:rsid w:val="005B6D3E"/>
    <w:rsid w:val="005D0FF8"/>
    <w:rsid w:val="005E44E8"/>
    <w:rsid w:val="005F669C"/>
    <w:rsid w:val="00630D4B"/>
    <w:rsid w:val="00643FE1"/>
    <w:rsid w:val="00653192"/>
    <w:rsid w:val="006A282B"/>
    <w:rsid w:val="006D1AF4"/>
    <w:rsid w:val="00701B45"/>
    <w:rsid w:val="00780D1B"/>
    <w:rsid w:val="00804756"/>
    <w:rsid w:val="008140AD"/>
    <w:rsid w:val="0082750F"/>
    <w:rsid w:val="008466A1"/>
    <w:rsid w:val="008C13B6"/>
    <w:rsid w:val="008D4FE2"/>
    <w:rsid w:val="008E22CA"/>
    <w:rsid w:val="008F1447"/>
    <w:rsid w:val="00912670"/>
    <w:rsid w:val="00914638"/>
    <w:rsid w:val="0093144B"/>
    <w:rsid w:val="00934AA8"/>
    <w:rsid w:val="00942412"/>
    <w:rsid w:val="009877AF"/>
    <w:rsid w:val="00994C98"/>
    <w:rsid w:val="009A11D3"/>
    <w:rsid w:val="009D5FE3"/>
    <w:rsid w:val="00A04208"/>
    <w:rsid w:val="00A06E19"/>
    <w:rsid w:val="00A26C2D"/>
    <w:rsid w:val="00A404BF"/>
    <w:rsid w:val="00A960B5"/>
    <w:rsid w:val="00B202B1"/>
    <w:rsid w:val="00B64B79"/>
    <w:rsid w:val="00B6586C"/>
    <w:rsid w:val="00BD2922"/>
    <w:rsid w:val="00BF5395"/>
    <w:rsid w:val="00CD6533"/>
    <w:rsid w:val="00CE6129"/>
    <w:rsid w:val="00CF4001"/>
    <w:rsid w:val="00DA5647"/>
    <w:rsid w:val="00DA7C88"/>
    <w:rsid w:val="00DB0E39"/>
    <w:rsid w:val="00E3310B"/>
    <w:rsid w:val="00E80F3F"/>
    <w:rsid w:val="00EA4C13"/>
    <w:rsid w:val="00EA5270"/>
    <w:rsid w:val="00EA665A"/>
    <w:rsid w:val="00ED330A"/>
    <w:rsid w:val="00F07ED6"/>
    <w:rsid w:val="00F2185F"/>
    <w:rsid w:val="00F30FD1"/>
    <w:rsid w:val="00F36962"/>
    <w:rsid w:val="00F44A6D"/>
    <w:rsid w:val="00F72CAB"/>
    <w:rsid w:val="00F94303"/>
    <w:rsid w:val="00FB2D09"/>
    <w:rsid w:val="00FC0925"/>
    <w:rsid w:val="00FC640F"/>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DD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2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765"/>
    <w:rPr>
      <w:color w:val="0563C1" w:themeColor="hyperlink"/>
      <w:u w:val="single"/>
    </w:rPr>
  </w:style>
  <w:style w:type="paragraph" w:styleId="FootnoteText">
    <w:name w:val="footnote text"/>
    <w:basedOn w:val="Normal"/>
    <w:link w:val="FootnoteTextChar"/>
    <w:uiPriority w:val="99"/>
    <w:unhideWhenUsed/>
    <w:rsid w:val="00262765"/>
    <w:rPr>
      <w:sz w:val="24"/>
      <w:szCs w:val="24"/>
    </w:rPr>
  </w:style>
  <w:style w:type="character" w:customStyle="1" w:styleId="FootnoteTextChar">
    <w:name w:val="Footnote Text Char"/>
    <w:basedOn w:val="DefaultParagraphFont"/>
    <w:link w:val="FootnoteText"/>
    <w:uiPriority w:val="99"/>
    <w:rsid w:val="00262765"/>
    <w:rPr>
      <w:rFonts w:ascii="Times New Roman" w:eastAsia="Times New Roman" w:hAnsi="Times New Roman" w:cs="Times New Roman"/>
    </w:rPr>
  </w:style>
  <w:style w:type="character" w:styleId="FootnoteReference">
    <w:name w:val="footnote reference"/>
    <w:basedOn w:val="DefaultParagraphFont"/>
    <w:uiPriority w:val="99"/>
    <w:unhideWhenUsed/>
    <w:rsid w:val="00262765"/>
    <w:rPr>
      <w:vertAlign w:val="superscript"/>
    </w:rPr>
  </w:style>
  <w:style w:type="paragraph" w:styleId="ListParagraph">
    <w:name w:val="List Paragraph"/>
    <w:basedOn w:val="Normal"/>
    <w:uiPriority w:val="34"/>
    <w:qFormat/>
    <w:rsid w:val="00ED330A"/>
    <w:pPr>
      <w:ind w:left="720"/>
      <w:contextualSpacing/>
    </w:pPr>
  </w:style>
  <w:style w:type="paragraph" w:styleId="NormalWeb">
    <w:name w:val="Normal (Web)"/>
    <w:basedOn w:val="Normal"/>
    <w:uiPriority w:val="99"/>
    <w:semiHidden/>
    <w:unhideWhenUsed/>
    <w:rsid w:val="00F30FD1"/>
    <w:rPr>
      <w:sz w:val="24"/>
      <w:szCs w:val="24"/>
    </w:rPr>
  </w:style>
  <w:style w:type="paragraph" w:styleId="Footer">
    <w:name w:val="footer"/>
    <w:basedOn w:val="Normal"/>
    <w:link w:val="FooterChar"/>
    <w:uiPriority w:val="99"/>
    <w:unhideWhenUsed/>
    <w:rsid w:val="00A26C2D"/>
    <w:pPr>
      <w:tabs>
        <w:tab w:val="center" w:pos="4680"/>
        <w:tab w:val="right" w:pos="9360"/>
      </w:tabs>
    </w:pPr>
  </w:style>
  <w:style w:type="character" w:customStyle="1" w:styleId="FooterChar">
    <w:name w:val="Footer Char"/>
    <w:basedOn w:val="DefaultParagraphFont"/>
    <w:link w:val="Footer"/>
    <w:uiPriority w:val="99"/>
    <w:rsid w:val="00A26C2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A2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7576">
      <w:bodyDiv w:val="1"/>
      <w:marLeft w:val="0"/>
      <w:marRight w:val="0"/>
      <w:marTop w:val="0"/>
      <w:marBottom w:val="0"/>
      <w:divBdr>
        <w:top w:val="none" w:sz="0" w:space="0" w:color="auto"/>
        <w:left w:val="none" w:sz="0" w:space="0" w:color="auto"/>
        <w:bottom w:val="none" w:sz="0" w:space="0" w:color="auto"/>
        <w:right w:val="none" w:sz="0" w:space="0" w:color="auto"/>
      </w:divBdr>
    </w:div>
    <w:div w:id="48725516">
      <w:bodyDiv w:val="1"/>
      <w:marLeft w:val="0"/>
      <w:marRight w:val="0"/>
      <w:marTop w:val="0"/>
      <w:marBottom w:val="0"/>
      <w:divBdr>
        <w:top w:val="none" w:sz="0" w:space="0" w:color="auto"/>
        <w:left w:val="none" w:sz="0" w:space="0" w:color="auto"/>
        <w:bottom w:val="none" w:sz="0" w:space="0" w:color="auto"/>
        <w:right w:val="none" w:sz="0" w:space="0" w:color="auto"/>
      </w:divBdr>
    </w:div>
    <w:div w:id="55671756">
      <w:bodyDiv w:val="1"/>
      <w:marLeft w:val="0"/>
      <w:marRight w:val="0"/>
      <w:marTop w:val="0"/>
      <w:marBottom w:val="0"/>
      <w:divBdr>
        <w:top w:val="none" w:sz="0" w:space="0" w:color="auto"/>
        <w:left w:val="none" w:sz="0" w:space="0" w:color="auto"/>
        <w:bottom w:val="none" w:sz="0" w:space="0" w:color="auto"/>
        <w:right w:val="none" w:sz="0" w:space="0" w:color="auto"/>
      </w:divBdr>
    </w:div>
    <w:div w:id="96289091">
      <w:bodyDiv w:val="1"/>
      <w:marLeft w:val="0"/>
      <w:marRight w:val="0"/>
      <w:marTop w:val="0"/>
      <w:marBottom w:val="0"/>
      <w:divBdr>
        <w:top w:val="none" w:sz="0" w:space="0" w:color="auto"/>
        <w:left w:val="none" w:sz="0" w:space="0" w:color="auto"/>
        <w:bottom w:val="none" w:sz="0" w:space="0" w:color="auto"/>
        <w:right w:val="none" w:sz="0" w:space="0" w:color="auto"/>
      </w:divBdr>
    </w:div>
    <w:div w:id="114376068">
      <w:bodyDiv w:val="1"/>
      <w:marLeft w:val="0"/>
      <w:marRight w:val="0"/>
      <w:marTop w:val="0"/>
      <w:marBottom w:val="0"/>
      <w:divBdr>
        <w:top w:val="none" w:sz="0" w:space="0" w:color="auto"/>
        <w:left w:val="none" w:sz="0" w:space="0" w:color="auto"/>
        <w:bottom w:val="none" w:sz="0" w:space="0" w:color="auto"/>
        <w:right w:val="none" w:sz="0" w:space="0" w:color="auto"/>
      </w:divBdr>
    </w:div>
    <w:div w:id="141165736">
      <w:bodyDiv w:val="1"/>
      <w:marLeft w:val="0"/>
      <w:marRight w:val="0"/>
      <w:marTop w:val="0"/>
      <w:marBottom w:val="0"/>
      <w:divBdr>
        <w:top w:val="none" w:sz="0" w:space="0" w:color="auto"/>
        <w:left w:val="none" w:sz="0" w:space="0" w:color="auto"/>
        <w:bottom w:val="none" w:sz="0" w:space="0" w:color="auto"/>
        <w:right w:val="none" w:sz="0" w:space="0" w:color="auto"/>
      </w:divBdr>
    </w:div>
    <w:div w:id="275866338">
      <w:bodyDiv w:val="1"/>
      <w:marLeft w:val="0"/>
      <w:marRight w:val="0"/>
      <w:marTop w:val="0"/>
      <w:marBottom w:val="0"/>
      <w:divBdr>
        <w:top w:val="none" w:sz="0" w:space="0" w:color="auto"/>
        <w:left w:val="none" w:sz="0" w:space="0" w:color="auto"/>
        <w:bottom w:val="none" w:sz="0" w:space="0" w:color="auto"/>
        <w:right w:val="none" w:sz="0" w:space="0" w:color="auto"/>
      </w:divBdr>
    </w:div>
    <w:div w:id="311372742">
      <w:bodyDiv w:val="1"/>
      <w:marLeft w:val="0"/>
      <w:marRight w:val="0"/>
      <w:marTop w:val="0"/>
      <w:marBottom w:val="0"/>
      <w:divBdr>
        <w:top w:val="none" w:sz="0" w:space="0" w:color="auto"/>
        <w:left w:val="none" w:sz="0" w:space="0" w:color="auto"/>
        <w:bottom w:val="none" w:sz="0" w:space="0" w:color="auto"/>
        <w:right w:val="none" w:sz="0" w:space="0" w:color="auto"/>
      </w:divBdr>
    </w:div>
    <w:div w:id="358359111">
      <w:bodyDiv w:val="1"/>
      <w:marLeft w:val="0"/>
      <w:marRight w:val="0"/>
      <w:marTop w:val="0"/>
      <w:marBottom w:val="0"/>
      <w:divBdr>
        <w:top w:val="none" w:sz="0" w:space="0" w:color="auto"/>
        <w:left w:val="none" w:sz="0" w:space="0" w:color="auto"/>
        <w:bottom w:val="none" w:sz="0" w:space="0" w:color="auto"/>
        <w:right w:val="none" w:sz="0" w:space="0" w:color="auto"/>
      </w:divBdr>
      <w:divsChild>
        <w:div w:id="167788814">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384060154">
      <w:bodyDiv w:val="1"/>
      <w:marLeft w:val="0"/>
      <w:marRight w:val="0"/>
      <w:marTop w:val="0"/>
      <w:marBottom w:val="0"/>
      <w:divBdr>
        <w:top w:val="none" w:sz="0" w:space="0" w:color="auto"/>
        <w:left w:val="none" w:sz="0" w:space="0" w:color="auto"/>
        <w:bottom w:val="none" w:sz="0" w:space="0" w:color="auto"/>
        <w:right w:val="none" w:sz="0" w:space="0" w:color="auto"/>
      </w:divBdr>
    </w:div>
    <w:div w:id="530384904">
      <w:bodyDiv w:val="1"/>
      <w:marLeft w:val="0"/>
      <w:marRight w:val="0"/>
      <w:marTop w:val="0"/>
      <w:marBottom w:val="0"/>
      <w:divBdr>
        <w:top w:val="none" w:sz="0" w:space="0" w:color="auto"/>
        <w:left w:val="none" w:sz="0" w:space="0" w:color="auto"/>
        <w:bottom w:val="none" w:sz="0" w:space="0" w:color="auto"/>
        <w:right w:val="none" w:sz="0" w:space="0" w:color="auto"/>
      </w:divBdr>
    </w:div>
    <w:div w:id="549345410">
      <w:bodyDiv w:val="1"/>
      <w:marLeft w:val="0"/>
      <w:marRight w:val="0"/>
      <w:marTop w:val="0"/>
      <w:marBottom w:val="0"/>
      <w:divBdr>
        <w:top w:val="none" w:sz="0" w:space="0" w:color="auto"/>
        <w:left w:val="none" w:sz="0" w:space="0" w:color="auto"/>
        <w:bottom w:val="none" w:sz="0" w:space="0" w:color="auto"/>
        <w:right w:val="none" w:sz="0" w:space="0" w:color="auto"/>
      </w:divBdr>
      <w:divsChild>
        <w:div w:id="1266186442">
          <w:blockQuote w:val="1"/>
          <w:marLeft w:val="0"/>
          <w:marRight w:val="0"/>
          <w:marTop w:val="0"/>
          <w:marBottom w:val="240"/>
          <w:divBdr>
            <w:top w:val="none" w:sz="0" w:space="0" w:color="auto"/>
            <w:left w:val="none" w:sz="0" w:space="0" w:color="auto"/>
            <w:bottom w:val="none" w:sz="0" w:space="0" w:color="auto"/>
            <w:right w:val="none" w:sz="0" w:space="0" w:color="auto"/>
          </w:divBdr>
        </w:div>
        <w:div w:id="989407616">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554388889">
      <w:bodyDiv w:val="1"/>
      <w:marLeft w:val="0"/>
      <w:marRight w:val="0"/>
      <w:marTop w:val="0"/>
      <w:marBottom w:val="0"/>
      <w:divBdr>
        <w:top w:val="none" w:sz="0" w:space="0" w:color="auto"/>
        <w:left w:val="none" w:sz="0" w:space="0" w:color="auto"/>
        <w:bottom w:val="none" w:sz="0" w:space="0" w:color="auto"/>
        <w:right w:val="none" w:sz="0" w:space="0" w:color="auto"/>
      </w:divBdr>
    </w:div>
    <w:div w:id="695424891">
      <w:bodyDiv w:val="1"/>
      <w:marLeft w:val="0"/>
      <w:marRight w:val="0"/>
      <w:marTop w:val="0"/>
      <w:marBottom w:val="0"/>
      <w:divBdr>
        <w:top w:val="none" w:sz="0" w:space="0" w:color="auto"/>
        <w:left w:val="none" w:sz="0" w:space="0" w:color="auto"/>
        <w:bottom w:val="none" w:sz="0" w:space="0" w:color="auto"/>
        <w:right w:val="none" w:sz="0" w:space="0" w:color="auto"/>
      </w:divBdr>
    </w:div>
    <w:div w:id="701441649">
      <w:bodyDiv w:val="1"/>
      <w:marLeft w:val="0"/>
      <w:marRight w:val="0"/>
      <w:marTop w:val="0"/>
      <w:marBottom w:val="0"/>
      <w:divBdr>
        <w:top w:val="none" w:sz="0" w:space="0" w:color="auto"/>
        <w:left w:val="none" w:sz="0" w:space="0" w:color="auto"/>
        <w:bottom w:val="none" w:sz="0" w:space="0" w:color="auto"/>
        <w:right w:val="none" w:sz="0" w:space="0" w:color="auto"/>
      </w:divBdr>
    </w:div>
    <w:div w:id="721292499">
      <w:bodyDiv w:val="1"/>
      <w:marLeft w:val="0"/>
      <w:marRight w:val="0"/>
      <w:marTop w:val="0"/>
      <w:marBottom w:val="0"/>
      <w:divBdr>
        <w:top w:val="none" w:sz="0" w:space="0" w:color="auto"/>
        <w:left w:val="none" w:sz="0" w:space="0" w:color="auto"/>
        <w:bottom w:val="none" w:sz="0" w:space="0" w:color="auto"/>
        <w:right w:val="none" w:sz="0" w:space="0" w:color="auto"/>
      </w:divBdr>
    </w:div>
    <w:div w:id="762410187">
      <w:bodyDiv w:val="1"/>
      <w:marLeft w:val="0"/>
      <w:marRight w:val="0"/>
      <w:marTop w:val="0"/>
      <w:marBottom w:val="0"/>
      <w:divBdr>
        <w:top w:val="none" w:sz="0" w:space="0" w:color="auto"/>
        <w:left w:val="none" w:sz="0" w:space="0" w:color="auto"/>
        <w:bottom w:val="none" w:sz="0" w:space="0" w:color="auto"/>
        <w:right w:val="none" w:sz="0" w:space="0" w:color="auto"/>
      </w:divBdr>
    </w:div>
    <w:div w:id="893854339">
      <w:bodyDiv w:val="1"/>
      <w:marLeft w:val="0"/>
      <w:marRight w:val="0"/>
      <w:marTop w:val="0"/>
      <w:marBottom w:val="0"/>
      <w:divBdr>
        <w:top w:val="none" w:sz="0" w:space="0" w:color="auto"/>
        <w:left w:val="none" w:sz="0" w:space="0" w:color="auto"/>
        <w:bottom w:val="none" w:sz="0" w:space="0" w:color="auto"/>
        <w:right w:val="none" w:sz="0" w:space="0" w:color="auto"/>
      </w:divBdr>
    </w:div>
    <w:div w:id="985092466">
      <w:bodyDiv w:val="1"/>
      <w:marLeft w:val="0"/>
      <w:marRight w:val="0"/>
      <w:marTop w:val="0"/>
      <w:marBottom w:val="0"/>
      <w:divBdr>
        <w:top w:val="none" w:sz="0" w:space="0" w:color="auto"/>
        <w:left w:val="none" w:sz="0" w:space="0" w:color="auto"/>
        <w:bottom w:val="none" w:sz="0" w:space="0" w:color="auto"/>
        <w:right w:val="none" w:sz="0" w:space="0" w:color="auto"/>
      </w:divBdr>
    </w:div>
    <w:div w:id="995646007">
      <w:bodyDiv w:val="1"/>
      <w:marLeft w:val="0"/>
      <w:marRight w:val="0"/>
      <w:marTop w:val="0"/>
      <w:marBottom w:val="0"/>
      <w:divBdr>
        <w:top w:val="none" w:sz="0" w:space="0" w:color="auto"/>
        <w:left w:val="none" w:sz="0" w:space="0" w:color="auto"/>
        <w:bottom w:val="none" w:sz="0" w:space="0" w:color="auto"/>
        <w:right w:val="none" w:sz="0" w:space="0" w:color="auto"/>
      </w:divBdr>
    </w:div>
    <w:div w:id="1047417699">
      <w:bodyDiv w:val="1"/>
      <w:marLeft w:val="0"/>
      <w:marRight w:val="0"/>
      <w:marTop w:val="0"/>
      <w:marBottom w:val="0"/>
      <w:divBdr>
        <w:top w:val="none" w:sz="0" w:space="0" w:color="auto"/>
        <w:left w:val="none" w:sz="0" w:space="0" w:color="auto"/>
        <w:bottom w:val="none" w:sz="0" w:space="0" w:color="auto"/>
        <w:right w:val="none" w:sz="0" w:space="0" w:color="auto"/>
      </w:divBdr>
    </w:div>
    <w:div w:id="1135874150">
      <w:bodyDiv w:val="1"/>
      <w:marLeft w:val="0"/>
      <w:marRight w:val="0"/>
      <w:marTop w:val="0"/>
      <w:marBottom w:val="0"/>
      <w:divBdr>
        <w:top w:val="none" w:sz="0" w:space="0" w:color="auto"/>
        <w:left w:val="none" w:sz="0" w:space="0" w:color="auto"/>
        <w:bottom w:val="none" w:sz="0" w:space="0" w:color="auto"/>
        <w:right w:val="none" w:sz="0" w:space="0" w:color="auto"/>
      </w:divBdr>
    </w:div>
    <w:div w:id="1146555957">
      <w:bodyDiv w:val="1"/>
      <w:marLeft w:val="0"/>
      <w:marRight w:val="0"/>
      <w:marTop w:val="0"/>
      <w:marBottom w:val="0"/>
      <w:divBdr>
        <w:top w:val="none" w:sz="0" w:space="0" w:color="auto"/>
        <w:left w:val="none" w:sz="0" w:space="0" w:color="auto"/>
        <w:bottom w:val="none" w:sz="0" w:space="0" w:color="auto"/>
        <w:right w:val="none" w:sz="0" w:space="0" w:color="auto"/>
      </w:divBdr>
    </w:div>
    <w:div w:id="1147433594">
      <w:bodyDiv w:val="1"/>
      <w:marLeft w:val="0"/>
      <w:marRight w:val="0"/>
      <w:marTop w:val="0"/>
      <w:marBottom w:val="0"/>
      <w:divBdr>
        <w:top w:val="none" w:sz="0" w:space="0" w:color="auto"/>
        <w:left w:val="none" w:sz="0" w:space="0" w:color="auto"/>
        <w:bottom w:val="none" w:sz="0" w:space="0" w:color="auto"/>
        <w:right w:val="none" w:sz="0" w:space="0" w:color="auto"/>
      </w:divBdr>
    </w:div>
    <w:div w:id="1179126668">
      <w:bodyDiv w:val="1"/>
      <w:marLeft w:val="0"/>
      <w:marRight w:val="0"/>
      <w:marTop w:val="0"/>
      <w:marBottom w:val="0"/>
      <w:divBdr>
        <w:top w:val="none" w:sz="0" w:space="0" w:color="auto"/>
        <w:left w:val="none" w:sz="0" w:space="0" w:color="auto"/>
        <w:bottom w:val="none" w:sz="0" w:space="0" w:color="auto"/>
        <w:right w:val="none" w:sz="0" w:space="0" w:color="auto"/>
      </w:divBdr>
    </w:div>
    <w:div w:id="1209685261">
      <w:bodyDiv w:val="1"/>
      <w:marLeft w:val="0"/>
      <w:marRight w:val="0"/>
      <w:marTop w:val="0"/>
      <w:marBottom w:val="0"/>
      <w:divBdr>
        <w:top w:val="none" w:sz="0" w:space="0" w:color="auto"/>
        <w:left w:val="none" w:sz="0" w:space="0" w:color="auto"/>
        <w:bottom w:val="none" w:sz="0" w:space="0" w:color="auto"/>
        <w:right w:val="none" w:sz="0" w:space="0" w:color="auto"/>
      </w:divBdr>
    </w:div>
    <w:div w:id="1247348546">
      <w:bodyDiv w:val="1"/>
      <w:marLeft w:val="0"/>
      <w:marRight w:val="0"/>
      <w:marTop w:val="0"/>
      <w:marBottom w:val="0"/>
      <w:divBdr>
        <w:top w:val="none" w:sz="0" w:space="0" w:color="auto"/>
        <w:left w:val="none" w:sz="0" w:space="0" w:color="auto"/>
        <w:bottom w:val="none" w:sz="0" w:space="0" w:color="auto"/>
        <w:right w:val="none" w:sz="0" w:space="0" w:color="auto"/>
      </w:divBdr>
    </w:div>
    <w:div w:id="1255363207">
      <w:bodyDiv w:val="1"/>
      <w:marLeft w:val="0"/>
      <w:marRight w:val="0"/>
      <w:marTop w:val="0"/>
      <w:marBottom w:val="0"/>
      <w:divBdr>
        <w:top w:val="none" w:sz="0" w:space="0" w:color="auto"/>
        <w:left w:val="none" w:sz="0" w:space="0" w:color="auto"/>
        <w:bottom w:val="none" w:sz="0" w:space="0" w:color="auto"/>
        <w:right w:val="none" w:sz="0" w:space="0" w:color="auto"/>
      </w:divBdr>
    </w:div>
    <w:div w:id="1276522864">
      <w:bodyDiv w:val="1"/>
      <w:marLeft w:val="0"/>
      <w:marRight w:val="0"/>
      <w:marTop w:val="0"/>
      <w:marBottom w:val="0"/>
      <w:divBdr>
        <w:top w:val="none" w:sz="0" w:space="0" w:color="auto"/>
        <w:left w:val="none" w:sz="0" w:space="0" w:color="auto"/>
        <w:bottom w:val="none" w:sz="0" w:space="0" w:color="auto"/>
        <w:right w:val="none" w:sz="0" w:space="0" w:color="auto"/>
      </w:divBdr>
    </w:div>
    <w:div w:id="1290630237">
      <w:bodyDiv w:val="1"/>
      <w:marLeft w:val="0"/>
      <w:marRight w:val="0"/>
      <w:marTop w:val="0"/>
      <w:marBottom w:val="0"/>
      <w:divBdr>
        <w:top w:val="none" w:sz="0" w:space="0" w:color="auto"/>
        <w:left w:val="none" w:sz="0" w:space="0" w:color="auto"/>
        <w:bottom w:val="none" w:sz="0" w:space="0" w:color="auto"/>
        <w:right w:val="none" w:sz="0" w:space="0" w:color="auto"/>
      </w:divBdr>
    </w:div>
    <w:div w:id="1295675132">
      <w:bodyDiv w:val="1"/>
      <w:marLeft w:val="0"/>
      <w:marRight w:val="0"/>
      <w:marTop w:val="0"/>
      <w:marBottom w:val="0"/>
      <w:divBdr>
        <w:top w:val="none" w:sz="0" w:space="0" w:color="auto"/>
        <w:left w:val="none" w:sz="0" w:space="0" w:color="auto"/>
        <w:bottom w:val="none" w:sz="0" w:space="0" w:color="auto"/>
        <w:right w:val="none" w:sz="0" w:space="0" w:color="auto"/>
      </w:divBdr>
    </w:div>
    <w:div w:id="1299728603">
      <w:bodyDiv w:val="1"/>
      <w:marLeft w:val="0"/>
      <w:marRight w:val="0"/>
      <w:marTop w:val="0"/>
      <w:marBottom w:val="0"/>
      <w:divBdr>
        <w:top w:val="none" w:sz="0" w:space="0" w:color="auto"/>
        <w:left w:val="none" w:sz="0" w:space="0" w:color="auto"/>
        <w:bottom w:val="none" w:sz="0" w:space="0" w:color="auto"/>
        <w:right w:val="none" w:sz="0" w:space="0" w:color="auto"/>
      </w:divBdr>
    </w:div>
    <w:div w:id="1383869078">
      <w:bodyDiv w:val="1"/>
      <w:marLeft w:val="0"/>
      <w:marRight w:val="0"/>
      <w:marTop w:val="0"/>
      <w:marBottom w:val="0"/>
      <w:divBdr>
        <w:top w:val="none" w:sz="0" w:space="0" w:color="auto"/>
        <w:left w:val="none" w:sz="0" w:space="0" w:color="auto"/>
        <w:bottom w:val="none" w:sz="0" w:space="0" w:color="auto"/>
        <w:right w:val="none" w:sz="0" w:space="0" w:color="auto"/>
      </w:divBdr>
    </w:div>
    <w:div w:id="1409888218">
      <w:bodyDiv w:val="1"/>
      <w:marLeft w:val="0"/>
      <w:marRight w:val="0"/>
      <w:marTop w:val="0"/>
      <w:marBottom w:val="0"/>
      <w:divBdr>
        <w:top w:val="none" w:sz="0" w:space="0" w:color="auto"/>
        <w:left w:val="none" w:sz="0" w:space="0" w:color="auto"/>
        <w:bottom w:val="none" w:sz="0" w:space="0" w:color="auto"/>
        <w:right w:val="none" w:sz="0" w:space="0" w:color="auto"/>
      </w:divBdr>
    </w:div>
    <w:div w:id="1425496177">
      <w:bodyDiv w:val="1"/>
      <w:marLeft w:val="0"/>
      <w:marRight w:val="0"/>
      <w:marTop w:val="0"/>
      <w:marBottom w:val="0"/>
      <w:divBdr>
        <w:top w:val="none" w:sz="0" w:space="0" w:color="auto"/>
        <w:left w:val="none" w:sz="0" w:space="0" w:color="auto"/>
        <w:bottom w:val="none" w:sz="0" w:space="0" w:color="auto"/>
        <w:right w:val="none" w:sz="0" w:space="0" w:color="auto"/>
      </w:divBdr>
    </w:div>
    <w:div w:id="1670863960">
      <w:bodyDiv w:val="1"/>
      <w:marLeft w:val="0"/>
      <w:marRight w:val="0"/>
      <w:marTop w:val="0"/>
      <w:marBottom w:val="0"/>
      <w:divBdr>
        <w:top w:val="none" w:sz="0" w:space="0" w:color="auto"/>
        <w:left w:val="none" w:sz="0" w:space="0" w:color="auto"/>
        <w:bottom w:val="none" w:sz="0" w:space="0" w:color="auto"/>
        <w:right w:val="none" w:sz="0" w:space="0" w:color="auto"/>
      </w:divBdr>
    </w:div>
    <w:div w:id="1727140923">
      <w:bodyDiv w:val="1"/>
      <w:marLeft w:val="0"/>
      <w:marRight w:val="0"/>
      <w:marTop w:val="0"/>
      <w:marBottom w:val="0"/>
      <w:divBdr>
        <w:top w:val="none" w:sz="0" w:space="0" w:color="auto"/>
        <w:left w:val="none" w:sz="0" w:space="0" w:color="auto"/>
        <w:bottom w:val="none" w:sz="0" w:space="0" w:color="auto"/>
        <w:right w:val="none" w:sz="0" w:space="0" w:color="auto"/>
      </w:divBdr>
    </w:div>
    <w:div w:id="1736320839">
      <w:bodyDiv w:val="1"/>
      <w:marLeft w:val="0"/>
      <w:marRight w:val="0"/>
      <w:marTop w:val="0"/>
      <w:marBottom w:val="0"/>
      <w:divBdr>
        <w:top w:val="none" w:sz="0" w:space="0" w:color="auto"/>
        <w:left w:val="none" w:sz="0" w:space="0" w:color="auto"/>
        <w:bottom w:val="none" w:sz="0" w:space="0" w:color="auto"/>
        <w:right w:val="none" w:sz="0" w:space="0" w:color="auto"/>
      </w:divBdr>
    </w:div>
    <w:div w:id="1751585266">
      <w:bodyDiv w:val="1"/>
      <w:marLeft w:val="0"/>
      <w:marRight w:val="0"/>
      <w:marTop w:val="0"/>
      <w:marBottom w:val="0"/>
      <w:divBdr>
        <w:top w:val="none" w:sz="0" w:space="0" w:color="auto"/>
        <w:left w:val="none" w:sz="0" w:space="0" w:color="auto"/>
        <w:bottom w:val="none" w:sz="0" w:space="0" w:color="auto"/>
        <w:right w:val="none" w:sz="0" w:space="0" w:color="auto"/>
      </w:divBdr>
    </w:div>
    <w:div w:id="1819804665">
      <w:bodyDiv w:val="1"/>
      <w:marLeft w:val="0"/>
      <w:marRight w:val="0"/>
      <w:marTop w:val="0"/>
      <w:marBottom w:val="0"/>
      <w:divBdr>
        <w:top w:val="none" w:sz="0" w:space="0" w:color="auto"/>
        <w:left w:val="none" w:sz="0" w:space="0" w:color="auto"/>
        <w:bottom w:val="none" w:sz="0" w:space="0" w:color="auto"/>
        <w:right w:val="none" w:sz="0" w:space="0" w:color="auto"/>
      </w:divBdr>
    </w:div>
    <w:div w:id="1871259520">
      <w:bodyDiv w:val="1"/>
      <w:marLeft w:val="0"/>
      <w:marRight w:val="0"/>
      <w:marTop w:val="0"/>
      <w:marBottom w:val="0"/>
      <w:divBdr>
        <w:top w:val="none" w:sz="0" w:space="0" w:color="auto"/>
        <w:left w:val="none" w:sz="0" w:space="0" w:color="auto"/>
        <w:bottom w:val="none" w:sz="0" w:space="0" w:color="auto"/>
        <w:right w:val="none" w:sz="0" w:space="0" w:color="auto"/>
      </w:divBdr>
    </w:div>
    <w:div w:id="2047945305">
      <w:bodyDiv w:val="1"/>
      <w:marLeft w:val="0"/>
      <w:marRight w:val="0"/>
      <w:marTop w:val="0"/>
      <w:marBottom w:val="0"/>
      <w:divBdr>
        <w:top w:val="none" w:sz="0" w:space="0" w:color="auto"/>
        <w:left w:val="none" w:sz="0" w:space="0" w:color="auto"/>
        <w:bottom w:val="none" w:sz="0" w:space="0" w:color="auto"/>
        <w:right w:val="none" w:sz="0" w:space="0" w:color="auto"/>
      </w:divBdr>
    </w:div>
    <w:div w:id="2084521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hyperlink" Target="http://www.wipo.int/edocs/pubdocs/en/geographical/952/wipo_pub_952.pdf)" TargetMode="External"/><Relationship Id="rId14" Type="http://schemas.openxmlformats.org/officeDocument/2006/relationships/hyperlink" Target="http://trade.ec.europa.eu/doclib/docs/2007/june/tradoc_135088.pdf)" TargetMode="External"/><Relationship Id="rId15" Type="http://schemas.openxmlformats.org/officeDocument/2006/relationships/hyperlink" Target="http://www.wipo.int/edocs/pubdocs/en/geographical/952/wipo_pub_952.pdf)"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uspto.gov/trademark/standard-character-set" TargetMode="Externa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ipo.gov.uk/types/tm/t-os/t-find/t-challenge-decision-results/o38316.pdf" TargetMode="External"/><Relationship Id="rId4" Type="http://schemas.openxmlformats.org/officeDocument/2006/relationships/hyperlink" Target="https://www.tmdn.org/network/documents/10181/278891cf-6e4a-41ad-b8d8-1e0795c47cb1" TargetMode="External"/><Relationship Id="rId5" Type="http://schemas.openxmlformats.org/officeDocument/2006/relationships/hyperlink" Target="http://trade.ec.europa.eu/doclib/docs/2007/june/tradoc_135088.pdf" TargetMode="External"/><Relationship Id="rId1" Type="http://schemas.openxmlformats.org/officeDocument/2006/relationships/hyperlink" Target="https://euipo.europa.eu/tunnel-web/secure/webdav/guest/document_library/contentPdfs/legal_reform/regulation_20152424_en.pdf)" TargetMode="External"/><Relationship Id="rId2" Type="http://schemas.openxmlformats.org/officeDocument/2006/relationships/hyperlink" Target="http://eur-lex.europa.eu/legal-content/EN/TXT/?uri=CELEX%3A62012CJ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2719</Words>
  <Characters>15499</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2017-04-28T02:36:00Z</dcterms:created>
  <dcterms:modified xsi:type="dcterms:W3CDTF">2017-04-28T02:36:00Z</dcterms:modified>
</cp:coreProperties>
</file>