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837EAB" w14:textId="0D46C962" w:rsidR="009D7663" w:rsidRPr="004D764D" w:rsidRDefault="004F304F" w:rsidP="004F304F">
      <w:pPr>
        <w:jc w:val="center"/>
        <w:rPr>
          <w:rFonts w:asciiTheme="minorHAnsi" w:hAnsiTheme="minorHAnsi"/>
          <w:b/>
          <w:sz w:val="22"/>
          <w:szCs w:val="22"/>
        </w:rPr>
      </w:pPr>
      <w:r w:rsidRPr="004D764D">
        <w:rPr>
          <w:rFonts w:asciiTheme="minorHAnsi" w:hAnsiTheme="minorHAnsi"/>
          <w:b/>
          <w:sz w:val="22"/>
          <w:szCs w:val="22"/>
        </w:rPr>
        <w:t>NEXT STEPS IN REVIEWING THE TMCH</w:t>
      </w:r>
    </w:p>
    <w:p w14:paraId="6FA87723" w14:textId="761A2CAC" w:rsidR="004F304F" w:rsidRPr="004D764D" w:rsidRDefault="004F304F" w:rsidP="004F304F">
      <w:pPr>
        <w:jc w:val="center"/>
        <w:rPr>
          <w:rFonts w:asciiTheme="minorHAnsi" w:hAnsiTheme="minorHAnsi"/>
          <w:b/>
          <w:sz w:val="22"/>
          <w:szCs w:val="22"/>
        </w:rPr>
      </w:pPr>
      <w:r w:rsidRPr="004D764D">
        <w:rPr>
          <w:rFonts w:asciiTheme="minorHAnsi" w:hAnsiTheme="minorHAnsi"/>
          <w:b/>
          <w:sz w:val="22"/>
          <w:szCs w:val="22"/>
        </w:rPr>
        <w:t>Draft Proposals (updated 28 March 2017)</w:t>
      </w:r>
    </w:p>
    <w:p w14:paraId="2CEF5EF2" w14:textId="77777777" w:rsidR="004F304F" w:rsidRPr="004D764D" w:rsidRDefault="004F304F" w:rsidP="004F304F">
      <w:pPr>
        <w:jc w:val="center"/>
        <w:rPr>
          <w:rFonts w:asciiTheme="minorHAnsi" w:hAnsiTheme="minorHAnsi"/>
          <w:b/>
          <w:sz w:val="22"/>
          <w:szCs w:val="22"/>
        </w:rPr>
      </w:pPr>
    </w:p>
    <w:p w14:paraId="440BB0FA" w14:textId="0F914409" w:rsidR="00CA6A8A" w:rsidRPr="004D764D" w:rsidRDefault="00CA6A8A" w:rsidP="004F304F">
      <w:pPr>
        <w:jc w:val="center"/>
        <w:rPr>
          <w:rFonts w:asciiTheme="minorHAnsi" w:hAnsiTheme="minorHAnsi"/>
          <w:b/>
          <w:sz w:val="22"/>
          <w:szCs w:val="22"/>
        </w:rPr>
      </w:pPr>
      <w:r w:rsidRPr="004D764D">
        <w:rPr>
          <w:rFonts w:asciiTheme="minorHAnsi" w:hAnsiTheme="minorHAnsi"/>
          <w:b/>
          <w:sz w:val="22"/>
          <w:szCs w:val="22"/>
        </w:rPr>
        <w:t>CATEGORIES 3-6</w:t>
      </w:r>
    </w:p>
    <w:p w14:paraId="489F3C5D" w14:textId="77777777" w:rsidR="00DB6507" w:rsidRPr="004D764D" w:rsidRDefault="00DB6507">
      <w:pPr>
        <w:rPr>
          <w:rFonts w:asciiTheme="minorHAnsi" w:hAnsiTheme="minorHAnsi"/>
          <w:sz w:val="22"/>
          <w:szCs w:val="22"/>
        </w:rPr>
      </w:pPr>
    </w:p>
    <w:tbl>
      <w:tblPr>
        <w:tblStyle w:val="TableGrid"/>
        <w:tblW w:w="0" w:type="auto"/>
        <w:tblLook w:val="04A0" w:firstRow="1" w:lastRow="0" w:firstColumn="1" w:lastColumn="0" w:noHBand="0" w:noVBand="1"/>
      </w:tblPr>
      <w:tblGrid>
        <w:gridCol w:w="2979"/>
        <w:gridCol w:w="2727"/>
        <w:gridCol w:w="3298"/>
        <w:gridCol w:w="3946"/>
      </w:tblGrid>
      <w:tr w:rsidR="008842FE" w:rsidRPr="004D764D" w14:paraId="67CA483C" w14:textId="77777777" w:rsidTr="00404EA7">
        <w:tc>
          <w:tcPr>
            <w:tcW w:w="0" w:type="auto"/>
          </w:tcPr>
          <w:p w14:paraId="1FDB9840" w14:textId="03A14F8B" w:rsidR="00DB6507" w:rsidRPr="004D764D" w:rsidRDefault="008F5731" w:rsidP="00FA34F6">
            <w:pPr>
              <w:rPr>
                <w:rFonts w:asciiTheme="minorHAnsi" w:hAnsiTheme="minorHAnsi"/>
                <w:b/>
                <w:sz w:val="22"/>
                <w:szCs w:val="22"/>
              </w:rPr>
            </w:pPr>
            <w:r w:rsidRPr="004D764D">
              <w:rPr>
                <w:rFonts w:asciiTheme="minorHAnsi" w:hAnsiTheme="minorHAnsi"/>
                <w:b/>
                <w:sz w:val="22"/>
                <w:szCs w:val="22"/>
              </w:rPr>
              <w:t>TMCH CHARTER QUESTIONS</w:t>
            </w:r>
          </w:p>
        </w:tc>
        <w:tc>
          <w:tcPr>
            <w:tcW w:w="0" w:type="auto"/>
          </w:tcPr>
          <w:p w14:paraId="466C8845" w14:textId="5B8CA73D" w:rsidR="00DB6507" w:rsidRPr="004D764D" w:rsidRDefault="008F5731">
            <w:pPr>
              <w:rPr>
                <w:rFonts w:asciiTheme="minorHAnsi" w:hAnsiTheme="minorHAnsi"/>
                <w:b/>
                <w:sz w:val="22"/>
                <w:szCs w:val="22"/>
              </w:rPr>
            </w:pPr>
            <w:r w:rsidRPr="004D764D">
              <w:rPr>
                <w:rFonts w:asciiTheme="minorHAnsi" w:hAnsiTheme="minorHAnsi"/>
                <w:b/>
                <w:sz w:val="22"/>
                <w:szCs w:val="22"/>
              </w:rPr>
              <w:t>CO-CHAIRS’ PROPOSED NEXT STEPS</w:t>
            </w:r>
          </w:p>
        </w:tc>
        <w:tc>
          <w:tcPr>
            <w:tcW w:w="0" w:type="auto"/>
          </w:tcPr>
          <w:p w14:paraId="4CB4A1AC" w14:textId="1D1C68FD" w:rsidR="00DB6507" w:rsidRPr="004D764D" w:rsidRDefault="008F5731">
            <w:pPr>
              <w:rPr>
                <w:rFonts w:asciiTheme="minorHAnsi" w:hAnsiTheme="minorHAnsi"/>
                <w:b/>
                <w:sz w:val="22"/>
                <w:szCs w:val="22"/>
              </w:rPr>
            </w:pPr>
            <w:r w:rsidRPr="004D764D">
              <w:rPr>
                <w:rFonts w:asciiTheme="minorHAnsi" w:hAnsiTheme="minorHAnsi"/>
                <w:b/>
                <w:sz w:val="22"/>
                <w:szCs w:val="22"/>
              </w:rPr>
              <w:t>ADDITIONAL STAFF NOTES</w:t>
            </w:r>
          </w:p>
        </w:tc>
        <w:tc>
          <w:tcPr>
            <w:tcW w:w="0" w:type="auto"/>
          </w:tcPr>
          <w:p w14:paraId="48AB1ED2" w14:textId="65F4805C" w:rsidR="00DB6507" w:rsidRPr="004D764D" w:rsidRDefault="008F5731">
            <w:pPr>
              <w:rPr>
                <w:rFonts w:asciiTheme="minorHAnsi" w:hAnsiTheme="minorHAnsi"/>
                <w:b/>
                <w:sz w:val="22"/>
                <w:szCs w:val="22"/>
              </w:rPr>
            </w:pPr>
            <w:r w:rsidRPr="004D764D">
              <w:rPr>
                <w:rFonts w:asciiTheme="minorHAnsi" w:hAnsiTheme="minorHAnsi"/>
                <w:b/>
                <w:sz w:val="22"/>
                <w:szCs w:val="22"/>
              </w:rPr>
              <w:t>WG DISCUSSION</w:t>
            </w:r>
          </w:p>
        </w:tc>
      </w:tr>
      <w:tr w:rsidR="004F304F" w:rsidRPr="004D764D" w14:paraId="6FC5747D" w14:textId="77777777" w:rsidTr="00E770B1">
        <w:tc>
          <w:tcPr>
            <w:tcW w:w="0" w:type="auto"/>
            <w:gridSpan w:val="4"/>
          </w:tcPr>
          <w:p w14:paraId="4A1A5897" w14:textId="772C8BE6" w:rsidR="004F304F" w:rsidRPr="004D764D" w:rsidRDefault="004F304F">
            <w:pPr>
              <w:rPr>
                <w:rFonts w:asciiTheme="minorHAnsi" w:hAnsiTheme="minorHAnsi"/>
                <w:sz w:val="22"/>
                <w:szCs w:val="22"/>
              </w:rPr>
            </w:pPr>
            <w:r w:rsidRPr="004D764D">
              <w:rPr>
                <w:rFonts w:asciiTheme="minorHAnsi" w:hAnsiTheme="minorHAnsi"/>
                <w:b/>
                <w:sz w:val="22"/>
                <w:szCs w:val="22"/>
              </w:rPr>
              <w:t>TMCH Category 3: Breadth &amp; Reach (Scope)</w:t>
            </w:r>
          </w:p>
        </w:tc>
      </w:tr>
      <w:tr w:rsidR="008842FE" w:rsidRPr="004D764D" w14:paraId="5712A9DD" w14:textId="77777777" w:rsidTr="00404EA7">
        <w:tc>
          <w:tcPr>
            <w:tcW w:w="0" w:type="auto"/>
          </w:tcPr>
          <w:p w14:paraId="0512E53C" w14:textId="77777777" w:rsidR="00DB6507" w:rsidRPr="004D764D" w:rsidRDefault="00DB6507" w:rsidP="00DB6507">
            <w:pPr>
              <w:pStyle w:val="ListParagraph"/>
              <w:numPr>
                <w:ilvl w:val="0"/>
                <w:numId w:val="1"/>
              </w:numPr>
              <w:rPr>
                <w:sz w:val="22"/>
                <w:szCs w:val="22"/>
              </w:rPr>
            </w:pPr>
            <w:r w:rsidRPr="004D764D">
              <w:rPr>
                <w:sz w:val="22"/>
                <w:szCs w:val="22"/>
              </w:rPr>
              <w:t xml:space="preserve">How are design marks currently handled by the TMCH provider? </w:t>
            </w:r>
          </w:p>
          <w:p w14:paraId="40F0F228" w14:textId="77777777" w:rsidR="00DB6507" w:rsidRPr="004D764D" w:rsidRDefault="00DB6507" w:rsidP="00FA34F6">
            <w:pPr>
              <w:rPr>
                <w:rFonts w:asciiTheme="minorHAnsi" w:hAnsiTheme="minorHAnsi"/>
                <w:sz w:val="22"/>
                <w:szCs w:val="22"/>
              </w:rPr>
            </w:pPr>
          </w:p>
          <w:p w14:paraId="7686CDAE" w14:textId="77777777" w:rsidR="00DB6507" w:rsidRPr="004D764D" w:rsidRDefault="00DB6507" w:rsidP="00FA34F6">
            <w:pPr>
              <w:rPr>
                <w:rFonts w:asciiTheme="minorHAnsi" w:hAnsiTheme="minorHAnsi"/>
                <w:sz w:val="22"/>
                <w:szCs w:val="22"/>
              </w:rPr>
            </w:pPr>
          </w:p>
        </w:tc>
        <w:tc>
          <w:tcPr>
            <w:tcW w:w="0" w:type="auto"/>
          </w:tcPr>
          <w:p w14:paraId="1BFFE778" w14:textId="77777777" w:rsidR="00D12E64" w:rsidRPr="004D764D" w:rsidRDefault="00404EA7" w:rsidP="00404EA7">
            <w:pPr>
              <w:rPr>
                <w:rFonts w:asciiTheme="minorHAnsi" w:hAnsiTheme="minorHAnsi"/>
                <w:sz w:val="22"/>
                <w:szCs w:val="22"/>
              </w:rPr>
            </w:pPr>
            <w:r w:rsidRPr="004D764D">
              <w:rPr>
                <w:rFonts w:asciiTheme="minorHAnsi" w:hAnsiTheme="minorHAnsi"/>
                <w:sz w:val="22"/>
                <w:szCs w:val="22"/>
              </w:rPr>
              <w:t xml:space="preserve">Still awaiting answers from Deloitte to the appendix examples in our follow-up question. Still a very active area of discussion. </w:t>
            </w:r>
          </w:p>
          <w:p w14:paraId="47FC5B50" w14:textId="77777777" w:rsidR="00D12E64" w:rsidRPr="004D764D" w:rsidRDefault="00D12E64" w:rsidP="00404EA7">
            <w:pPr>
              <w:rPr>
                <w:rFonts w:asciiTheme="minorHAnsi" w:hAnsiTheme="minorHAnsi"/>
                <w:sz w:val="22"/>
                <w:szCs w:val="22"/>
              </w:rPr>
            </w:pPr>
          </w:p>
          <w:p w14:paraId="36AF2067" w14:textId="02253F0F" w:rsidR="00404EA7" w:rsidRPr="004D764D" w:rsidRDefault="00404EA7" w:rsidP="00404EA7">
            <w:pPr>
              <w:rPr>
                <w:rFonts w:asciiTheme="minorHAnsi" w:hAnsiTheme="minorHAnsi"/>
                <w:sz w:val="22"/>
                <w:szCs w:val="22"/>
              </w:rPr>
            </w:pPr>
            <w:r w:rsidRPr="004D764D">
              <w:rPr>
                <w:rFonts w:asciiTheme="minorHAnsi" w:hAnsiTheme="minorHAnsi"/>
                <w:sz w:val="22"/>
                <w:szCs w:val="22"/>
                <w:u w:val="single"/>
              </w:rPr>
              <w:t>Recommend</w:t>
            </w:r>
            <w:r w:rsidR="00D12E64" w:rsidRPr="004D764D">
              <w:rPr>
                <w:rFonts w:asciiTheme="minorHAnsi" w:hAnsiTheme="minorHAnsi"/>
                <w:sz w:val="22"/>
                <w:szCs w:val="22"/>
                <w:u w:val="single"/>
              </w:rPr>
              <w:t>:</w:t>
            </w:r>
            <w:r w:rsidR="00CA6A8A" w:rsidRPr="004D764D">
              <w:rPr>
                <w:rFonts w:asciiTheme="minorHAnsi" w:hAnsiTheme="minorHAnsi"/>
                <w:sz w:val="22"/>
                <w:szCs w:val="22"/>
              </w:rPr>
              <w:t xml:space="preserve"> </w:t>
            </w:r>
            <w:r w:rsidRPr="004D764D">
              <w:rPr>
                <w:rFonts w:asciiTheme="minorHAnsi" w:hAnsiTheme="minorHAnsi"/>
                <w:sz w:val="22"/>
                <w:szCs w:val="22"/>
              </w:rPr>
              <w:t>more discussi</w:t>
            </w:r>
            <w:r w:rsidR="00CA6A8A" w:rsidRPr="004D764D">
              <w:rPr>
                <w:rFonts w:asciiTheme="minorHAnsi" w:hAnsiTheme="minorHAnsi"/>
                <w:sz w:val="22"/>
                <w:szCs w:val="22"/>
              </w:rPr>
              <w:t>on after response from Deloitte</w:t>
            </w:r>
            <w:r w:rsidRPr="004D764D">
              <w:rPr>
                <w:rFonts w:asciiTheme="minorHAnsi" w:hAnsiTheme="minorHAnsi"/>
                <w:sz w:val="22"/>
                <w:szCs w:val="22"/>
              </w:rPr>
              <w:t>.</w:t>
            </w:r>
          </w:p>
          <w:p w14:paraId="2C8D94A8" w14:textId="77777777" w:rsidR="00DB6507" w:rsidRPr="004D764D" w:rsidRDefault="00DB6507">
            <w:pPr>
              <w:rPr>
                <w:rFonts w:asciiTheme="minorHAnsi" w:hAnsiTheme="minorHAnsi"/>
                <w:sz w:val="22"/>
                <w:szCs w:val="22"/>
              </w:rPr>
            </w:pPr>
          </w:p>
        </w:tc>
        <w:tc>
          <w:tcPr>
            <w:tcW w:w="0" w:type="auto"/>
          </w:tcPr>
          <w:p w14:paraId="48F8C6A7" w14:textId="77777777" w:rsidR="00DB6507" w:rsidRPr="004D764D" w:rsidRDefault="00B35DAF">
            <w:pPr>
              <w:rPr>
                <w:rFonts w:asciiTheme="minorHAnsi" w:hAnsiTheme="minorHAnsi"/>
                <w:sz w:val="22"/>
                <w:szCs w:val="22"/>
              </w:rPr>
            </w:pPr>
            <w:r w:rsidRPr="004D764D">
              <w:rPr>
                <w:rFonts w:asciiTheme="minorHAnsi" w:hAnsiTheme="minorHAnsi"/>
                <w:sz w:val="22"/>
                <w:szCs w:val="22"/>
              </w:rPr>
              <w:t>Deloitte presentation of updated data at ICANN58:</w:t>
            </w:r>
          </w:p>
          <w:p w14:paraId="16007CCC" w14:textId="263DEF4D" w:rsidR="00B35DAF" w:rsidRPr="004D764D" w:rsidRDefault="00B35DAF" w:rsidP="00B35DAF">
            <w:pPr>
              <w:numPr>
                <w:ilvl w:val="0"/>
                <w:numId w:val="7"/>
              </w:numPr>
              <w:rPr>
                <w:rFonts w:asciiTheme="minorHAnsi" w:hAnsiTheme="minorHAnsi"/>
                <w:sz w:val="22"/>
                <w:szCs w:val="22"/>
              </w:rPr>
            </w:pPr>
            <w:r w:rsidRPr="004D764D">
              <w:rPr>
                <w:rFonts w:asciiTheme="minorHAnsi" w:hAnsiTheme="minorHAnsi"/>
                <w:sz w:val="22"/>
                <w:szCs w:val="22"/>
              </w:rPr>
              <w:t>Verification focuses on words in a design mark, but not the design aspect – note example from TMCH Guidelines</w:t>
            </w:r>
          </w:p>
          <w:p w14:paraId="2BC06A03" w14:textId="77777777" w:rsidR="00B35DAF" w:rsidRPr="004D764D" w:rsidRDefault="00B35DAF" w:rsidP="00B35DAF">
            <w:pPr>
              <w:numPr>
                <w:ilvl w:val="0"/>
                <w:numId w:val="7"/>
              </w:numPr>
              <w:rPr>
                <w:rFonts w:asciiTheme="minorHAnsi" w:hAnsiTheme="minorHAnsi"/>
                <w:sz w:val="22"/>
                <w:szCs w:val="22"/>
              </w:rPr>
            </w:pPr>
            <w:r w:rsidRPr="004D764D">
              <w:rPr>
                <w:rFonts w:asciiTheme="minorHAnsi" w:hAnsiTheme="minorHAnsi"/>
                <w:sz w:val="22"/>
                <w:szCs w:val="22"/>
              </w:rPr>
              <w:t>Disclaimers to exclusive use of marks not factored in, verification process involves only matching factual data against corresponding trademark certificate - no legal opinion provided by TMCH on exclusive use</w:t>
            </w:r>
          </w:p>
          <w:p w14:paraId="0FAFCF02" w14:textId="77777777" w:rsidR="00B35DAF" w:rsidRPr="004D764D" w:rsidRDefault="00B35DAF" w:rsidP="00B35DAF">
            <w:pPr>
              <w:numPr>
                <w:ilvl w:val="0"/>
                <w:numId w:val="7"/>
              </w:numPr>
              <w:rPr>
                <w:rFonts w:asciiTheme="minorHAnsi" w:hAnsiTheme="minorHAnsi"/>
                <w:sz w:val="22"/>
                <w:szCs w:val="22"/>
              </w:rPr>
            </w:pPr>
            <w:r w:rsidRPr="004D764D">
              <w:rPr>
                <w:rFonts w:asciiTheme="minorHAnsi" w:hAnsiTheme="minorHAnsi"/>
                <w:sz w:val="22"/>
                <w:szCs w:val="22"/>
              </w:rPr>
              <w:t>Verification of generic words also matched against corresponding trademark certificate</w:t>
            </w:r>
          </w:p>
          <w:p w14:paraId="31122F18" w14:textId="1BB48835" w:rsidR="00B35DAF" w:rsidRPr="004D764D" w:rsidRDefault="00B35DAF" w:rsidP="00B35DAF">
            <w:pPr>
              <w:numPr>
                <w:ilvl w:val="0"/>
                <w:numId w:val="7"/>
              </w:numPr>
              <w:rPr>
                <w:rFonts w:asciiTheme="minorHAnsi" w:hAnsiTheme="minorHAnsi"/>
                <w:sz w:val="22"/>
                <w:szCs w:val="22"/>
              </w:rPr>
            </w:pPr>
            <w:r w:rsidRPr="004D764D">
              <w:rPr>
                <w:rFonts w:asciiTheme="minorHAnsi" w:hAnsiTheme="minorHAnsi"/>
                <w:sz w:val="22"/>
                <w:szCs w:val="22"/>
              </w:rPr>
              <w:t xml:space="preserve">Noted that some jurisdictions do not distinguish between different types of marks (e.g. word vs figurative/design mark); </w:t>
            </w:r>
            <w:r w:rsidRPr="004D764D">
              <w:rPr>
                <w:rFonts w:asciiTheme="minorHAnsi" w:hAnsiTheme="minorHAnsi"/>
                <w:sz w:val="22"/>
                <w:szCs w:val="22"/>
              </w:rPr>
              <w:lastRenderedPageBreak/>
              <w:t>no separate statistics on design marks per se</w:t>
            </w:r>
          </w:p>
          <w:p w14:paraId="4E8CC207" w14:textId="77777777" w:rsidR="00B35DAF" w:rsidRPr="004D764D" w:rsidRDefault="00B35DAF">
            <w:pPr>
              <w:rPr>
                <w:rFonts w:asciiTheme="minorHAnsi" w:hAnsiTheme="minorHAnsi"/>
                <w:sz w:val="22"/>
                <w:szCs w:val="22"/>
              </w:rPr>
            </w:pPr>
          </w:p>
        </w:tc>
        <w:tc>
          <w:tcPr>
            <w:tcW w:w="0" w:type="auto"/>
          </w:tcPr>
          <w:p w14:paraId="044D9DEE" w14:textId="228DDE99" w:rsidR="00841AD1" w:rsidRPr="004D764D" w:rsidRDefault="00841AD1" w:rsidP="00F427ED">
            <w:pPr>
              <w:pStyle w:val="ListParagraph"/>
              <w:numPr>
                <w:ilvl w:val="0"/>
                <w:numId w:val="14"/>
              </w:numPr>
              <w:rPr>
                <w:rFonts w:eastAsia="Times New Roman"/>
                <w:sz w:val="22"/>
                <w:szCs w:val="22"/>
                <w:lang w:eastAsia="en-US"/>
              </w:rPr>
            </w:pPr>
            <w:r w:rsidRPr="004D764D">
              <w:rPr>
                <w:color w:val="000000"/>
                <w:sz w:val="22"/>
                <w:szCs w:val="22"/>
                <w:shd w:val="clear" w:color="auto" w:fill="FFFFFF"/>
                <w:lang w:eastAsia="en-US"/>
              </w:rPr>
              <w:lastRenderedPageBreak/>
              <w:t>Further discussion after Deloitte sends further response</w:t>
            </w:r>
          </w:p>
          <w:p w14:paraId="1F715F4F" w14:textId="15568919" w:rsidR="00F427ED" w:rsidRPr="004D764D" w:rsidRDefault="00F427ED" w:rsidP="00F427ED">
            <w:pPr>
              <w:pStyle w:val="ListParagraph"/>
              <w:numPr>
                <w:ilvl w:val="0"/>
                <w:numId w:val="14"/>
              </w:numPr>
              <w:rPr>
                <w:rFonts w:eastAsia="Times New Roman"/>
                <w:sz w:val="22"/>
                <w:szCs w:val="22"/>
                <w:lang w:eastAsia="en-US"/>
              </w:rPr>
            </w:pPr>
            <w:r w:rsidRPr="004D764D">
              <w:rPr>
                <w:rFonts w:eastAsia="Times New Roman"/>
                <w:sz w:val="22"/>
                <w:szCs w:val="22"/>
                <w:lang w:eastAsia="en-US"/>
              </w:rPr>
              <w:t>ACTION ITEM: WG will return to substantive discussion on Q7 when further information is shared by Deloitte</w:t>
            </w:r>
            <w:r w:rsidR="004D764D" w:rsidRPr="004D764D">
              <w:rPr>
                <w:rFonts w:eastAsia="Times New Roman"/>
                <w:sz w:val="22"/>
                <w:szCs w:val="22"/>
                <w:lang w:eastAsia="en-US"/>
              </w:rPr>
              <w:t xml:space="preserve"> - WG to formulate question requesting Deloitte to provide aggregated, anonymized data about trademark owners submitting one mark, five marks, higher numbers, and frequency</w:t>
            </w:r>
          </w:p>
          <w:p w14:paraId="08FC6DF3" w14:textId="77777777" w:rsidR="00DB6507" w:rsidRPr="004D764D" w:rsidRDefault="00DB6507">
            <w:pPr>
              <w:rPr>
                <w:rFonts w:asciiTheme="minorHAnsi" w:hAnsiTheme="minorHAnsi"/>
                <w:sz w:val="22"/>
                <w:szCs w:val="22"/>
              </w:rPr>
            </w:pPr>
          </w:p>
        </w:tc>
      </w:tr>
      <w:tr w:rsidR="008842FE" w:rsidRPr="004D764D" w14:paraId="1E2021B6" w14:textId="77777777" w:rsidTr="00404EA7">
        <w:tc>
          <w:tcPr>
            <w:tcW w:w="0" w:type="auto"/>
          </w:tcPr>
          <w:p w14:paraId="020B7209" w14:textId="0AE9E12B" w:rsidR="00DB6507" w:rsidRPr="004D764D" w:rsidRDefault="00DB6507" w:rsidP="00DB6507">
            <w:pPr>
              <w:pStyle w:val="ListParagraph"/>
              <w:numPr>
                <w:ilvl w:val="0"/>
                <w:numId w:val="1"/>
              </w:numPr>
              <w:rPr>
                <w:sz w:val="22"/>
                <w:szCs w:val="22"/>
              </w:rPr>
            </w:pPr>
            <w:r w:rsidRPr="004D764D">
              <w:rPr>
                <w:sz w:val="22"/>
                <w:szCs w:val="22"/>
              </w:rPr>
              <w:lastRenderedPageBreak/>
              <w:t>How are geographical indications, protected designations of origin, and protected appellations of origin currently handled by the TMCH provider?</w:t>
            </w:r>
          </w:p>
          <w:p w14:paraId="0C226238" w14:textId="77777777" w:rsidR="00DB6507" w:rsidRPr="004D764D" w:rsidRDefault="00DB6507" w:rsidP="00FA34F6">
            <w:pPr>
              <w:rPr>
                <w:rFonts w:asciiTheme="minorHAnsi" w:hAnsiTheme="minorHAnsi"/>
                <w:sz w:val="22"/>
                <w:szCs w:val="22"/>
              </w:rPr>
            </w:pPr>
          </w:p>
        </w:tc>
        <w:tc>
          <w:tcPr>
            <w:tcW w:w="0" w:type="auto"/>
          </w:tcPr>
          <w:p w14:paraId="620B7660" w14:textId="590C2299" w:rsidR="00D12E64" w:rsidRPr="004D764D" w:rsidRDefault="00CA6A8A">
            <w:pPr>
              <w:rPr>
                <w:rFonts w:asciiTheme="minorHAnsi" w:hAnsiTheme="minorHAnsi"/>
                <w:sz w:val="22"/>
                <w:szCs w:val="22"/>
              </w:rPr>
            </w:pPr>
            <w:r w:rsidRPr="004D764D">
              <w:rPr>
                <w:rFonts w:asciiTheme="minorHAnsi" w:hAnsiTheme="minorHAnsi"/>
                <w:sz w:val="22"/>
                <w:szCs w:val="22"/>
              </w:rPr>
              <w:t>Lots</w:t>
            </w:r>
            <w:r w:rsidR="00404EA7" w:rsidRPr="004D764D">
              <w:rPr>
                <w:rFonts w:asciiTheme="minorHAnsi" w:hAnsiTheme="minorHAnsi"/>
                <w:sz w:val="22"/>
                <w:szCs w:val="22"/>
              </w:rPr>
              <w:t xml:space="preserve"> of discussion on this question, and we do have answer from Deloitte: they </w:t>
            </w:r>
            <w:r w:rsidR="00404EA7" w:rsidRPr="004D764D">
              <w:rPr>
                <w:rFonts w:asciiTheme="minorHAnsi" w:hAnsiTheme="minorHAnsi"/>
                <w:bCs/>
                <w:sz w:val="22"/>
                <w:szCs w:val="22"/>
              </w:rPr>
              <w:t>are </w:t>
            </w:r>
            <w:r w:rsidR="00404EA7" w:rsidRPr="004D764D">
              <w:rPr>
                <w:rFonts w:asciiTheme="minorHAnsi" w:hAnsiTheme="minorHAnsi"/>
                <w:sz w:val="22"/>
                <w:szCs w:val="22"/>
              </w:rPr>
              <w:t>accepting geographical indications from the EU (and elsewhere) and </w:t>
            </w:r>
            <w:r w:rsidR="00404EA7" w:rsidRPr="004D764D">
              <w:rPr>
                <w:rFonts w:asciiTheme="minorHAnsi" w:hAnsiTheme="minorHAnsi"/>
                <w:bCs/>
                <w:sz w:val="22"/>
                <w:szCs w:val="22"/>
              </w:rPr>
              <w:t>are not </w:t>
            </w:r>
            <w:r w:rsidR="00404EA7" w:rsidRPr="004D764D">
              <w:rPr>
                <w:rFonts w:asciiTheme="minorHAnsi" w:hAnsiTheme="minorHAnsi"/>
                <w:sz w:val="22"/>
                <w:szCs w:val="22"/>
              </w:rPr>
              <w:t>checking to see if there is an associated trademark registration for them.</w:t>
            </w:r>
            <w:r w:rsidR="00404EA7" w:rsidRPr="004D764D">
              <w:rPr>
                <w:rFonts w:asciiTheme="minorHAnsi" w:hAnsiTheme="minorHAnsi"/>
                <w:sz w:val="22"/>
                <w:szCs w:val="22"/>
                <w:u w:val="single"/>
              </w:rPr>
              <w:t> </w:t>
            </w:r>
            <w:r w:rsidR="00404EA7" w:rsidRPr="004D764D">
              <w:rPr>
                <w:rFonts w:asciiTheme="minorHAnsi" w:hAnsiTheme="minorHAnsi"/>
                <w:sz w:val="22"/>
                <w:szCs w:val="22"/>
              </w:rPr>
              <w:t xml:space="preserve">This gathered from the USPTO, who made the effort to join us through the session and participate from the standing microphone. This is an area in which the Applicant Guidebook rules do not follow the rules passed by the GNSO Council and the Board. </w:t>
            </w:r>
          </w:p>
          <w:p w14:paraId="7CC4911C" w14:textId="77777777" w:rsidR="00D12E64" w:rsidRPr="004D764D" w:rsidRDefault="00D12E64">
            <w:pPr>
              <w:rPr>
                <w:rFonts w:asciiTheme="minorHAnsi" w:hAnsiTheme="minorHAnsi"/>
                <w:sz w:val="22"/>
                <w:szCs w:val="22"/>
              </w:rPr>
            </w:pPr>
          </w:p>
          <w:p w14:paraId="3FC6AC7F" w14:textId="75570111" w:rsidR="00DB6507" w:rsidRPr="004D764D" w:rsidRDefault="00404EA7">
            <w:pPr>
              <w:rPr>
                <w:rFonts w:asciiTheme="minorHAnsi" w:hAnsiTheme="minorHAnsi"/>
                <w:sz w:val="22"/>
                <w:szCs w:val="22"/>
              </w:rPr>
            </w:pPr>
            <w:r w:rsidRPr="004D764D">
              <w:rPr>
                <w:rFonts w:asciiTheme="minorHAnsi" w:hAnsiTheme="minorHAnsi"/>
                <w:sz w:val="22"/>
                <w:szCs w:val="22"/>
                <w:u w:val="single"/>
              </w:rPr>
              <w:t>Recommend</w:t>
            </w:r>
            <w:r w:rsidR="00CA6A8A" w:rsidRPr="004D764D">
              <w:rPr>
                <w:rFonts w:asciiTheme="minorHAnsi" w:hAnsiTheme="minorHAnsi"/>
                <w:sz w:val="22"/>
                <w:szCs w:val="22"/>
              </w:rPr>
              <w:t xml:space="preserve">: </w:t>
            </w:r>
            <w:r w:rsidRPr="004D764D">
              <w:rPr>
                <w:rFonts w:asciiTheme="minorHAnsi" w:hAnsiTheme="minorHAnsi"/>
                <w:sz w:val="22"/>
                <w:szCs w:val="22"/>
              </w:rPr>
              <w:t xml:space="preserve">more </w:t>
            </w:r>
            <w:r w:rsidR="00CA6A8A" w:rsidRPr="004D764D">
              <w:rPr>
                <w:rFonts w:asciiTheme="minorHAnsi" w:hAnsiTheme="minorHAnsi"/>
                <w:sz w:val="22"/>
                <w:szCs w:val="22"/>
              </w:rPr>
              <w:t>discussion</w:t>
            </w:r>
          </w:p>
          <w:p w14:paraId="1E1EB280" w14:textId="17C09862" w:rsidR="00404EA7" w:rsidRPr="004D764D" w:rsidRDefault="00404EA7">
            <w:pPr>
              <w:rPr>
                <w:rFonts w:asciiTheme="minorHAnsi" w:hAnsiTheme="minorHAnsi"/>
                <w:sz w:val="22"/>
                <w:szCs w:val="22"/>
              </w:rPr>
            </w:pPr>
          </w:p>
        </w:tc>
        <w:tc>
          <w:tcPr>
            <w:tcW w:w="0" w:type="auto"/>
          </w:tcPr>
          <w:p w14:paraId="5A407820" w14:textId="77777777" w:rsidR="00D12E64" w:rsidRPr="004D764D" w:rsidRDefault="00404EA7">
            <w:pPr>
              <w:rPr>
                <w:rFonts w:asciiTheme="minorHAnsi" w:hAnsiTheme="minorHAnsi"/>
                <w:sz w:val="22"/>
                <w:szCs w:val="22"/>
              </w:rPr>
            </w:pPr>
            <w:r w:rsidRPr="004D764D">
              <w:rPr>
                <w:rFonts w:asciiTheme="minorHAnsi" w:hAnsiTheme="minorHAnsi"/>
                <w:sz w:val="22"/>
                <w:szCs w:val="22"/>
              </w:rPr>
              <w:t xml:space="preserve">GNSO recommendations and AGB text allow for 3 different categories/types of submissions (reg’d TM, court-validated mark, statute/treaty-protected mark). Deloitte’s TMCH Guidelines follow this categorization and assume there is no need for a mark protected by statute/treaty to also be a reg’d TM. </w:t>
            </w:r>
          </w:p>
          <w:p w14:paraId="49159EA1" w14:textId="77777777" w:rsidR="00D12E64" w:rsidRPr="004D764D" w:rsidRDefault="00D12E64">
            <w:pPr>
              <w:rPr>
                <w:rFonts w:asciiTheme="minorHAnsi" w:hAnsiTheme="minorHAnsi"/>
                <w:sz w:val="22"/>
                <w:szCs w:val="22"/>
              </w:rPr>
            </w:pPr>
          </w:p>
          <w:p w14:paraId="1AB28CCB" w14:textId="0E0BB78B" w:rsidR="00DB6507" w:rsidRPr="004D764D" w:rsidRDefault="00404EA7">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xml:space="preserve">: </w:t>
            </w:r>
            <w:r w:rsidR="00D12E64" w:rsidRPr="004D764D">
              <w:rPr>
                <w:rFonts w:asciiTheme="minorHAnsi" w:hAnsiTheme="minorHAnsi"/>
                <w:bCs/>
                <w:sz w:val="22"/>
                <w:szCs w:val="22"/>
              </w:rPr>
              <w:t>Did the GNSO’s recommendations intend that “marks protected by statute or treaty” ALSO must be a registered trademark in at least one jurisdiction?</w:t>
            </w:r>
            <w:r w:rsidRPr="004D764D">
              <w:rPr>
                <w:rFonts w:asciiTheme="minorHAnsi" w:hAnsiTheme="minorHAnsi"/>
                <w:sz w:val="22"/>
                <w:szCs w:val="22"/>
              </w:rPr>
              <w:t xml:space="preserve"> </w:t>
            </w:r>
          </w:p>
        </w:tc>
        <w:tc>
          <w:tcPr>
            <w:tcW w:w="0" w:type="auto"/>
          </w:tcPr>
          <w:p w14:paraId="560EDDF9" w14:textId="77777777" w:rsidR="00841AD1" w:rsidRPr="004D764D" w:rsidRDefault="00841AD1" w:rsidP="00841AD1">
            <w:pPr>
              <w:pStyle w:val="ListParagraph"/>
              <w:numPr>
                <w:ilvl w:val="0"/>
                <w:numId w:val="13"/>
              </w:numPr>
              <w:rPr>
                <w:rFonts w:eastAsia="Times New Roman"/>
                <w:sz w:val="22"/>
                <w:szCs w:val="22"/>
                <w:lang w:eastAsia="en-US"/>
              </w:rPr>
            </w:pPr>
            <w:r w:rsidRPr="004D764D">
              <w:rPr>
                <w:color w:val="000000"/>
                <w:sz w:val="22"/>
                <w:szCs w:val="22"/>
                <w:shd w:val="clear" w:color="auto" w:fill="FFFFFF"/>
                <w:lang w:eastAsia="en-US"/>
              </w:rPr>
              <w:t>GI entries in TMCH are included when/if they are marks protected by statutes/treaties, regardless of whether or not they are registered trademarks</w:t>
            </w:r>
          </w:p>
          <w:p w14:paraId="719EB059" w14:textId="77777777" w:rsidR="00DB6507" w:rsidRPr="004D764D" w:rsidRDefault="00841AD1" w:rsidP="00841AD1">
            <w:pPr>
              <w:pStyle w:val="ListParagraph"/>
              <w:numPr>
                <w:ilvl w:val="0"/>
                <w:numId w:val="13"/>
              </w:numPr>
              <w:rPr>
                <w:sz w:val="22"/>
                <w:szCs w:val="22"/>
              </w:rPr>
            </w:pPr>
            <w:r w:rsidRPr="004D764D">
              <w:rPr>
                <w:sz w:val="22"/>
                <w:szCs w:val="22"/>
              </w:rPr>
              <w:t>Consider whether or not trademarks protected by statute/treaty should remain in the TMCH, if they are not registered trademarks</w:t>
            </w:r>
          </w:p>
          <w:p w14:paraId="447F4B78" w14:textId="77777777" w:rsidR="00841AD1" w:rsidRPr="004D764D" w:rsidRDefault="00841AD1" w:rsidP="00841AD1">
            <w:pPr>
              <w:pStyle w:val="ListParagraph"/>
              <w:numPr>
                <w:ilvl w:val="0"/>
                <w:numId w:val="13"/>
              </w:numPr>
              <w:rPr>
                <w:sz w:val="22"/>
                <w:szCs w:val="22"/>
              </w:rPr>
            </w:pPr>
            <w:r w:rsidRPr="004D764D">
              <w:rPr>
                <w:sz w:val="22"/>
                <w:szCs w:val="22"/>
              </w:rPr>
              <w:t>Design marks and trademarks protected by statute/treaty should be considered separately</w:t>
            </w:r>
          </w:p>
          <w:p w14:paraId="28B9E419" w14:textId="77777777" w:rsidR="00841AD1" w:rsidRPr="004D764D" w:rsidRDefault="00841AD1" w:rsidP="00841AD1">
            <w:pPr>
              <w:pStyle w:val="ListParagraph"/>
              <w:numPr>
                <w:ilvl w:val="0"/>
                <w:numId w:val="13"/>
              </w:numPr>
              <w:rPr>
                <w:sz w:val="22"/>
                <w:szCs w:val="22"/>
              </w:rPr>
            </w:pPr>
            <w:r w:rsidRPr="004D764D">
              <w:rPr>
                <w:sz w:val="22"/>
                <w:szCs w:val="22"/>
              </w:rPr>
              <w:t>Clarity on why marks protected by statute/treaty (how are those defined) are being included in the TMCH, despite recommendations from the GNSO and ICANN Board regarding limiting inclusion to registered trademarks</w:t>
            </w:r>
          </w:p>
          <w:p w14:paraId="4ED00A18" w14:textId="3EF5AD57" w:rsidR="00841AD1" w:rsidRPr="004D764D" w:rsidRDefault="001A1C39" w:rsidP="004D764D">
            <w:pPr>
              <w:pStyle w:val="ListParagraph"/>
              <w:numPr>
                <w:ilvl w:val="0"/>
                <w:numId w:val="13"/>
              </w:numPr>
              <w:rPr>
                <w:sz w:val="22"/>
                <w:szCs w:val="22"/>
              </w:rPr>
            </w:pPr>
            <w:r w:rsidRPr="004D764D">
              <w:rPr>
                <w:sz w:val="22"/>
                <w:szCs w:val="22"/>
              </w:rPr>
              <w:t>ACTION ITEM: WG will discuss</w:t>
            </w:r>
            <w:r w:rsidR="00F427ED" w:rsidRPr="004D764D">
              <w:rPr>
                <w:sz w:val="22"/>
                <w:szCs w:val="22"/>
              </w:rPr>
              <w:t xml:space="preserve"> Q8</w:t>
            </w:r>
            <w:r w:rsidR="004D764D" w:rsidRPr="004D764D">
              <w:rPr>
                <w:sz w:val="22"/>
                <w:szCs w:val="22"/>
              </w:rPr>
              <w:t xml:space="preserve"> substantively</w:t>
            </w:r>
            <w:r w:rsidR="00F427ED" w:rsidRPr="004D764D">
              <w:rPr>
                <w:sz w:val="22"/>
                <w:szCs w:val="22"/>
              </w:rPr>
              <w:t xml:space="preserve"> </w:t>
            </w:r>
            <w:r w:rsidR="004D764D" w:rsidRPr="004D764D">
              <w:rPr>
                <w:sz w:val="22"/>
                <w:szCs w:val="22"/>
              </w:rPr>
              <w:t>with Q7</w:t>
            </w:r>
          </w:p>
        </w:tc>
      </w:tr>
      <w:tr w:rsidR="008842FE" w:rsidRPr="004D764D" w14:paraId="54E116C5" w14:textId="77777777" w:rsidTr="00404EA7">
        <w:tc>
          <w:tcPr>
            <w:tcW w:w="0" w:type="auto"/>
          </w:tcPr>
          <w:p w14:paraId="51B9FCF6" w14:textId="77777777" w:rsidR="00DB6507" w:rsidRPr="004D764D" w:rsidRDefault="00DB6507" w:rsidP="00DB6507">
            <w:pPr>
              <w:pStyle w:val="ListParagraph"/>
              <w:numPr>
                <w:ilvl w:val="0"/>
                <w:numId w:val="1"/>
              </w:numPr>
              <w:rPr>
                <w:sz w:val="22"/>
                <w:szCs w:val="22"/>
              </w:rPr>
            </w:pPr>
            <w:r w:rsidRPr="004D764D">
              <w:rPr>
                <w:sz w:val="22"/>
                <w:szCs w:val="22"/>
              </w:rPr>
              <w:t>Should the TM+50</w:t>
            </w:r>
            <w:r w:rsidRPr="004D764D">
              <w:rPr>
                <w:sz w:val="22"/>
                <w:szCs w:val="22"/>
                <w:vertAlign w:val="superscript"/>
              </w:rPr>
              <w:footnoteReference w:id="1"/>
            </w:r>
            <w:r w:rsidRPr="004D764D">
              <w:rPr>
                <w:sz w:val="22"/>
                <w:szCs w:val="22"/>
              </w:rPr>
              <w:t xml:space="preserve"> be retained as is, amended or removed?</w:t>
            </w:r>
          </w:p>
          <w:p w14:paraId="672A4BE5" w14:textId="77777777" w:rsidR="00DB6507" w:rsidRPr="004D764D" w:rsidRDefault="00DB6507" w:rsidP="00FA34F6">
            <w:pPr>
              <w:rPr>
                <w:rFonts w:asciiTheme="minorHAnsi" w:hAnsiTheme="minorHAnsi"/>
                <w:sz w:val="22"/>
                <w:szCs w:val="22"/>
              </w:rPr>
            </w:pPr>
          </w:p>
        </w:tc>
        <w:tc>
          <w:tcPr>
            <w:tcW w:w="0" w:type="auto"/>
          </w:tcPr>
          <w:p w14:paraId="4700E050" w14:textId="77777777" w:rsidR="00CA6A8A" w:rsidRPr="004D764D" w:rsidRDefault="00D12E64" w:rsidP="00D12E64">
            <w:pPr>
              <w:rPr>
                <w:rFonts w:asciiTheme="minorHAnsi" w:hAnsiTheme="minorHAnsi"/>
                <w:sz w:val="22"/>
                <w:szCs w:val="22"/>
              </w:rPr>
            </w:pPr>
            <w:r w:rsidRPr="004D764D">
              <w:rPr>
                <w:rFonts w:asciiTheme="minorHAnsi" w:hAnsiTheme="minorHAnsi"/>
                <w:sz w:val="22"/>
                <w:szCs w:val="22"/>
              </w:rPr>
              <w:t xml:space="preserve">This one is </w:t>
            </w:r>
            <w:r w:rsidR="00CA6A8A" w:rsidRPr="004D764D">
              <w:rPr>
                <w:rFonts w:asciiTheme="minorHAnsi" w:hAnsiTheme="minorHAnsi"/>
                <w:sz w:val="22"/>
                <w:szCs w:val="22"/>
              </w:rPr>
              <w:t>not</w:t>
            </w:r>
            <w:r w:rsidRPr="004D764D">
              <w:rPr>
                <w:rFonts w:asciiTheme="minorHAnsi" w:hAnsiTheme="minorHAnsi"/>
                <w:sz w:val="22"/>
                <w:szCs w:val="22"/>
              </w:rPr>
              <w:t xml:space="preserve"> garnering discussion. </w:t>
            </w:r>
          </w:p>
          <w:p w14:paraId="295C3E55" w14:textId="77777777" w:rsidR="00CA6A8A" w:rsidRPr="004D764D" w:rsidRDefault="00CA6A8A" w:rsidP="00D12E64">
            <w:pPr>
              <w:rPr>
                <w:rFonts w:asciiTheme="minorHAnsi" w:hAnsiTheme="minorHAnsi"/>
                <w:sz w:val="22"/>
                <w:szCs w:val="22"/>
                <w:u w:val="single"/>
              </w:rPr>
            </w:pPr>
          </w:p>
          <w:p w14:paraId="7B7C66C6" w14:textId="07AA3FBF" w:rsidR="00D12E64" w:rsidRPr="004D764D" w:rsidRDefault="00CA6A8A" w:rsidP="00D12E64">
            <w:pPr>
              <w:rPr>
                <w:rFonts w:asciiTheme="minorHAnsi" w:hAnsiTheme="minorHAnsi"/>
                <w:sz w:val="22"/>
                <w:szCs w:val="22"/>
              </w:rPr>
            </w:pPr>
            <w:r w:rsidRPr="004D764D">
              <w:rPr>
                <w:rFonts w:asciiTheme="minorHAnsi" w:hAnsiTheme="minorHAnsi"/>
                <w:sz w:val="22"/>
                <w:szCs w:val="22"/>
                <w:u w:val="single"/>
              </w:rPr>
              <w:t>Recommend</w:t>
            </w:r>
            <w:r w:rsidRPr="004D764D">
              <w:rPr>
                <w:rFonts w:asciiTheme="minorHAnsi" w:hAnsiTheme="minorHAnsi"/>
                <w:sz w:val="22"/>
                <w:szCs w:val="22"/>
              </w:rPr>
              <w:t xml:space="preserve">: </w:t>
            </w:r>
            <w:r w:rsidR="00D12E64" w:rsidRPr="004D764D">
              <w:rPr>
                <w:rFonts w:asciiTheme="minorHAnsi" w:hAnsiTheme="minorHAnsi"/>
                <w:sz w:val="22"/>
                <w:szCs w:val="22"/>
              </w:rPr>
              <w:t>close this question</w:t>
            </w:r>
            <w:r w:rsidRPr="004D764D">
              <w:rPr>
                <w:rFonts w:asciiTheme="minorHAnsi" w:hAnsiTheme="minorHAnsi"/>
                <w:sz w:val="22"/>
                <w:szCs w:val="22"/>
              </w:rPr>
              <w:t xml:space="preserve"> unless something new is raised.</w:t>
            </w:r>
          </w:p>
          <w:p w14:paraId="5CAE8AEC" w14:textId="77777777" w:rsidR="00DB6507" w:rsidRPr="004D764D" w:rsidRDefault="00DB6507">
            <w:pPr>
              <w:rPr>
                <w:rFonts w:asciiTheme="minorHAnsi" w:hAnsiTheme="minorHAnsi"/>
                <w:sz w:val="22"/>
                <w:szCs w:val="22"/>
              </w:rPr>
            </w:pPr>
          </w:p>
        </w:tc>
        <w:tc>
          <w:tcPr>
            <w:tcW w:w="0" w:type="auto"/>
          </w:tcPr>
          <w:p w14:paraId="3897FC72" w14:textId="63F96DE5" w:rsidR="008842FE" w:rsidRPr="004D764D" w:rsidRDefault="008842FE" w:rsidP="008842FE">
            <w:pPr>
              <w:rPr>
                <w:rFonts w:asciiTheme="minorHAnsi" w:hAnsiTheme="minorHAnsi"/>
                <w:sz w:val="22"/>
                <w:szCs w:val="22"/>
              </w:rPr>
            </w:pPr>
            <w:r w:rsidRPr="004D764D">
              <w:rPr>
                <w:rFonts w:asciiTheme="minorHAnsi" w:hAnsiTheme="minorHAnsi"/>
                <w:sz w:val="22"/>
                <w:szCs w:val="22"/>
              </w:rPr>
              <w:t>Deloitte data demonstrated extent of use of this option to date and does not seem to indicate a demand for expansion; opening up the scope of registrations to an unlimited number of variations could decrease the accuracy and value of the TMCH</w:t>
            </w:r>
          </w:p>
          <w:p w14:paraId="2F146DCE" w14:textId="77777777" w:rsidR="00DB6507" w:rsidRPr="004D764D" w:rsidRDefault="00DB6507">
            <w:pPr>
              <w:rPr>
                <w:rFonts w:asciiTheme="minorHAnsi" w:hAnsiTheme="minorHAnsi"/>
                <w:sz w:val="22"/>
                <w:szCs w:val="22"/>
              </w:rPr>
            </w:pPr>
          </w:p>
        </w:tc>
        <w:tc>
          <w:tcPr>
            <w:tcW w:w="0" w:type="auto"/>
          </w:tcPr>
          <w:p w14:paraId="2634FD5B" w14:textId="608D4F86" w:rsidR="00F427ED" w:rsidRPr="004D764D" w:rsidRDefault="00F427ED" w:rsidP="00F427ED">
            <w:pPr>
              <w:pStyle w:val="ListParagraph"/>
              <w:numPr>
                <w:ilvl w:val="0"/>
                <w:numId w:val="15"/>
              </w:numPr>
              <w:rPr>
                <w:sz w:val="22"/>
                <w:szCs w:val="22"/>
              </w:rPr>
            </w:pPr>
            <w:r w:rsidRPr="004D764D">
              <w:rPr>
                <w:sz w:val="22"/>
                <w:szCs w:val="22"/>
              </w:rPr>
              <w:t>No substantive remarks on why TM+50 should be limited or expanded</w:t>
            </w:r>
          </w:p>
          <w:p w14:paraId="2830B500" w14:textId="13B5B7ED" w:rsidR="00F427ED" w:rsidRPr="004D764D" w:rsidRDefault="00F427ED" w:rsidP="00F427ED">
            <w:pPr>
              <w:pStyle w:val="ListParagraph"/>
              <w:numPr>
                <w:ilvl w:val="0"/>
                <w:numId w:val="15"/>
              </w:numPr>
              <w:rPr>
                <w:sz w:val="22"/>
                <w:szCs w:val="22"/>
              </w:rPr>
            </w:pPr>
            <w:r w:rsidRPr="004D764D">
              <w:rPr>
                <w:sz w:val="22"/>
                <w:szCs w:val="22"/>
              </w:rPr>
              <w:t>No indication that TM+50 is being abused</w:t>
            </w:r>
          </w:p>
          <w:p w14:paraId="3DC54B28" w14:textId="78FD3DB3" w:rsidR="00F427ED" w:rsidRPr="004D764D" w:rsidRDefault="00F427ED" w:rsidP="00F427ED">
            <w:pPr>
              <w:pStyle w:val="ListParagraph"/>
              <w:numPr>
                <w:ilvl w:val="0"/>
                <w:numId w:val="15"/>
              </w:numPr>
              <w:rPr>
                <w:sz w:val="22"/>
                <w:szCs w:val="22"/>
              </w:rPr>
            </w:pPr>
            <w:r w:rsidRPr="004D764D">
              <w:rPr>
                <w:sz w:val="22"/>
                <w:szCs w:val="22"/>
              </w:rPr>
              <w:t>ACTION ITEM: Proceed as suggested by WG leadership team – Close this question unless something new is raised</w:t>
            </w:r>
          </w:p>
        </w:tc>
      </w:tr>
      <w:tr w:rsidR="008842FE" w:rsidRPr="004D764D" w14:paraId="5A3E0B3E" w14:textId="77777777" w:rsidTr="00404EA7">
        <w:tc>
          <w:tcPr>
            <w:tcW w:w="0" w:type="auto"/>
          </w:tcPr>
          <w:p w14:paraId="5A336A38" w14:textId="77777777" w:rsidR="00DB6507" w:rsidRPr="004D764D" w:rsidRDefault="00DB6507" w:rsidP="00DB6507">
            <w:pPr>
              <w:pStyle w:val="ListParagraph"/>
              <w:numPr>
                <w:ilvl w:val="0"/>
                <w:numId w:val="1"/>
              </w:numPr>
              <w:rPr>
                <w:sz w:val="22"/>
                <w:szCs w:val="22"/>
              </w:rPr>
            </w:pPr>
            <w:r w:rsidRPr="004D764D">
              <w:rPr>
                <w:sz w:val="22"/>
                <w:szCs w:val="22"/>
              </w:rPr>
              <w:t>Should the TMCH matching rules be retained, modified, or expanded, e.g. to include plurals, ‘marks contained’ or ‘mark+keyword’, and/or common typos of a mark?</w:t>
            </w:r>
          </w:p>
          <w:p w14:paraId="017EBA58" w14:textId="77777777" w:rsidR="00DB6507" w:rsidRPr="004D764D" w:rsidRDefault="00DB6507" w:rsidP="00FA34F6">
            <w:pPr>
              <w:rPr>
                <w:rFonts w:asciiTheme="minorHAnsi" w:hAnsiTheme="minorHAnsi"/>
                <w:sz w:val="22"/>
                <w:szCs w:val="22"/>
              </w:rPr>
            </w:pPr>
          </w:p>
        </w:tc>
        <w:tc>
          <w:tcPr>
            <w:tcW w:w="0" w:type="auto"/>
          </w:tcPr>
          <w:p w14:paraId="7B2760D6" w14:textId="10F6BE0B" w:rsidR="00D12E64" w:rsidRPr="004D764D" w:rsidRDefault="00D12E64" w:rsidP="00D12E64">
            <w:pPr>
              <w:rPr>
                <w:rFonts w:asciiTheme="minorHAnsi" w:hAnsiTheme="minorHAnsi"/>
                <w:sz w:val="22"/>
                <w:szCs w:val="22"/>
              </w:rPr>
            </w:pPr>
            <w:r w:rsidRPr="004D764D">
              <w:rPr>
                <w:rFonts w:asciiTheme="minorHAnsi" w:hAnsiTheme="minorHAnsi"/>
                <w:sz w:val="22"/>
                <w:szCs w:val="22"/>
              </w:rPr>
              <w:t>T</w:t>
            </w:r>
            <w:r w:rsidR="00CA6A8A" w:rsidRPr="004D764D">
              <w:rPr>
                <w:rFonts w:asciiTheme="minorHAnsi" w:hAnsiTheme="minorHAnsi"/>
                <w:sz w:val="22"/>
                <w:szCs w:val="22"/>
              </w:rPr>
              <w:t>his one did</w:t>
            </w:r>
            <w:r w:rsidRPr="004D764D">
              <w:rPr>
                <w:rFonts w:asciiTheme="minorHAnsi" w:hAnsiTheme="minorHAnsi"/>
                <w:sz w:val="22"/>
                <w:szCs w:val="22"/>
              </w:rPr>
              <w:t xml:space="preserve"> get discussion, on both sides, in Copenhagen and previously. It is also one that Analysis Group spent a good amount of time evaluating at the request of the GAC and it has a good discussion in the revised report.  </w:t>
            </w:r>
          </w:p>
          <w:p w14:paraId="4EDF7924" w14:textId="77777777" w:rsidR="00D12E64" w:rsidRPr="004D764D" w:rsidRDefault="00D12E64" w:rsidP="00D12E64">
            <w:pPr>
              <w:rPr>
                <w:rFonts w:asciiTheme="minorHAnsi" w:hAnsiTheme="minorHAnsi"/>
                <w:sz w:val="22"/>
                <w:szCs w:val="22"/>
              </w:rPr>
            </w:pPr>
          </w:p>
          <w:p w14:paraId="5333C8B2" w14:textId="52237256" w:rsidR="00D12E64" w:rsidRPr="004D764D" w:rsidRDefault="00D12E64" w:rsidP="00D12E64">
            <w:pPr>
              <w:rPr>
                <w:rFonts w:asciiTheme="minorHAnsi" w:hAnsiTheme="minorHAnsi"/>
                <w:sz w:val="22"/>
                <w:szCs w:val="22"/>
              </w:rPr>
            </w:pPr>
            <w:r w:rsidRPr="004D764D">
              <w:rPr>
                <w:rFonts w:asciiTheme="minorHAnsi" w:hAnsiTheme="minorHAnsi"/>
                <w:sz w:val="22"/>
                <w:szCs w:val="22"/>
                <w:u w:val="single"/>
              </w:rPr>
              <w:t>Recommend</w:t>
            </w:r>
            <w:r w:rsidRPr="004D764D">
              <w:rPr>
                <w:rFonts w:asciiTheme="minorHAnsi" w:hAnsiTheme="minorHAnsi"/>
                <w:sz w:val="22"/>
                <w:szCs w:val="22"/>
              </w:rPr>
              <w:t xml:space="preserve">: </w:t>
            </w:r>
            <w:r w:rsidR="00CA6A8A" w:rsidRPr="004D764D">
              <w:rPr>
                <w:rFonts w:asciiTheme="minorHAnsi" w:hAnsiTheme="minorHAnsi"/>
                <w:sz w:val="22"/>
                <w:szCs w:val="22"/>
              </w:rPr>
              <w:t>Hold</w:t>
            </w:r>
            <w:r w:rsidRPr="004D764D">
              <w:rPr>
                <w:rFonts w:asciiTheme="minorHAnsi" w:hAnsiTheme="minorHAnsi"/>
                <w:sz w:val="22"/>
                <w:szCs w:val="22"/>
              </w:rPr>
              <w:t xml:space="preserve"> until we bring the Analysis Group back to present -</w:t>
            </w:r>
            <w:r w:rsidR="00CA6A8A" w:rsidRPr="004D764D">
              <w:rPr>
                <w:rFonts w:asciiTheme="minorHAnsi" w:hAnsiTheme="minorHAnsi"/>
                <w:sz w:val="22"/>
                <w:szCs w:val="22"/>
              </w:rPr>
              <w:t>- and then finalize discussion.</w:t>
            </w:r>
            <w:r w:rsidRPr="004D764D">
              <w:rPr>
                <w:rFonts w:asciiTheme="minorHAnsi" w:hAnsiTheme="minorHAnsi"/>
                <w:sz w:val="22"/>
                <w:szCs w:val="22"/>
              </w:rPr>
              <w:t> </w:t>
            </w:r>
          </w:p>
          <w:p w14:paraId="75BF66D5" w14:textId="77777777" w:rsidR="00DB6507" w:rsidRPr="004D764D" w:rsidRDefault="00DB6507">
            <w:pPr>
              <w:rPr>
                <w:rFonts w:asciiTheme="minorHAnsi" w:hAnsiTheme="minorHAnsi"/>
                <w:sz w:val="22"/>
                <w:szCs w:val="22"/>
              </w:rPr>
            </w:pPr>
          </w:p>
        </w:tc>
        <w:tc>
          <w:tcPr>
            <w:tcW w:w="0" w:type="auto"/>
          </w:tcPr>
          <w:p w14:paraId="409CBAEA" w14:textId="50190A2C" w:rsidR="008842FE" w:rsidRPr="004D764D" w:rsidRDefault="008842FE" w:rsidP="008842FE">
            <w:pPr>
              <w:rPr>
                <w:rFonts w:asciiTheme="minorHAnsi" w:hAnsiTheme="minorHAnsi"/>
                <w:sz w:val="22"/>
                <w:szCs w:val="22"/>
              </w:rPr>
            </w:pPr>
            <w:r w:rsidRPr="004D764D">
              <w:rPr>
                <w:rFonts w:asciiTheme="minorHAnsi" w:hAnsiTheme="minorHAnsi"/>
                <w:sz w:val="22"/>
                <w:szCs w:val="22"/>
              </w:rPr>
              <w:t>Question raised as to whether trademarks are being adequately protection by only being entitled to safeguard exact matches; further question on how to develop rules and fee structure for protection of additional matches - e.g. “trademarks plus generic terms” (example apple plus computer), or “trademarks plus trademarks” (example: apple plus ipad)?</w:t>
            </w:r>
          </w:p>
          <w:p w14:paraId="3F61B1DC" w14:textId="0C34BE75" w:rsidR="008842FE" w:rsidRPr="004D764D" w:rsidRDefault="008842FE" w:rsidP="008842FE">
            <w:pPr>
              <w:rPr>
                <w:rFonts w:asciiTheme="minorHAnsi" w:hAnsiTheme="minorHAnsi"/>
                <w:sz w:val="22"/>
                <w:szCs w:val="22"/>
              </w:rPr>
            </w:pPr>
          </w:p>
          <w:p w14:paraId="72F9E825" w14:textId="77777777" w:rsidR="008842FE" w:rsidRPr="004D764D" w:rsidRDefault="008842FE" w:rsidP="008842FE">
            <w:pPr>
              <w:rPr>
                <w:rFonts w:asciiTheme="minorHAnsi" w:hAnsiTheme="minorHAnsi"/>
                <w:sz w:val="22"/>
                <w:szCs w:val="22"/>
              </w:rPr>
            </w:pPr>
          </w:p>
          <w:p w14:paraId="784BBA3D" w14:textId="77777777" w:rsidR="008842FE" w:rsidRPr="004D764D" w:rsidRDefault="008842FE" w:rsidP="008842FE">
            <w:pPr>
              <w:rPr>
                <w:rFonts w:asciiTheme="minorHAnsi" w:hAnsiTheme="minorHAnsi"/>
                <w:sz w:val="22"/>
                <w:szCs w:val="22"/>
              </w:rPr>
            </w:pPr>
          </w:p>
          <w:p w14:paraId="11A8F39F" w14:textId="77777777" w:rsidR="008842FE" w:rsidRPr="004D764D" w:rsidRDefault="008842FE" w:rsidP="008842FE">
            <w:pPr>
              <w:rPr>
                <w:rFonts w:asciiTheme="minorHAnsi" w:hAnsiTheme="minorHAnsi"/>
                <w:sz w:val="22"/>
                <w:szCs w:val="22"/>
              </w:rPr>
            </w:pPr>
          </w:p>
          <w:p w14:paraId="4AD8E14E" w14:textId="77777777" w:rsidR="00DB6507" w:rsidRPr="004D764D" w:rsidRDefault="00DB6507">
            <w:pPr>
              <w:rPr>
                <w:rFonts w:asciiTheme="minorHAnsi" w:hAnsiTheme="minorHAnsi"/>
                <w:sz w:val="22"/>
                <w:szCs w:val="22"/>
              </w:rPr>
            </w:pPr>
          </w:p>
        </w:tc>
        <w:tc>
          <w:tcPr>
            <w:tcW w:w="0" w:type="auto"/>
          </w:tcPr>
          <w:p w14:paraId="1B136F10" w14:textId="77777777" w:rsidR="00F427ED" w:rsidRPr="004D764D" w:rsidRDefault="00F427ED" w:rsidP="00F427ED">
            <w:pPr>
              <w:rPr>
                <w:rFonts w:asciiTheme="minorHAnsi" w:hAnsiTheme="minorHAnsi"/>
                <w:sz w:val="22"/>
                <w:szCs w:val="22"/>
                <w:lang w:eastAsia="en-US"/>
              </w:rPr>
            </w:pPr>
            <w:r w:rsidRPr="004D764D">
              <w:rPr>
                <w:rFonts w:asciiTheme="minorHAnsi" w:hAnsiTheme="minorHAnsi"/>
                <w:color w:val="000000"/>
                <w:sz w:val="22"/>
                <w:szCs w:val="22"/>
                <w:shd w:val="clear" w:color="auto" w:fill="FFFFFF"/>
                <w:lang w:eastAsia="en-US"/>
              </w:rPr>
              <w:t>Defer discussion on this question until The Analysis Group has had an opportunity to present its findings on this question to the WG</w:t>
            </w:r>
          </w:p>
          <w:p w14:paraId="7D485050" w14:textId="77777777" w:rsidR="00DB6507" w:rsidRPr="004D764D" w:rsidRDefault="00DB6507">
            <w:pPr>
              <w:rPr>
                <w:rFonts w:asciiTheme="minorHAnsi" w:hAnsiTheme="minorHAnsi"/>
                <w:sz w:val="22"/>
                <w:szCs w:val="22"/>
              </w:rPr>
            </w:pPr>
          </w:p>
        </w:tc>
      </w:tr>
      <w:tr w:rsidR="008842FE" w:rsidRPr="004D764D" w14:paraId="3D23E2EA" w14:textId="77777777" w:rsidTr="00404EA7">
        <w:tc>
          <w:tcPr>
            <w:tcW w:w="0" w:type="auto"/>
          </w:tcPr>
          <w:p w14:paraId="36053BC7" w14:textId="24C4F02B" w:rsidR="008F5731" w:rsidRPr="004D764D" w:rsidRDefault="008F5731" w:rsidP="00DB6507">
            <w:pPr>
              <w:pStyle w:val="ListParagraph"/>
              <w:numPr>
                <w:ilvl w:val="0"/>
                <w:numId w:val="1"/>
              </w:numPr>
              <w:rPr>
                <w:sz w:val="22"/>
                <w:szCs w:val="22"/>
              </w:rPr>
            </w:pPr>
            <w:r w:rsidRPr="004D764D">
              <w:rPr>
                <w:sz w:val="22"/>
                <w:szCs w:val="22"/>
              </w:rPr>
              <w:t xml:space="preserve">Should the scope of the </w:t>
            </w:r>
            <w:r w:rsidRPr="004D764D">
              <w:rPr>
                <w:b/>
                <w:bCs/>
                <w:sz w:val="22"/>
                <w:szCs w:val="22"/>
              </w:rPr>
              <w:t>RPMs associated with the</w:t>
            </w:r>
            <w:r w:rsidRPr="004D764D">
              <w:rPr>
                <w:sz w:val="22"/>
                <w:szCs w:val="22"/>
              </w:rPr>
              <w:t xml:space="preserve"> TMCH be limited to apply only to </w:t>
            </w:r>
            <w:r w:rsidRPr="004D764D">
              <w:rPr>
                <w:b/>
                <w:bCs/>
                <w:sz w:val="22"/>
                <w:szCs w:val="22"/>
              </w:rPr>
              <w:t>TLDs that are related to</w:t>
            </w:r>
            <w:r w:rsidRPr="004D764D">
              <w:rPr>
                <w:sz w:val="22"/>
                <w:szCs w:val="22"/>
              </w:rPr>
              <w:t xml:space="preserve"> the categories of goods and services in which the dictionary term(s) within a trademark are protected</w:t>
            </w:r>
          </w:p>
        </w:tc>
        <w:tc>
          <w:tcPr>
            <w:tcW w:w="0" w:type="auto"/>
          </w:tcPr>
          <w:p w14:paraId="207B1FBC" w14:textId="77777777" w:rsidR="00D12E64" w:rsidRPr="004D764D" w:rsidRDefault="00D12E64" w:rsidP="00D12E64">
            <w:pPr>
              <w:rPr>
                <w:rFonts w:asciiTheme="minorHAnsi" w:hAnsiTheme="minorHAnsi"/>
                <w:sz w:val="22"/>
                <w:szCs w:val="22"/>
              </w:rPr>
            </w:pPr>
            <w:r w:rsidRPr="004D764D">
              <w:rPr>
                <w:rFonts w:asciiTheme="minorHAnsi" w:hAnsiTheme="minorHAnsi"/>
                <w:sz w:val="22"/>
                <w:szCs w:val="22"/>
              </w:rPr>
              <w:t xml:space="preserve">Technically, we have heard it is difficult; but deep concerns raised in the recent EFF/Trademarks Scholars letter.  </w:t>
            </w:r>
          </w:p>
          <w:p w14:paraId="13806286" w14:textId="77777777" w:rsidR="00D12E64" w:rsidRPr="004D764D" w:rsidRDefault="00D12E64" w:rsidP="00D12E64">
            <w:pPr>
              <w:rPr>
                <w:rFonts w:asciiTheme="minorHAnsi" w:hAnsiTheme="minorHAnsi"/>
                <w:sz w:val="22"/>
                <w:szCs w:val="22"/>
              </w:rPr>
            </w:pPr>
          </w:p>
          <w:p w14:paraId="06082469" w14:textId="7C66C856" w:rsidR="00D12E64" w:rsidRPr="004D764D" w:rsidRDefault="00D12E64" w:rsidP="00D12E64">
            <w:pPr>
              <w:rPr>
                <w:rFonts w:asciiTheme="minorHAnsi" w:hAnsiTheme="minorHAnsi"/>
                <w:sz w:val="22"/>
                <w:szCs w:val="22"/>
              </w:rPr>
            </w:pPr>
            <w:r w:rsidRPr="004D764D">
              <w:rPr>
                <w:rFonts w:asciiTheme="minorHAnsi" w:hAnsiTheme="minorHAnsi"/>
                <w:sz w:val="22"/>
                <w:szCs w:val="22"/>
                <w:u w:val="single"/>
              </w:rPr>
              <w:t>Recommend</w:t>
            </w:r>
            <w:r w:rsidR="00CA6A8A" w:rsidRPr="004D764D">
              <w:rPr>
                <w:rFonts w:asciiTheme="minorHAnsi" w:hAnsiTheme="minorHAnsi"/>
                <w:sz w:val="22"/>
                <w:szCs w:val="22"/>
              </w:rPr>
              <w:t>: more discussion</w:t>
            </w:r>
          </w:p>
          <w:p w14:paraId="01D306AE" w14:textId="77777777" w:rsidR="008F5731" w:rsidRPr="004D764D" w:rsidRDefault="008F5731">
            <w:pPr>
              <w:rPr>
                <w:rFonts w:asciiTheme="minorHAnsi" w:hAnsiTheme="minorHAnsi"/>
                <w:sz w:val="22"/>
                <w:szCs w:val="22"/>
              </w:rPr>
            </w:pPr>
          </w:p>
        </w:tc>
        <w:tc>
          <w:tcPr>
            <w:tcW w:w="0" w:type="auto"/>
          </w:tcPr>
          <w:p w14:paraId="15BCE126" w14:textId="12CCF035" w:rsidR="00042663" w:rsidRPr="004D764D" w:rsidRDefault="00042663" w:rsidP="00042663">
            <w:pPr>
              <w:rPr>
                <w:rFonts w:asciiTheme="minorHAnsi" w:hAnsiTheme="minorHAnsi"/>
                <w:sz w:val="22"/>
                <w:szCs w:val="22"/>
              </w:rPr>
            </w:pPr>
            <w:r w:rsidRPr="004D764D">
              <w:rPr>
                <w:rFonts w:asciiTheme="minorHAnsi" w:hAnsiTheme="minorHAnsi"/>
                <w:sz w:val="22"/>
                <w:szCs w:val="22"/>
              </w:rPr>
              <w:t>Concern noted over lack of differentiation leading to possible expansion of rights of TM holders; difficult to develop general policies for differentiation –  may be possible only by developing specific rules for Sunrise and Claims in different types of gTLDs? (If so, return to this question when reviewing Sunrise/Claims)</w:t>
            </w:r>
          </w:p>
          <w:p w14:paraId="17B3FC55" w14:textId="77777777" w:rsidR="008F5731" w:rsidRPr="004D764D" w:rsidRDefault="008F5731" w:rsidP="00042663">
            <w:pPr>
              <w:rPr>
                <w:rFonts w:asciiTheme="minorHAnsi" w:hAnsiTheme="minorHAnsi"/>
                <w:sz w:val="22"/>
                <w:szCs w:val="22"/>
              </w:rPr>
            </w:pPr>
          </w:p>
        </w:tc>
        <w:tc>
          <w:tcPr>
            <w:tcW w:w="0" w:type="auto"/>
          </w:tcPr>
          <w:p w14:paraId="487EE5FB" w14:textId="77777777" w:rsidR="008F5731" w:rsidRPr="004D764D" w:rsidRDefault="00F427ED" w:rsidP="00F427ED">
            <w:pPr>
              <w:pStyle w:val="ListParagraph"/>
              <w:numPr>
                <w:ilvl w:val="0"/>
                <w:numId w:val="16"/>
              </w:numPr>
              <w:rPr>
                <w:sz w:val="22"/>
                <w:szCs w:val="22"/>
              </w:rPr>
            </w:pPr>
            <w:r w:rsidRPr="004D764D">
              <w:rPr>
                <w:sz w:val="22"/>
                <w:szCs w:val="22"/>
              </w:rPr>
              <w:t>This question, despite having been subject to discussion, will require further consideration in light of letter from EFF and co-signatories</w:t>
            </w:r>
          </w:p>
          <w:p w14:paraId="6EE4086B" w14:textId="69262512" w:rsidR="00F427ED" w:rsidRPr="004D764D" w:rsidRDefault="00F427ED" w:rsidP="00F427ED">
            <w:pPr>
              <w:pStyle w:val="ListParagraph"/>
              <w:numPr>
                <w:ilvl w:val="0"/>
                <w:numId w:val="16"/>
              </w:numPr>
              <w:rPr>
                <w:sz w:val="22"/>
                <w:szCs w:val="22"/>
              </w:rPr>
            </w:pPr>
            <w:r w:rsidRPr="004D764D">
              <w:rPr>
                <w:sz w:val="22"/>
                <w:szCs w:val="22"/>
              </w:rPr>
              <w:t>ACTION ITEM: Consider this question along with each of the RPMs associated with the TMCH when the WG has them on its agenda</w:t>
            </w:r>
          </w:p>
        </w:tc>
      </w:tr>
      <w:tr w:rsidR="004F304F" w:rsidRPr="004D764D" w14:paraId="7FCD4FB6" w14:textId="77777777" w:rsidTr="003A042A">
        <w:tc>
          <w:tcPr>
            <w:tcW w:w="0" w:type="auto"/>
            <w:gridSpan w:val="4"/>
          </w:tcPr>
          <w:p w14:paraId="7B02C632" w14:textId="77777777" w:rsidR="004F304F" w:rsidRPr="004D764D" w:rsidRDefault="004F304F" w:rsidP="00FA34F6">
            <w:pPr>
              <w:rPr>
                <w:rFonts w:asciiTheme="minorHAnsi" w:hAnsiTheme="minorHAnsi"/>
                <w:b/>
                <w:sz w:val="22"/>
                <w:szCs w:val="22"/>
              </w:rPr>
            </w:pPr>
            <w:r w:rsidRPr="004D764D">
              <w:rPr>
                <w:rFonts w:asciiTheme="minorHAnsi" w:hAnsiTheme="minorHAnsi"/>
                <w:b/>
                <w:sz w:val="22"/>
                <w:szCs w:val="22"/>
              </w:rPr>
              <w:t>TMCH Category 4: Costs &amp; Other Fundamental Features</w:t>
            </w:r>
          </w:p>
          <w:p w14:paraId="1FFB1E7C" w14:textId="77777777" w:rsidR="004F304F" w:rsidRPr="004D764D" w:rsidRDefault="004F304F">
            <w:pPr>
              <w:rPr>
                <w:rFonts w:asciiTheme="minorHAnsi" w:hAnsiTheme="minorHAnsi"/>
                <w:sz w:val="22"/>
                <w:szCs w:val="22"/>
              </w:rPr>
            </w:pPr>
          </w:p>
        </w:tc>
      </w:tr>
      <w:tr w:rsidR="008842FE" w:rsidRPr="004D764D" w14:paraId="5142FF43" w14:textId="77777777" w:rsidTr="00404EA7">
        <w:tc>
          <w:tcPr>
            <w:tcW w:w="0" w:type="auto"/>
          </w:tcPr>
          <w:p w14:paraId="02780310" w14:textId="77777777" w:rsidR="00DB6507" w:rsidRPr="004D764D" w:rsidRDefault="00DB6507" w:rsidP="00DB6507">
            <w:pPr>
              <w:pStyle w:val="ListParagraph"/>
              <w:numPr>
                <w:ilvl w:val="0"/>
                <w:numId w:val="2"/>
              </w:numPr>
              <w:rPr>
                <w:sz w:val="22"/>
                <w:szCs w:val="22"/>
                <w:u w:val="single"/>
              </w:rPr>
            </w:pPr>
            <w:r w:rsidRPr="004D764D">
              <w:rPr>
                <w:sz w:val="22"/>
                <w:szCs w:val="22"/>
              </w:rPr>
              <w:t>Are there concerns about operational considerations (such as cost, reliability, global reach, service diversity and consistency) due to the TMCH Database being provided by a single Provider? If so, how may they be addressed?</w:t>
            </w:r>
          </w:p>
        </w:tc>
        <w:tc>
          <w:tcPr>
            <w:tcW w:w="0" w:type="auto"/>
          </w:tcPr>
          <w:p w14:paraId="2A1EF597" w14:textId="7241216A" w:rsidR="00D12E64" w:rsidRPr="004D764D" w:rsidRDefault="00042663" w:rsidP="00D12E64">
            <w:pPr>
              <w:rPr>
                <w:rFonts w:asciiTheme="minorHAnsi" w:hAnsiTheme="minorHAnsi"/>
                <w:sz w:val="22"/>
                <w:szCs w:val="22"/>
              </w:rPr>
            </w:pPr>
            <w:r w:rsidRPr="004D764D">
              <w:rPr>
                <w:rFonts w:asciiTheme="minorHAnsi" w:hAnsiTheme="minorHAnsi"/>
                <w:sz w:val="22"/>
                <w:szCs w:val="22"/>
              </w:rPr>
              <w:t>T</w:t>
            </w:r>
            <w:r w:rsidR="00D12E64" w:rsidRPr="004D764D">
              <w:rPr>
                <w:rFonts w:asciiTheme="minorHAnsi" w:hAnsiTheme="minorHAnsi"/>
                <w:sz w:val="22"/>
                <w:szCs w:val="22"/>
              </w:rPr>
              <w:t>he only issue that came up was </w:t>
            </w:r>
            <w:r w:rsidR="00D12E64" w:rsidRPr="004D764D">
              <w:rPr>
                <w:rFonts w:asciiTheme="minorHAnsi" w:hAnsiTheme="minorHAnsi"/>
                <w:bCs/>
                <w:sz w:val="22"/>
                <w:szCs w:val="22"/>
              </w:rPr>
              <w:t>cost.</w:t>
            </w:r>
            <w:r w:rsidR="00D12E64" w:rsidRPr="004D764D">
              <w:rPr>
                <w:rFonts w:asciiTheme="minorHAnsi" w:hAnsiTheme="minorHAnsi"/>
                <w:b/>
                <w:bCs/>
                <w:sz w:val="22"/>
                <w:szCs w:val="22"/>
              </w:rPr>
              <w:t> </w:t>
            </w:r>
            <w:r w:rsidR="00CA6A8A" w:rsidRPr="004D764D">
              <w:rPr>
                <w:rFonts w:asciiTheme="minorHAnsi" w:hAnsiTheme="minorHAnsi"/>
                <w:sz w:val="22"/>
                <w:szCs w:val="22"/>
              </w:rPr>
              <w:t>No refutation of comment that</w:t>
            </w:r>
            <w:r w:rsidR="00D12E64" w:rsidRPr="004D764D">
              <w:rPr>
                <w:rFonts w:asciiTheme="minorHAnsi" w:hAnsiTheme="minorHAnsi"/>
                <w:sz w:val="22"/>
                <w:szCs w:val="22"/>
              </w:rPr>
              <w:t xml:space="preserve"> evidence ap</w:t>
            </w:r>
            <w:r w:rsidR="00CA6A8A" w:rsidRPr="004D764D">
              <w:rPr>
                <w:rFonts w:asciiTheme="minorHAnsi" w:hAnsiTheme="minorHAnsi"/>
                <w:sz w:val="22"/>
                <w:szCs w:val="22"/>
              </w:rPr>
              <w:t>pears to show</w:t>
            </w:r>
            <w:r w:rsidR="00D12E64" w:rsidRPr="004D764D">
              <w:rPr>
                <w:rFonts w:asciiTheme="minorHAnsi" w:hAnsiTheme="minorHAnsi"/>
                <w:sz w:val="22"/>
                <w:szCs w:val="22"/>
              </w:rPr>
              <w:t xml:space="preserve"> Deloitte has done a </w:t>
            </w:r>
            <w:r w:rsidR="00CA6A8A" w:rsidRPr="004D764D">
              <w:rPr>
                <w:rFonts w:asciiTheme="minorHAnsi" w:hAnsiTheme="minorHAnsi"/>
                <w:sz w:val="22"/>
                <w:szCs w:val="22"/>
              </w:rPr>
              <w:t>good job on operational matters</w:t>
            </w:r>
            <w:r w:rsidR="00D12E64" w:rsidRPr="004D764D">
              <w:rPr>
                <w:rFonts w:asciiTheme="minorHAnsi" w:hAnsiTheme="minorHAnsi"/>
                <w:sz w:val="22"/>
                <w:szCs w:val="22"/>
              </w:rPr>
              <w:t xml:space="preserve">. </w:t>
            </w:r>
          </w:p>
          <w:p w14:paraId="722B3AC8" w14:textId="77777777" w:rsidR="00D12E64" w:rsidRPr="004D764D" w:rsidRDefault="00D12E64" w:rsidP="00D12E64">
            <w:pPr>
              <w:rPr>
                <w:rFonts w:asciiTheme="minorHAnsi" w:hAnsiTheme="minorHAnsi"/>
                <w:sz w:val="22"/>
                <w:szCs w:val="22"/>
              </w:rPr>
            </w:pPr>
          </w:p>
          <w:p w14:paraId="2BED1BFC" w14:textId="01086B9E" w:rsidR="00D12E64" w:rsidRPr="004D764D" w:rsidRDefault="00D12E64" w:rsidP="00D12E64">
            <w:pPr>
              <w:rPr>
                <w:rFonts w:asciiTheme="minorHAnsi" w:hAnsiTheme="minorHAnsi"/>
                <w:sz w:val="22"/>
                <w:szCs w:val="22"/>
              </w:rPr>
            </w:pPr>
            <w:r w:rsidRPr="004D764D">
              <w:rPr>
                <w:rFonts w:asciiTheme="minorHAnsi" w:hAnsiTheme="minorHAnsi"/>
                <w:sz w:val="22"/>
                <w:szCs w:val="22"/>
                <w:u w:val="single"/>
              </w:rPr>
              <w:t>Recommend</w:t>
            </w:r>
            <w:r w:rsidR="00CA6A8A" w:rsidRPr="004D764D">
              <w:rPr>
                <w:rFonts w:asciiTheme="minorHAnsi" w:hAnsiTheme="minorHAnsi"/>
                <w:sz w:val="22"/>
                <w:szCs w:val="22"/>
              </w:rPr>
              <w:t xml:space="preserve">: </w:t>
            </w:r>
            <w:r w:rsidRPr="004D764D">
              <w:rPr>
                <w:rFonts w:asciiTheme="minorHAnsi" w:hAnsiTheme="minorHAnsi"/>
                <w:sz w:val="22"/>
                <w:szCs w:val="22"/>
              </w:rPr>
              <w:t>nar</w:t>
            </w:r>
            <w:r w:rsidR="00CA6A8A" w:rsidRPr="004D764D">
              <w:rPr>
                <w:rFonts w:asciiTheme="minorHAnsi" w:hAnsiTheme="minorHAnsi"/>
                <w:sz w:val="22"/>
                <w:szCs w:val="22"/>
              </w:rPr>
              <w:t>row this question to cost only.</w:t>
            </w:r>
          </w:p>
          <w:p w14:paraId="511A3FB9" w14:textId="77777777" w:rsidR="00DB6507" w:rsidRPr="004D764D" w:rsidRDefault="00DB6507">
            <w:pPr>
              <w:rPr>
                <w:rFonts w:asciiTheme="minorHAnsi" w:hAnsiTheme="minorHAnsi"/>
                <w:sz w:val="22"/>
                <w:szCs w:val="22"/>
              </w:rPr>
            </w:pPr>
          </w:p>
        </w:tc>
        <w:tc>
          <w:tcPr>
            <w:tcW w:w="0" w:type="auto"/>
          </w:tcPr>
          <w:p w14:paraId="770B7DEA" w14:textId="02CE1E86" w:rsidR="00DB6507" w:rsidRPr="004D764D" w:rsidRDefault="00042663" w:rsidP="006A5170">
            <w:pPr>
              <w:rPr>
                <w:rFonts w:asciiTheme="minorHAnsi" w:hAnsiTheme="minorHAnsi"/>
                <w:sz w:val="22"/>
                <w:szCs w:val="22"/>
              </w:rPr>
            </w:pPr>
            <w:r w:rsidRPr="004D764D">
              <w:rPr>
                <w:rFonts w:asciiTheme="minorHAnsi" w:hAnsiTheme="minorHAnsi"/>
                <w:sz w:val="22"/>
                <w:szCs w:val="22"/>
              </w:rPr>
              <w:t xml:space="preserve">Question whether cost, pricing and reliability issues are implementation rather than policy; potential problems </w:t>
            </w:r>
            <w:r w:rsidR="006A5170" w:rsidRPr="004D764D">
              <w:rPr>
                <w:rFonts w:asciiTheme="minorHAnsi" w:hAnsiTheme="minorHAnsi"/>
                <w:sz w:val="22"/>
                <w:szCs w:val="22"/>
              </w:rPr>
              <w:t>(e.g. technical issues,</w:t>
            </w:r>
            <w:r w:rsidRPr="004D764D">
              <w:rPr>
                <w:rFonts w:asciiTheme="minorHAnsi" w:hAnsiTheme="minorHAnsi"/>
                <w:sz w:val="22"/>
                <w:szCs w:val="22"/>
              </w:rPr>
              <w:t xml:space="preserve"> inconsistent </w:t>
            </w:r>
            <w:r w:rsidR="006A5170" w:rsidRPr="004D764D">
              <w:rPr>
                <w:rFonts w:asciiTheme="minorHAnsi" w:hAnsiTheme="minorHAnsi"/>
                <w:sz w:val="22"/>
                <w:szCs w:val="22"/>
              </w:rPr>
              <w:t xml:space="preserve">validation and </w:t>
            </w:r>
            <w:r w:rsidRPr="004D764D">
              <w:rPr>
                <w:rFonts w:asciiTheme="minorHAnsi" w:hAnsiTheme="minorHAnsi"/>
                <w:sz w:val="22"/>
                <w:szCs w:val="22"/>
              </w:rPr>
              <w:t>service levels</w:t>
            </w:r>
            <w:r w:rsidR="006A5170" w:rsidRPr="004D764D">
              <w:rPr>
                <w:rFonts w:asciiTheme="minorHAnsi" w:hAnsiTheme="minorHAnsi"/>
                <w:sz w:val="22"/>
                <w:szCs w:val="22"/>
              </w:rPr>
              <w:t>)</w:t>
            </w:r>
            <w:r w:rsidRPr="004D764D">
              <w:rPr>
                <w:rFonts w:asciiTheme="minorHAnsi" w:hAnsiTheme="minorHAnsi"/>
                <w:sz w:val="22"/>
                <w:szCs w:val="22"/>
              </w:rPr>
              <w:t xml:space="preserve"> </w:t>
            </w:r>
            <w:r w:rsidR="006A5170" w:rsidRPr="004D764D">
              <w:rPr>
                <w:rFonts w:asciiTheme="minorHAnsi" w:hAnsiTheme="minorHAnsi"/>
                <w:sz w:val="22"/>
                <w:szCs w:val="22"/>
              </w:rPr>
              <w:t xml:space="preserve">noted with </w:t>
            </w:r>
            <w:r w:rsidRPr="004D764D">
              <w:rPr>
                <w:rFonts w:asciiTheme="minorHAnsi" w:hAnsiTheme="minorHAnsi"/>
                <w:sz w:val="22"/>
                <w:szCs w:val="22"/>
              </w:rPr>
              <w:t>multiple providers</w:t>
            </w:r>
            <w:r w:rsidR="006A5170" w:rsidRPr="004D764D">
              <w:rPr>
                <w:rFonts w:asciiTheme="minorHAnsi" w:hAnsiTheme="minorHAnsi"/>
                <w:sz w:val="22"/>
                <w:szCs w:val="22"/>
              </w:rPr>
              <w:t>; consider single back-end TMDB provider but using multiple front-end services to connect to centralized TMDB</w:t>
            </w:r>
          </w:p>
        </w:tc>
        <w:tc>
          <w:tcPr>
            <w:tcW w:w="0" w:type="auto"/>
          </w:tcPr>
          <w:p w14:paraId="38447A76" w14:textId="4B43D777" w:rsidR="00DB6507" w:rsidRPr="004D764D" w:rsidRDefault="001F51A8" w:rsidP="001F51A8">
            <w:pPr>
              <w:pStyle w:val="ListParagraph"/>
              <w:numPr>
                <w:ilvl w:val="0"/>
                <w:numId w:val="17"/>
              </w:numPr>
              <w:rPr>
                <w:sz w:val="22"/>
                <w:szCs w:val="22"/>
              </w:rPr>
            </w:pPr>
            <w:r w:rsidRPr="004D764D">
              <w:rPr>
                <w:sz w:val="22"/>
                <w:szCs w:val="22"/>
              </w:rPr>
              <w:t>ACTION ITEM: D</w:t>
            </w:r>
            <w:r w:rsidR="00F427ED" w:rsidRPr="004D764D">
              <w:rPr>
                <w:sz w:val="22"/>
                <w:szCs w:val="22"/>
              </w:rPr>
              <w:t>efer decision on costs to the implementation phase</w:t>
            </w:r>
            <w:r w:rsidRPr="004D764D">
              <w:rPr>
                <w:sz w:val="22"/>
                <w:szCs w:val="22"/>
              </w:rPr>
              <w:t xml:space="preserve">, </w:t>
            </w:r>
            <w:r w:rsidR="009C5405" w:rsidRPr="004D764D">
              <w:rPr>
                <w:sz w:val="22"/>
                <w:szCs w:val="22"/>
              </w:rPr>
              <w:t>but communicate to the implementation team that the working group did consider whether competition would lower costs, whether the single provider model is the most efficient and effective for stakeholders, and that apart from costs, feedback on the quality of Deloitte’s service from an operational perspective to-date has been positive</w:t>
            </w:r>
          </w:p>
          <w:p w14:paraId="73F2B09C" w14:textId="77777777" w:rsidR="00F427ED" w:rsidRPr="004D764D" w:rsidRDefault="00F427ED" w:rsidP="00F427ED">
            <w:pPr>
              <w:pStyle w:val="ListParagraph"/>
              <w:numPr>
                <w:ilvl w:val="0"/>
                <w:numId w:val="17"/>
              </w:numPr>
              <w:rPr>
                <w:sz w:val="22"/>
                <w:szCs w:val="22"/>
              </w:rPr>
            </w:pPr>
            <w:r w:rsidRPr="004D764D">
              <w:rPr>
                <w:sz w:val="22"/>
                <w:szCs w:val="22"/>
              </w:rPr>
              <w:t>Of relevance may be that parties other than Deloitte have had interest in the past to conduct validation portion of the TMCH function</w:t>
            </w:r>
          </w:p>
          <w:p w14:paraId="77EB0F90" w14:textId="77777777" w:rsidR="00F427ED" w:rsidRPr="004D764D" w:rsidRDefault="00F427ED" w:rsidP="00F427ED">
            <w:pPr>
              <w:pStyle w:val="ListParagraph"/>
              <w:numPr>
                <w:ilvl w:val="0"/>
                <w:numId w:val="17"/>
              </w:numPr>
              <w:rPr>
                <w:sz w:val="22"/>
                <w:szCs w:val="22"/>
              </w:rPr>
            </w:pPr>
            <w:r w:rsidRPr="004D764D">
              <w:rPr>
                <w:sz w:val="22"/>
                <w:szCs w:val="22"/>
              </w:rPr>
              <w:t>Delays due to multiple contractors may affect timeline (delays) for a second round of new gTLD applications – consideration of this is required</w:t>
            </w:r>
          </w:p>
          <w:p w14:paraId="0EEA6575" w14:textId="6F3D93E6" w:rsidR="00F427ED" w:rsidRPr="004D764D" w:rsidRDefault="00F427ED" w:rsidP="00F427ED">
            <w:pPr>
              <w:pStyle w:val="ListParagraph"/>
              <w:numPr>
                <w:ilvl w:val="0"/>
                <w:numId w:val="17"/>
              </w:numPr>
              <w:rPr>
                <w:sz w:val="22"/>
                <w:szCs w:val="22"/>
              </w:rPr>
            </w:pPr>
            <w:r w:rsidRPr="004D764D">
              <w:rPr>
                <w:sz w:val="22"/>
                <w:szCs w:val="22"/>
              </w:rPr>
              <w:t>Not necessarily true that second round be postponed while all policy/implementation efforts on RPMs are concluded</w:t>
            </w:r>
          </w:p>
        </w:tc>
      </w:tr>
      <w:tr w:rsidR="008842FE" w:rsidRPr="004D764D" w14:paraId="6E192250" w14:textId="77777777" w:rsidTr="00404EA7">
        <w:tc>
          <w:tcPr>
            <w:tcW w:w="0" w:type="auto"/>
          </w:tcPr>
          <w:p w14:paraId="5DB7DA45" w14:textId="30694236" w:rsidR="00DB6507" w:rsidRPr="004D764D" w:rsidRDefault="00DB6507" w:rsidP="00FA34F6">
            <w:pPr>
              <w:pStyle w:val="ListParagraph"/>
              <w:numPr>
                <w:ilvl w:val="0"/>
                <w:numId w:val="2"/>
              </w:numPr>
              <w:rPr>
                <w:sz w:val="22"/>
                <w:szCs w:val="22"/>
              </w:rPr>
            </w:pPr>
            <w:r w:rsidRPr="004D764D">
              <w:rPr>
                <w:sz w:val="22"/>
                <w:szCs w:val="22"/>
              </w:rPr>
              <w:t>Are the costs and benefits of the TMCH reasonably proportionate amongst rights holders, registries, registrars, registrants, other members of the community and ICANN?</w:t>
            </w:r>
          </w:p>
        </w:tc>
        <w:tc>
          <w:tcPr>
            <w:tcW w:w="0" w:type="auto"/>
          </w:tcPr>
          <w:p w14:paraId="17E3DEC1" w14:textId="77777777" w:rsidR="00CA6A8A" w:rsidRPr="004D764D" w:rsidRDefault="00D12E64" w:rsidP="00D12E64">
            <w:pPr>
              <w:rPr>
                <w:rFonts w:asciiTheme="minorHAnsi" w:hAnsiTheme="minorHAnsi"/>
                <w:sz w:val="22"/>
                <w:szCs w:val="22"/>
              </w:rPr>
            </w:pPr>
            <w:r w:rsidRPr="004D764D">
              <w:rPr>
                <w:rFonts w:asciiTheme="minorHAnsi" w:hAnsiTheme="minorHAnsi"/>
                <w:sz w:val="22"/>
                <w:szCs w:val="22"/>
              </w:rPr>
              <w:t>S</w:t>
            </w:r>
            <w:r w:rsidR="00CA6A8A" w:rsidRPr="004D764D">
              <w:rPr>
                <w:rFonts w:asciiTheme="minorHAnsi" w:hAnsiTheme="minorHAnsi"/>
                <w:sz w:val="22"/>
                <w:szCs w:val="22"/>
              </w:rPr>
              <w:t xml:space="preserve">imilar to Question 16. </w:t>
            </w:r>
          </w:p>
          <w:p w14:paraId="47BC6BBB" w14:textId="77777777" w:rsidR="00CA6A8A" w:rsidRPr="004D764D" w:rsidRDefault="00CA6A8A" w:rsidP="00D12E64">
            <w:pPr>
              <w:rPr>
                <w:rFonts w:asciiTheme="minorHAnsi" w:hAnsiTheme="minorHAnsi"/>
                <w:sz w:val="22"/>
                <w:szCs w:val="22"/>
              </w:rPr>
            </w:pPr>
          </w:p>
          <w:p w14:paraId="333C7725" w14:textId="0017892D" w:rsidR="00D12E64" w:rsidRPr="004D764D" w:rsidRDefault="00CA6A8A" w:rsidP="00D12E64">
            <w:pPr>
              <w:rPr>
                <w:rFonts w:asciiTheme="minorHAnsi" w:hAnsiTheme="minorHAnsi"/>
                <w:sz w:val="22"/>
                <w:szCs w:val="22"/>
              </w:rPr>
            </w:pPr>
            <w:r w:rsidRPr="004D764D">
              <w:rPr>
                <w:rFonts w:asciiTheme="minorHAnsi" w:hAnsiTheme="minorHAnsi"/>
                <w:sz w:val="22"/>
                <w:szCs w:val="22"/>
                <w:u w:val="single"/>
              </w:rPr>
              <w:t>Recommend</w:t>
            </w:r>
            <w:r w:rsidRPr="004D764D">
              <w:rPr>
                <w:rFonts w:asciiTheme="minorHAnsi" w:hAnsiTheme="minorHAnsi"/>
                <w:sz w:val="22"/>
                <w:szCs w:val="22"/>
              </w:rPr>
              <w:t xml:space="preserve">: Perhaps </w:t>
            </w:r>
            <w:r w:rsidR="00D12E64" w:rsidRPr="004D764D">
              <w:rPr>
                <w:rFonts w:asciiTheme="minorHAnsi" w:hAnsiTheme="minorHAnsi"/>
                <w:sz w:val="22"/>
                <w:szCs w:val="22"/>
              </w:rPr>
              <w:t xml:space="preserve">table this question and return to it at the end of the </w:t>
            </w:r>
            <w:r w:rsidRPr="004D764D">
              <w:rPr>
                <w:rFonts w:asciiTheme="minorHAnsi" w:hAnsiTheme="minorHAnsi"/>
                <w:sz w:val="22"/>
                <w:szCs w:val="22"/>
              </w:rPr>
              <w:t>RPMs discussion.</w:t>
            </w:r>
          </w:p>
          <w:p w14:paraId="713D65FA" w14:textId="77777777" w:rsidR="00DB6507" w:rsidRPr="004D764D" w:rsidRDefault="00DB6507">
            <w:pPr>
              <w:rPr>
                <w:rFonts w:asciiTheme="minorHAnsi" w:hAnsiTheme="minorHAnsi"/>
                <w:sz w:val="22"/>
                <w:szCs w:val="22"/>
              </w:rPr>
            </w:pPr>
          </w:p>
        </w:tc>
        <w:tc>
          <w:tcPr>
            <w:tcW w:w="0" w:type="auto"/>
          </w:tcPr>
          <w:p w14:paraId="5B7E0AA6" w14:textId="016888FE" w:rsidR="00DB6507" w:rsidRPr="004D764D" w:rsidRDefault="0020668E">
            <w:pPr>
              <w:rPr>
                <w:rFonts w:asciiTheme="minorHAnsi" w:hAnsiTheme="minorHAnsi"/>
                <w:sz w:val="22"/>
                <w:szCs w:val="22"/>
              </w:rPr>
            </w:pPr>
            <w:r w:rsidRPr="004D764D">
              <w:rPr>
                <w:rFonts w:asciiTheme="minorHAnsi" w:hAnsiTheme="minorHAnsi"/>
                <w:sz w:val="22"/>
                <w:szCs w:val="22"/>
              </w:rPr>
              <w:t>Combining discussion of Questions 13 and 16, to be conducted following completion of Sunrise and Claims reviews, proposed at ICANN58</w:t>
            </w:r>
          </w:p>
        </w:tc>
        <w:tc>
          <w:tcPr>
            <w:tcW w:w="0" w:type="auto"/>
          </w:tcPr>
          <w:p w14:paraId="6558398C" w14:textId="77777777" w:rsidR="00F427ED" w:rsidRPr="004D764D" w:rsidRDefault="00F427ED" w:rsidP="00F427ED">
            <w:pPr>
              <w:rPr>
                <w:rFonts w:asciiTheme="minorHAnsi" w:hAnsiTheme="minorHAnsi"/>
                <w:sz w:val="22"/>
                <w:szCs w:val="22"/>
                <w:lang w:eastAsia="en-US"/>
              </w:rPr>
            </w:pPr>
            <w:r w:rsidRPr="004D764D">
              <w:rPr>
                <w:rFonts w:asciiTheme="minorHAnsi" w:hAnsiTheme="minorHAnsi"/>
                <w:color w:val="000000"/>
                <w:sz w:val="22"/>
                <w:szCs w:val="22"/>
                <w:shd w:val="clear" w:color="auto" w:fill="FFFFFF"/>
                <w:lang w:eastAsia="en-US"/>
              </w:rPr>
              <w:t>Proceed with WG leadership team suggestion – table question until the end of RPMs discussion</w:t>
            </w:r>
          </w:p>
          <w:p w14:paraId="0D6B72A0" w14:textId="77777777" w:rsidR="00DB6507" w:rsidRPr="004D764D" w:rsidRDefault="00DB6507">
            <w:pPr>
              <w:rPr>
                <w:rFonts w:asciiTheme="minorHAnsi" w:hAnsiTheme="minorHAnsi"/>
                <w:sz w:val="22"/>
                <w:szCs w:val="22"/>
              </w:rPr>
            </w:pPr>
          </w:p>
        </w:tc>
      </w:tr>
      <w:tr w:rsidR="004F304F" w:rsidRPr="004D764D" w14:paraId="11ADA3E5" w14:textId="77777777" w:rsidTr="00D823A7">
        <w:tc>
          <w:tcPr>
            <w:tcW w:w="0" w:type="auto"/>
            <w:gridSpan w:val="4"/>
          </w:tcPr>
          <w:p w14:paraId="691EFD83" w14:textId="77777777" w:rsidR="004F304F" w:rsidRPr="004D764D" w:rsidRDefault="004F304F" w:rsidP="00FA34F6">
            <w:pPr>
              <w:rPr>
                <w:rFonts w:asciiTheme="minorHAnsi" w:hAnsiTheme="minorHAnsi"/>
                <w:b/>
                <w:sz w:val="22"/>
                <w:szCs w:val="22"/>
              </w:rPr>
            </w:pPr>
            <w:r w:rsidRPr="004D764D">
              <w:rPr>
                <w:rFonts w:asciiTheme="minorHAnsi" w:hAnsiTheme="minorHAnsi"/>
                <w:b/>
                <w:sz w:val="22"/>
                <w:szCs w:val="22"/>
              </w:rPr>
              <w:t>TMCH Category 5: Access &amp; Accessibility</w:t>
            </w:r>
          </w:p>
          <w:p w14:paraId="51039666" w14:textId="77777777" w:rsidR="004F304F" w:rsidRPr="004D764D" w:rsidRDefault="004F304F">
            <w:pPr>
              <w:rPr>
                <w:rFonts w:asciiTheme="minorHAnsi" w:hAnsiTheme="minorHAnsi"/>
                <w:sz w:val="22"/>
                <w:szCs w:val="22"/>
              </w:rPr>
            </w:pPr>
          </w:p>
        </w:tc>
      </w:tr>
      <w:tr w:rsidR="008842FE" w:rsidRPr="004D764D" w14:paraId="46B8D4F0" w14:textId="77777777" w:rsidTr="00404EA7">
        <w:tc>
          <w:tcPr>
            <w:tcW w:w="0" w:type="auto"/>
          </w:tcPr>
          <w:p w14:paraId="4D753DB1" w14:textId="77777777" w:rsidR="00DB6507" w:rsidRPr="004D764D" w:rsidRDefault="00DB6507" w:rsidP="00DB6507">
            <w:pPr>
              <w:pStyle w:val="ListParagraph"/>
              <w:numPr>
                <w:ilvl w:val="0"/>
                <w:numId w:val="3"/>
              </w:numPr>
              <w:rPr>
                <w:sz w:val="22"/>
                <w:szCs w:val="22"/>
              </w:rPr>
            </w:pPr>
            <w:r w:rsidRPr="004D764D">
              <w:rPr>
                <w:sz w:val="22"/>
                <w:szCs w:val="22"/>
              </w:rPr>
              <w:t>How accessible</w:t>
            </w:r>
            <w:r w:rsidRPr="004D764D">
              <w:rPr>
                <w:sz w:val="22"/>
                <w:szCs w:val="22"/>
                <w:vertAlign w:val="superscript"/>
              </w:rPr>
              <w:footnoteReference w:id="2"/>
            </w:r>
            <w:r w:rsidRPr="004D764D">
              <w:rPr>
                <w:sz w:val="22"/>
                <w:szCs w:val="22"/>
              </w:rPr>
              <w:t xml:space="preserve"> is the TMCH Database and RPM Rights Protection Actions and Defenses to individuals, organizations and rights-holders; as well as trademark agents in developing countries?</w:t>
            </w:r>
          </w:p>
          <w:p w14:paraId="25CC7D4E" w14:textId="77777777" w:rsidR="00DB6507" w:rsidRPr="004D764D" w:rsidRDefault="00DB6507" w:rsidP="00FA34F6">
            <w:pPr>
              <w:rPr>
                <w:rFonts w:asciiTheme="minorHAnsi" w:hAnsiTheme="minorHAnsi"/>
                <w:b/>
                <w:sz w:val="22"/>
                <w:szCs w:val="22"/>
                <w:u w:val="single"/>
              </w:rPr>
            </w:pPr>
          </w:p>
        </w:tc>
        <w:tc>
          <w:tcPr>
            <w:tcW w:w="0" w:type="auto"/>
          </w:tcPr>
          <w:p w14:paraId="69248221" w14:textId="36F5E06E" w:rsidR="00D12E64" w:rsidRPr="004D764D" w:rsidRDefault="00D12E64" w:rsidP="00D12E64">
            <w:pPr>
              <w:rPr>
                <w:rFonts w:asciiTheme="minorHAnsi" w:hAnsiTheme="minorHAnsi"/>
                <w:sz w:val="22"/>
                <w:szCs w:val="22"/>
              </w:rPr>
            </w:pPr>
            <w:r w:rsidRPr="004D764D">
              <w:rPr>
                <w:rFonts w:asciiTheme="minorHAnsi" w:hAnsiTheme="minorHAnsi"/>
                <w:sz w:val="22"/>
                <w:szCs w:val="22"/>
              </w:rPr>
              <w:t>The push for knowing more about trademark agents and where the rights holders are located</w:t>
            </w:r>
            <w:r w:rsidR="00CA6A8A" w:rsidRPr="004D764D">
              <w:rPr>
                <w:rFonts w:asciiTheme="minorHAnsi" w:hAnsiTheme="minorHAnsi"/>
                <w:sz w:val="22"/>
                <w:szCs w:val="22"/>
              </w:rPr>
              <w:t xml:space="preserve"> seems to have subsided -- and </w:t>
            </w:r>
            <w:r w:rsidRPr="004D764D">
              <w:rPr>
                <w:rFonts w:asciiTheme="minorHAnsi" w:hAnsiTheme="minorHAnsi"/>
                <w:sz w:val="22"/>
                <w:szCs w:val="22"/>
              </w:rPr>
              <w:t xml:space="preserve">Deloitte does not know </w:t>
            </w:r>
            <w:r w:rsidR="00CA6A8A" w:rsidRPr="004D764D">
              <w:rPr>
                <w:rFonts w:asciiTheme="minorHAnsi" w:hAnsiTheme="minorHAnsi"/>
                <w:sz w:val="22"/>
                <w:szCs w:val="22"/>
              </w:rPr>
              <w:t>w</w:t>
            </w:r>
            <w:r w:rsidRPr="004D764D">
              <w:rPr>
                <w:rFonts w:asciiTheme="minorHAnsi" w:hAnsiTheme="minorHAnsi"/>
                <w:sz w:val="22"/>
                <w:szCs w:val="22"/>
              </w:rPr>
              <w:t xml:space="preserve">here the rights-holders who use TM Agents are located. </w:t>
            </w:r>
          </w:p>
          <w:p w14:paraId="1757A5F0" w14:textId="77777777" w:rsidR="00D12E64" w:rsidRPr="004D764D" w:rsidRDefault="00D12E64" w:rsidP="00D12E64">
            <w:pPr>
              <w:rPr>
                <w:rFonts w:asciiTheme="minorHAnsi" w:hAnsiTheme="minorHAnsi"/>
                <w:sz w:val="22"/>
                <w:szCs w:val="22"/>
              </w:rPr>
            </w:pPr>
          </w:p>
          <w:p w14:paraId="449991EE" w14:textId="7046B045" w:rsidR="00D12E64" w:rsidRPr="004D764D" w:rsidRDefault="00CA6A8A" w:rsidP="00D12E64">
            <w:pPr>
              <w:rPr>
                <w:rFonts w:asciiTheme="minorHAnsi" w:hAnsiTheme="minorHAnsi"/>
                <w:sz w:val="22"/>
                <w:szCs w:val="22"/>
              </w:rPr>
            </w:pPr>
            <w:r w:rsidRPr="004D764D">
              <w:rPr>
                <w:rFonts w:asciiTheme="minorHAnsi" w:hAnsiTheme="minorHAnsi"/>
                <w:sz w:val="22"/>
                <w:szCs w:val="22"/>
                <w:u w:val="single"/>
              </w:rPr>
              <w:t>Recommend</w:t>
            </w:r>
            <w:r w:rsidRPr="004D764D">
              <w:rPr>
                <w:rFonts w:asciiTheme="minorHAnsi" w:hAnsiTheme="minorHAnsi"/>
                <w:sz w:val="22"/>
                <w:szCs w:val="22"/>
              </w:rPr>
              <w:t>: Shall we close this question?</w:t>
            </w:r>
          </w:p>
          <w:p w14:paraId="30EFD02F" w14:textId="77777777" w:rsidR="00DB6507" w:rsidRPr="004D764D" w:rsidRDefault="00DB6507">
            <w:pPr>
              <w:rPr>
                <w:rFonts w:asciiTheme="minorHAnsi" w:hAnsiTheme="minorHAnsi"/>
                <w:sz w:val="22"/>
                <w:szCs w:val="22"/>
              </w:rPr>
            </w:pPr>
          </w:p>
        </w:tc>
        <w:tc>
          <w:tcPr>
            <w:tcW w:w="0" w:type="auto"/>
          </w:tcPr>
          <w:p w14:paraId="7B127369" w14:textId="3875AD68" w:rsidR="00DB6507" w:rsidRPr="004D764D" w:rsidRDefault="006A5170">
            <w:pPr>
              <w:rPr>
                <w:rFonts w:asciiTheme="minorHAnsi" w:hAnsiTheme="minorHAnsi"/>
                <w:sz w:val="22"/>
                <w:szCs w:val="22"/>
              </w:rPr>
            </w:pPr>
            <w:r w:rsidRPr="004D764D">
              <w:rPr>
                <w:rFonts w:asciiTheme="minorHAnsi" w:hAnsiTheme="minorHAnsi"/>
                <w:sz w:val="22"/>
                <w:szCs w:val="22"/>
              </w:rPr>
              <w:t>Comment that low numbers may indicate low interest rather than low accessibility</w:t>
            </w:r>
          </w:p>
        </w:tc>
        <w:tc>
          <w:tcPr>
            <w:tcW w:w="0" w:type="auto"/>
          </w:tcPr>
          <w:p w14:paraId="6F740971" w14:textId="77777777" w:rsidR="00F427ED" w:rsidRPr="004D764D" w:rsidRDefault="00F427ED" w:rsidP="00F427ED">
            <w:pPr>
              <w:rPr>
                <w:rFonts w:asciiTheme="minorHAnsi" w:hAnsiTheme="minorHAnsi"/>
                <w:sz w:val="22"/>
                <w:szCs w:val="22"/>
                <w:lang w:eastAsia="en-US"/>
              </w:rPr>
            </w:pPr>
            <w:r w:rsidRPr="004D764D">
              <w:rPr>
                <w:rFonts w:asciiTheme="minorHAnsi" w:hAnsiTheme="minorHAnsi"/>
                <w:color w:val="000000"/>
                <w:sz w:val="22"/>
                <w:szCs w:val="22"/>
                <w:shd w:val="clear" w:color="auto" w:fill="FFFFFF"/>
                <w:lang w:eastAsia="en-US"/>
              </w:rPr>
              <w:t>Close question, as per data currently on-hand</w:t>
            </w:r>
          </w:p>
          <w:p w14:paraId="0DE28945" w14:textId="77777777" w:rsidR="00DB6507" w:rsidRPr="004D764D" w:rsidRDefault="00DB6507">
            <w:pPr>
              <w:rPr>
                <w:rFonts w:asciiTheme="minorHAnsi" w:hAnsiTheme="minorHAnsi"/>
                <w:sz w:val="22"/>
                <w:szCs w:val="22"/>
              </w:rPr>
            </w:pPr>
          </w:p>
        </w:tc>
      </w:tr>
      <w:tr w:rsidR="008842FE" w:rsidRPr="004D764D" w14:paraId="471AFDF4" w14:textId="77777777" w:rsidTr="00404EA7">
        <w:tc>
          <w:tcPr>
            <w:tcW w:w="0" w:type="auto"/>
          </w:tcPr>
          <w:p w14:paraId="3BCDCFDB" w14:textId="5BA81D63" w:rsidR="00DB6507" w:rsidRPr="004D764D" w:rsidRDefault="00DB6507" w:rsidP="008F5731">
            <w:pPr>
              <w:pStyle w:val="ListParagraph"/>
              <w:numPr>
                <w:ilvl w:val="0"/>
                <w:numId w:val="3"/>
              </w:numPr>
              <w:rPr>
                <w:sz w:val="22"/>
                <w:szCs w:val="22"/>
              </w:rPr>
            </w:pPr>
            <w:r w:rsidRPr="004D764D">
              <w:rPr>
                <w:sz w:val="22"/>
                <w:szCs w:val="22"/>
              </w:rPr>
              <w:t>What concerns are being raised about the TMCH Database being confidential, what are the reasons for having/keeping the TMCH Database private, and should the TMCH Database remain confidential or become open?</w:t>
            </w:r>
          </w:p>
        </w:tc>
        <w:tc>
          <w:tcPr>
            <w:tcW w:w="0" w:type="auto"/>
          </w:tcPr>
          <w:p w14:paraId="1DD75015" w14:textId="1111520F" w:rsidR="00D12E64" w:rsidRPr="004D764D" w:rsidRDefault="00D12E64" w:rsidP="00D12E64">
            <w:pPr>
              <w:rPr>
                <w:rFonts w:asciiTheme="minorHAnsi" w:hAnsiTheme="minorHAnsi"/>
                <w:sz w:val="22"/>
                <w:szCs w:val="22"/>
              </w:rPr>
            </w:pPr>
            <w:r w:rsidRPr="004D764D">
              <w:rPr>
                <w:rFonts w:asciiTheme="minorHAnsi" w:hAnsiTheme="minorHAnsi"/>
                <w:sz w:val="22"/>
                <w:szCs w:val="22"/>
              </w:rPr>
              <w:t xml:space="preserve">This is a question that is the subject of debate. We can either have the debate now, or table it to be reviewed </w:t>
            </w:r>
            <w:r w:rsidR="00CA6A8A" w:rsidRPr="004D764D">
              <w:rPr>
                <w:rFonts w:asciiTheme="minorHAnsi" w:hAnsiTheme="minorHAnsi"/>
                <w:sz w:val="22"/>
                <w:szCs w:val="22"/>
              </w:rPr>
              <w:t>after</w:t>
            </w:r>
            <w:r w:rsidRPr="004D764D">
              <w:rPr>
                <w:rFonts w:asciiTheme="minorHAnsi" w:hAnsiTheme="minorHAnsi"/>
                <w:sz w:val="22"/>
                <w:szCs w:val="22"/>
              </w:rPr>
              <w:t xml:space="preserve"> the RPMs are reviewed -- to better understand the impact of the confidentiality on Sunrise, private lists, etc. </w:t>
            </w:r>
          </w:p>
          <w:p w14:paraId="604B89C7" w14:textId="77777777" w:rsidR="00D12E64" w:rsidRPr="004D764D" w:rsidRDefault="00D12E64" w:rsidP="00D12E64">
            <w:pPr>
              <w:rPr>
                <w:rFonts w:asciiTheme="minorHAnsi" w:hAnsiTheme="minorHAnsi"/>
                <w:sz w:val="22"/>
                <w:szCs w:val="22"/>
              </w:rPr>
            </w:pPr>
          </w:p>
          <w:p w14:paraId="6C527FE6" w14:textId="370BF903" w:rsidR="00D12E64" w:rsidRPr="004D764D" w:rsidRDefault="00D12E64" w:rsidP="00D12E64">
            <w:pPr>
              <w:rPr>
                <w:rFonts w:asciiTheme="minorHAnsi" w:hAnsiTheme="minorHAnsi"/>
                <w:sz w:val="22"/>
                <w:szCs w:val="22"/>
              </w:rPr>
            </w:pPr>
            <w:r w:rsidRPr="004D764D">
              <w:rPr>
                <w:rFonts w:asciiTheme="minorHAnsi" w:hAnsiTheme="minorHAnsi"/>
                <w:sz w:val="22"/>
                <w:szCs w:val="22"/>
                <w:u w:val="single"/>
              </w:rPr>
              <w:t>Recommend:</w:t>
            </w:r>
            <w:r w:rsidR="00CA6A8A" w:rsidRPr="004D764D">
              <w:rPr>
                <w:rFonts w:asciiTheme="minorHAnsi" w:hAnsiTheme="minorHAnsi"/>
                <w:sz w:val="22"/>
                <w:szCs w:val="22"/>
              </w:rPr>
              <w:t xml:space="preserve"> either </w:t>
            </w:r>
            <w:r w:rsidRPr="004D764D">
              <w:rPr>
                <w:rFonts w:asciiTheme="minorHAnsi" w:hAnsiTheme="minorHAnsi"/>
                <w:sz w:val="22"/>
                <w:szCs w:val="22"/>
              </w:rPr>
              <w:t xml:space="preserve">continue discussion or table </w:t>
            </w:r>
            <w:r w:rsidR="00CA6A8A" w:rsidRPr="004D764D">
              <w:rPr>
                <w:rFonts w:asciiTheme="minorHAnsi" w:hAnsiTheme="minorHAnsi"/>
                <w:sz w:val="22"/>
                <w:szCs w:val="22"/>
              </w:rPr>
              <w:t>and return to later</w:t>
            </w:r>
          </w:p>
          <w:p w14:paraId="61ABE823" w14:textId="77777777" w:rsidR="00DB6507" w:rsidRPr="004D764D" w:rsidRDefault="00DB6507">
            <w:pPr>
              <w:rPr>
                <w:rFonts w:asciiTheme="minorHAnsi" w:hAnsiTheme="minorHAnsi"/>
                <w:sz w:val="22"/>
                <w:szCs w:val="22"/>
              </w:rPr>
            </w:pPr>
          </w:p>
        </w:tc>
        <w:tc>
          <w:tcPr>
            <w:tcW w:w="0" w:type="auto"/>
          </w:tcPr>
          <w:p w14:paraId="17143B6A" w14:textId="77777777" w:rsidR="00541A3E" w:rsidRPr="004D764D" w:rsidRDefault="00541A3E" w:rsidP="00541A3E">
            <w:pPr>
              <w:rPr>
                <w:rFonts w:asciiTheme="minorHAnsi" w:hAnsiTheme="minorHAnsi"/>
                <w:sz w:val="22"/>
                <w:szCs w:val="22"/>
              </w:rPr>
            </w:pPr>
            <w:r w:rsidRPr="004D764D">
              <w:rPr>
                <w:rFonts w:asciiTheme="minorHAnsi" w:hAnsiTheme="minorHAnsi"/>
                <w:sz w:val="22"/>
                <w:szCs w:val="22"/>
              </w:rPr>
              <w:t>While general transparency and openness may be beneficial to good faith actors (e.g. informing them what TMCH registrations should be avoided ahead of receiving claims notices), s</w:t>
            </w:r>
            <w:r w:rsidR="00086ADA" w:rsidRPr="004D764D">
              <w:rPr>
                <w:rFonts w:asciiTheme="minorHAnsi" w:hAnsiTheme="minorHAnsi"/>
                <w:sz w:val="22"/>
                <w:szCs w:val="22"/>
              </w:rPr>
              <w:t>everal WG members described rights-holders’ reasons for keeping the TMDB closed</w:t>
            </w:r>
            <w:r w:rsidR="00042663" w:rsidRPr="004D764D">
              <w:rPr>
                <w:rFonts w:asciiTheme="minorHAnsi" w:hAnsiTheme="minorHAnsi"/>
                <w:sz w:val="22"/>
                <w:szCs w:val="22"/>
              </w:rPr>
              <w:t>, including the risk of thereby disclosing</w:t>
            </w:r>
            <w:r w:rsidR="004B052D" w:rsidRPr="004D764D">
              <w:rPr>
                <w:rFonts w:asciiTheme="minorHAnsi" w:hAnsiTheme="minorHAnsi"/>
                <w:sz w:val="22"/>
                <w:szCs w:val="22"/>
              </w:rPr>
              <w:t xml:space="preserve"> commercially sensitive information such as</w:t>
            </w:r>
            <w:r w:rsidR="00042663" w:rsidRPr="004D764D">
              <w:rPr>
                <w:rFonts w:asciiTheme="minorHAnsi" w:hAnsiTheme="minorHAnsi"/>
                <w:sz w:val="22"/>
                <w:szCs w:val="22"/>
              </w:rPr>
              <w:t xml:space="preserve"> TM</w:t>
            </w:r>
            <w:r w:rsidR="004B052D" w:rsidRPr="004D764D">
              <w:rPr>
                <w:rFonts w:asciiTheme="minorHAnsi" w:hAnsiTheme="minorHAnsi"/>
                <w:sz w:val="22"/>
                <w:szCs w:val="22"/>
              </w:rPr>
              <w:t xml:space="preserve"> value and </w:t>
            </w:r>
            <w:r w:rsidR="00042663" w:rsidRPr="004D764D">
              <w:rPr>
                <w:rFonts w:asciiTheme="minorHAnsi" w:hAnsiTheme="minorHAnsi"/>
                <w:sz w:val="22"/>
                <w:szCs w:val="22"/>
              </w:rPr>
              <w:t>brand strategies</w:t>
            </w:r>
          </w:p>
          <w:p w14:paraId="52EBBF3F" w14:textId="77777777" w:rsidR="00CA6A8A" w:rsidRPr="004D764D" w:rsidRDefault="00CA6A8A" w:rsidP="00541A3E">
            <w:pPr>
              <w:rPr>
                <w:rFonts w:asciiTheme="minorHAnsi" w:hAnsiTheme="minorHAnsi"/>
                <w:sz w:val="22"/>
                <w:szCs w:val="22"/>
              </w:rPr>
            </w:pPr>
          </w:p>
          <w:p w14:paraId="3914B3A5" w14:textId="1BFE6FB4" w:rsidR="00CA6A8A" w:rsidRPr="004D764D" w:rsidRDefault="00CA6A8A" w:rsidP="00541A3E">
            <w:pPr>
              <w:rPr>
                <w:rFonts w:asciiTheme="minorHAnsi" w:hAnsiTheme="minorHAnsi"/>
                <w:sz w:val="22"/>
                <w:szCs w:val="22"/>
              </w:rPr>
            </w:pPr>
            <w:r w:rsidRPr="004D764D">
              <w:rPr>
                <w:rFonts w:asciiTheme="minorHAnsi" w:hAnsiTheme="minorHAnsi"/>
                <w:sz w:val="22"/>
                <w:szCs w:val="22"/>
              </w:rPr>
              <w:t>Note recent letter sent to WG co-chairs citing concerns with TMCH, sent by TM scholars and practitioners</w:t>
            </w:r>
          </w:p>
          <w:p w14:paraId="464687AB" w14:textId="77777777" w:rsidR="00541A3E" w:rsidRPr="004D764D" w:rsidRDefault="00541A3E" w:rsidP="00541A3E">
            <w:pPr>
              <w:rPr>
                <w:rFonts w:asciiTheme="minorHAnsi" w:hAnsiTheme="minorHAnsi"/>
                <w:sz w:val="22"/>
                <w:szCs w:val="22"/>
              </w:rPr>
            </w:pPr>
          </w:p>
          <w:p w14:paraId="3C7EF572" w14:textId="77777777" w:rsidR="00541A3E" w:rsidRPr="004D764D" w:rsidRDefault="00541A3E" w:rsidP="00541A3E">
            <w:pPr>
              <w:rPr>
                <w:rFonts w:asciiTheme="minorHAnsi" w:hAnsiTheme="minorHAnsi"/>
                <w:sz w:val="22"/>
                <w:szCs w:val="22"/>
              </w:rPr>
            </w:pPr>
            <w:r w:rsidRPr="004D764D">
              <w:rPr>
                <w:rFonts w:asciiTheme="minorHAnsi" w:hAnsiTheme="minorHAnsi"/>
                <w:sz w:val="22"/>
                <w:szCs w:val="22"/>
              </w:rPr>
              <w:t>A</w:t>
            </w:r>
            <w:r w:rsidR="00042663" w:rsidRPr="004D764D">
              <w:rPr>
                <w:rFonts w:asciiTheme="minorHAnsi" w:hAnsiTheme="minorHAnsi"/>
                <w:sz w:val="22"/>
                <w:szCs w:val="22"/>
              </w:rPr>
              <w:t xml:space="preserve">ny information made available should only be about the mark </w:t>
            </w:r>
            <w:r w:rsidR="004B052D" w:rsidRPr="004D764D">
              <w:rPr>
                <w:rFonts w:asciiTheme="minorHAnsi" w:hAnsiTheme="minorHAnsi"/>
                <w:sz w:val="22"/>
                <w:szCs w:val="22"/>
              </w:rPr>
              <w:t xml:space="preserve">(publicly-available TM information) </w:t>
            </w:r>
            <w:r w:rsidR="00042663" w:rsidRPr="004D764D">
              <w:rPr>
                <w:rFonts w:asciiTheme="minorHAnsi" w:hAnsiTheme="minorHAnsi"/>
                <w:sz w:val="22"/>
                <w:szCs w:val="22"/>
              </w:rPr>
              <w:t xml:space="preserve">and not extend to TM user </w:t>
            </w:r>
            <w:r w:rsidR="004B052D" w:rsidRPr="004D764D">
              <w:rPr>
                <w:rFonts w:asciiTheme="minorHAnsi" w:hAnsiTheme="minorHAnsi"/>
                <w:sz w:val="22"/>
                <w:szCs w:val="22"/>
              </w:rPr>
              <w:t xml:space="preserve">or </w:t>
            </w:r>
            <w:r w:rsidRPr="004D764D">
              <w:rPr>
                <w:rFonts w:asciiTheme="minorHAnsi" w:hAnsiTheme="minorHAnsi"/>
                <w:sz w:val="22"/>
                <w:szCs w:val="22"/>
              </w:rPr>
              <w:t>account information</w:t>
            </w:r>
          </w:p>
          <w:p w14:paraId="6D9ACCCA" w14:textId="77777777" w:rsidR="00541A3E" w:rsidRPr="004D764D" w:rsidRDefault="00541A3E" w:rsidP="00541A3E">
            <w:pPr>
              <w:rPr>
                <w:rFonts w:asciiTheme="minorHAnsi" w:hAnsiTheme="minorHAnsi"/>
                <w:sz w:val="22"/>
                <w:szCs w:val="22"/>
              </w:rPr>
            </w:pPr>
          </w:p>
          <w:p w14:paraId="1E5DBFFE" w14:textId="553E324A" w:rsidR="004D52D4" w:rsidRPr="004D764D" w:rsidRDefault="00541A3E" w:rsidP="00541A3E">
            <w:pPr>
              <w:rPr>
                <w:rFonts w:asciiTheme="minorHAnsi" w:hAnsiTheme="minorHAnsi"/>
                <w:sz w:val="22"/>
                <w:szCs w:val="22"/>
              </w:rPr>
            </w:pPr>
            <w:r w:rsidRPr="004D764D">
              <w:rPr>
                <w:rFonts w:asciiTheme="minorHAnsi" w:hAnsiTheme="minorHAnsi"/>
                <w:sz w:val="22"/>
                <w:szCs w:val="22"/>
              </w:rPr>
              <w:t xml:space="preserve">Suggestion </w:t>
            </w:r>
            <w:r w:rsidR="0020668E" w:rsidRPr="004D764D">
              <w:rPr>
                <w:rFonts w:asciiTheme="minorHAnsi" w:hAnsiTheme="minorHAnsi"/>
                <w:sz w:val="22"/>
                <w:szCs w:val="22"/>
              </w:rPr>
              <w:t>that</w:t>
            </w:r>
            <w:r w:rsidR="004D52D4" w:rsidRPr="004D764D">
              <w:rPr>
                <w:rFonts w:asciiTheme="minorHAnsi" w:hAnsiTheme="minorHAnsi"/>
                <w:sz w:val="22"/>
                <w:szCs w:val="22"/>
              </w:rPr>
              <w:t xml:space="preserve"> If TMCH </w:t>
            </w:r>
            <w:r w:rsidR="0020668E" w:rsidRPr="004D764D">
              <w:rPr>
                <w:rFonts w:asciiTheme="minorHAnsi" w:hAnsiTheme="minorHAnsi"/>
                <w:sz w:val="22"/>
                <w:szCs w:val="22"/>
              </w:rPr>
              <w:t>is to remain</w:t>
            </w:r>
            <w:r w:rsidR="004D52D4" w:rsidRPr="004D764D">
              <w:rPr>
                <w:rFonts w:asciiTheme="minorHAnsi" w:hAnsiTheme="minorHAnsi"/>
                <w:sz w:val="22"/>
                <w:szCs w:val="22"/>
              </w:rPr>
              <w:t xml:space="preserve"> confidential, restrictions should be put in place on the TMCH </w:t>
            </w:r>
            <w:r w:rsidR="0020668E" w:rsidRPr="004D764D">
              <w:rPr>
                <w:rFonts w:asciiTheme="minorHAnsi" w:hAnsiTheme="minorHAnsi"/>
                <w:sz w:val="22"/>
                <w:szCs w:val="22"/>
              </w:rPr>
              <w:t xml:space="preserve">provider </w:t>
            </w:r>
            <w:r w:rsidR="004D52D4" w:rsidRPr="004D764D">
              <w:rPr>
                <w:rFonts w:asciiTheme="minorHAnsi" w:hAnsiTheme="minorHAnsi"/>
                <w:sz w:val="22"/>
                <w:szCs w:val="22"/>
              </w:rPr>
              <w:t>being allowed to provide additional (ancillary) services</w:t>
            </w:r>
          </w:p>
          <w:p w14:paraId="1AF56FEB" w14:textId="2703D00E" w:rsidR="00DB6507" w:rsidRPr="004D764D" w:rsidRDefault="00DB6507" w:rsidP="00086ADA">
            <w:pPr>
              <w:rPr>
                <w:rFonts w:asciiTheme="minorHAnsi" w:hAnsiTheme="minorHAnsi"/>
                <w:sz w:val="22"/>
                <w:szCs w:val="22"/>
              </w:rPr>
            </w:pPr>
          </w:p>
        </w:tc>
        <w:tc>
          <w:tcPr>
            <w:tcW w:w="0" w:type="auto"/>
          </w:tcPr>
          <w:p w14:paraId="68A35772" w14:textId="77777777" w:rsidR="00DB6507" w:rsidRPr="004D764D" w:rsidRDefault="00F427ED" w:rsidP="00F427ED">
            <w:pPr>
              <w:pStyle w:val="ListParagraph"/>
              <w:numPr>
                <w:ilvl w:val="0"/>
                <w:numId w:val="18"/>
              </w:numPr>
              <w:rPr>
                <w:sz w:val="22"/>
                <w:szCs w:val="22"/>
              </w:rPr>
            </w:pPr>
            <w:r w:rsidRPr="004D764D">
              <w:rPr>
                <w:sz w:val="22"/>
                <w:szCs w:val="22"/>
              </w:rPr>
              <w:t>Still an open question (currently no WG consensus)</w:t>
            </w:r>
          </w:p>
          <w:p w14:paraId="2DFCDBEC" w14:textId="77777777" w:rsidR="00F427ED" w:rsidRPr="004D764D" w:rsidRDefault="00F427ED" w:rsidP="00F427ED">
            <w:pPr>
              <w:pStyle w:val="ListParagraph"/>
              <w:numPr>
                <w:ilvl w:val="0"/>
                <w:numId w:val="18"/>
              </w:numPr>
              <w:rPr>
                <w:sz w:val="22"/>
                <w:szCs w:val="22"/>
              </w:rPr>
            </w:pPr>
            <w:r w:rsidRPr="004D764D">
              <w:rPr>
                <w:sz w:val="22"/>
                <w:szCs w:val="22"/>
              </w:rPr>
              <w:t>Information in the TMCH is a subset of publicly available information accessible elsewhere</w:t>
            </w:r>
          </w:p>
          <w:p w14:paraId="4D83AA29" w14:textId="77777777" w:rsidR="00F427ED" w:rsidRPr="004D764D" w:rsidRDefault="00F427ED" w:rsidP="00F427ED">
            <w:pPr>
              <w:pStyle w:val="ListParagraph"/>
              <w:numPr>
                <w:ilvl w:val="0"/>
                <w:numId w:val="18"/>
              </w:numPr>
              <w:rPr>
                <w:sz w:val="22"/>
                <w:szCs w:val="22"/>
              </w:rPr>
            </w:pPr>
            <w:r w:rsidRPr="004D764D">
              <w:rPr>
                <w:sz w:val="22"/>
                <w:szCs w:val="22"/>
              </w:rPr>
              <w:t>If costs of TMCH entries are lowered, possible to include all trademarks as opposed to subset – could solve problems regarding TMCH transparency</w:t>
            </w:r>
          </w:p>
          <w:p w14:paraId="50C7BF65" w14:textId="77777777" w:rsidR="00F427ED" w:rsidRPr="004D764D" w:rsidRDefault="00F427ED" w:rsidP="00F427ED">
            <w:pPr>
              <w:pStyle w:val="ListParagraph"/>
              <w:numPr>
                <w:ilvl w:val="0"/>
                <w:numId w:val="18"/>
              </w:numPr>
              <w:rPr>
                <w:sz w:val="22"/>
                <w:szCs w:val="22"/>
              </w:rPr>
            </w:pPr>
            <w:r w:rsidRPr="004D764D">
              <w:rPr>
                <w:sz w:val="22"/>
                <w:szCs w:val="22"/>
              </w:rPr>
              <w:t>Discussions held by the Implementation Assistance Group (IAG) did not adequately consider transparency of TMCH</w:t>
            </w:r>
          </w:p>
          <w:p w14:paraId="6061DB07" w14:textId="77777777" w:rsidR="00F427ED" w:rsidRPr="004D764D" w:rsidRDefault="00F427ED" w:rsidP="00F427ED">
            <w:pPr>
              <w:pStyle w:val="ListParagraph"/>
              <w:numPr>
                <w:ilvl w:val="0"/>
                <w:numId w:val="18"/>
              </w:numPr>
              <w:rPr>
                <w:sz w:val="22"/>
                <w:szCs w:val="22"/>
              </w:rPr>
            </w:pPr>
            <w:r w:rsidRPr="004D764D">
              <w:rPr>
                <w:sz w:val="22"/>
                <w:szCs w:val="22"/>
              </w:rPr>
              <w:t>Registry representatives were advocates for TMCH transparency, but convinced otherwise (refer to STI and IAG for reasons cited at the time, as well as other resources)</w:t>
            </w:r>
          </w:p>
          <w:p w14:paraId="72129976" w14:textId="77777777" w:rsidR="00F427ED" w:rsidRPr="004D764D" w:rsidRDefault="00F427ED" w:rsidP="00F427ED">
            <w:pPr>
              <w:pStyle w:val="ListParagraph"/>
              <w:numPr>
                <w:ilvl w:val="0"/>
                <w:numId w:val="18"/>
              </w:numPr>
              <w:rPr>
                <w:sz w:val="22"/>
                <w:szCs w:val="22"/>
              </w:rPr>
            </w:pPr>
            <w:r w:rsidRPr="004D764D">
              <w:rPr>
                <w:sz w:val="22"/>
                <w:szCs w:val="22"/>
              </w:rPr>
              <w:t>(Suggestion from the AC Chat) Jon Nevett: what about releasing a simple list of dictionary terms in the TMCH?  Not opening up the entire database with all the records</w:t>
            </w:r>
          </w:p>
          <w:p w14:paraId="7B4642D9" w14:textId="77777777" w:rsidR="00F427ED" w:rsidRDefault="00F427ED" w:rsidP="00F427ED">
            <w:pPr>
              <w:pStyle w:val="ListParagraph"/>
              <w:numPr>
                <w:ilvl w:val="0"/>
                <w:numId w:val="18"/>
              </w:numPr>
              <w:rPr>
                <w:sz w:val="22"/>
                <w:szCs w:val="22"/>
              </w:rPr>
            </w:pPr>
            <w:r w:rsidRPr="004D764D">
              <w:rPr>
                <w:sz w:val="22"/>
                <w:szCs w:val="22"/>
              </w:rPr>
              <w:t>Continue discussion on this question on-list and on future calls</w:t>
            </w:r>
          </w:p>
          <w:p w14:paraId="54D33EBF" w14:textId="35EFF05C" w:rsidR="005A5B6C" w:rsidRPr="004D764D" w:rsidRDefault="005A5B6C" w:rsidP="00F427ED">
            <w:pPr>
              <w:pStyle w:val="ListParagraph"/>
              <w:numPr>
                <w:ilvl w:val="0"/>
                <w:numId w:val="18"/>
              </w:numPr>
              <w:rPr>
                <w:sz w:val="22"/>
                <w:szCs w:val="22"/>
              </w:rPr>
            </w:pPr>
            <w:r>
              <w:rPr>
                <w:sz w:val="22"/>
                <w:szCs w:val="22"/>
              </w:rPr>
              <w:t xml:space="preserve">ACTION ITEM: </w:t>
            </w:r>
            <w:r w:rsidRPr="005A5B6C">
              <w:rPr>
                <w:sz w:val="22"/>
                <w:szCs w:val="22"/>
              </w:rPr>
              <w:t>Request information from Deloitte on whether there are any legally or contractually binding provisions on Deloitte in relation to transparency/confidentiality of the TMCH?</w:t>
            </w:r>
            <w:bookmarkStart w:id="0" w:name="_GoBack"/>
            <w:bookmarkEnd w:id="0"/>
          </w:p>
        </w:tc>
      </w:tr>
      <w:tr w:rsidR="004F304F" w:rsidRPr="004D764D" w14:paraId="31965249" w14:textId="77777777" w:rsidTr="00A46BAD">
        <w:tc>
          <w:tcPr>
            <w:tcW w:w="0" w:type="auto"/>
            <w:gridSpan w:val="4"/>
          </w:tcPr>
          <w:p w14:paraId="276120A8" w14:textId="77777777" w:rsidR="004F304F" w:rsidRPr="004D764D" w:rsidRDefault="004F304F" w:rsidP="00FA34F6">
            <w:pPr>
              <w:rPr>
                <w:rFonts w:asciiTheme="minorHAnsi" w:hAnsiTheme="minorHAnsi"/>
                <w:b/>
                <w:sz w:val="22"/>
                <w:szCs w:val="22"/>
              </w:rPr>
            </w:pPr>
            <w:r w:rsidRPr="004D764D">
              <w:rPr>
                <w:rFonts w:asciiTheme="minorHAnsi" w:hAnsiTheme="minorHAnsi"/>
                <w:b/>
                <w:sz w:val="22"/>
                <w:szCs w:val="22"/>
              </w:rPr>
              <w:t>TMCH Category 6: Balance</w:t>
            </w:r>
          </w:p>
          <w:p w14:paraId="696A644A" w14:textId="77777777" w:rsidR="004F304F" w:rsidRPr="004D764D" w:rsidRDefault="004F304F">
            <w:pPr>
              <w:rPr>
                <w:rFonts w:asciiTheme="minorHAnsi" w:hAnsiTheme="minorHAnsi"/>
                <w:sz w:val="22"/>
                <w:szCs w:val="22"/>
              </w:rPr>
            </w:pPr>
          </w:p>
        </w:tc>
      </w:tr>
      <w:tr w:rsidR="008842FE" w:rsidRPr="004D764D" w14:paraId="5B89921F" w14:textId="77777777" w:rsidTr="00404EA7">
        <w:tc>
          <w:tcPr>
            <w:tcW w:w="0" w:type="auto"/>
          </w:tcPr>
          <w:p w14:paraId="6EDF8778" w14:textId="6D4C3D8E" w:rsidR="00DB6507" w:rsidRPr="004D764D" w:rsidRDefault="00DB6507" w:rsidP="008F5731">
            <w:pPr>
              <w:pStyle w:val="ListParagraph"/>
              <w:numPr>
                <w:ilvl w:val="0"/>
                <w:numId w:val="4"/>
              </w:numPr>
              <w:rPr>
                <w:sz w:val="22"/>
                <w:szCs w:val="22"/>
              </w:rPr>
            </w:pPr>
            <w:r w:rsidRPr="004D764D">
              <w:rPr>
                <w:sz w:val="22"/>
                <w:szCs w:val="22"/>
              </w:rPr>
              <w:t>Does the scope of the TMCH and the protection mechanisms which flow from it, reflect the appropriate balance between the rights of trademark holders and the rights of non-trademark registrants?</w:t>
            </w:r>
          </w:p>
        </w:tc>
        <w:tc>
          <w:tcPr>
            <w:tcW w:w="0" w:type="auto"/>
          </w:tcPr>
          <w:p w14:paraId="14F0409A" w14:textId="6F499CA8" w:rsidR="00D12E64" w:rsidRPr="004D764D" w:rsidRDefault="00CA6A8A" w:rsidP="00D12E64">
            <w:pPr>
              <w:rPr>
                <w:rFonts w:asciiTheme="minorHAnsi" w:hAnsiTheme="minorHAnsi"/>
                <w:sz w:val="22"/>
                <w:szCs w:val="22"/>
              </w:rPr>
            </w:pPr>
            <w:r w:rsidRPr="004D764D">
              <w:rPr>
                <w:rFonts w:asciiTheme="minorHAnsi" w:hAnsiTheme="minorHAnsi"/>
                <w:sz w:val="22"/>
                <w:szCs w:val="22"/>
                <w:u w:val="single"/>
              </w:rPr>
              <w:t>Rec</w:t>
            </w:r>
            <w:r w:rsidR="00D12E64" w:rsidRPr="004D764D">
              <w:rPr>
                <w:rFonts w:asciiTheme="minorHAnsi" w:hAnsiTheme="minorHAnsi"/>
                <w:sz w:val="22"/>
                <w:szCs w:val="22"/>
                <w:u w:val="single"/>
              </w:rPr>
              <w:t>ommend</w:t>
            </w:r>
            <w:r w:rsidRPr="004D764D">
              <w:rPr>
                <w:rFonts w:asciiTheme="minorHAnsi" w:hAnsiTheme="minorHAnsi"/>
                <w:sz w:val="22"/>
                <w:szCs w:val="22"/>
              </w:rPr>
              <w:t xml:space="preserve">: </w:t>
            </w:r>
            <w:r w:rsidR="00D12E64" w:rsidRPr="004D764D">
              <w:rPr>
                <w:rFonts w:asciiTheme="minorHAnsi" w:hAnsiTheme="minorHAnsi"/>
                <w:sz w:val="22"/>
                <w:szCs w:val="22"/>
              </w:rPr>
              <w:t>table this question to the end of</w:t>
            </w:r>
            <w:r w:rsidRPr="004D764D">
              <w:rPr>
                <w:rFonts w:asciiTheme="minorHAnsi" w:hAnsiTheme="minorHAnsi"/>
                <w:sz w:val="22"/>
                <w:szCs w:val="22"/>
              </w:rPr>
              <w:t xml:space="preserve"> the RPM mechanisms discussion.</w:t>
            </w:r>
          </w:p>
          <w:p w14:paraId="105CF557" w14:textId="77777777" w:rsidR="00DB6507" w:rsidRPr="004D764D" w:rsidRDefault="00DB6507">
            <w:pPr>
              <w:rPr>
                <w:rFonts w:asciiTheme="minorHAnsi" w:hAnsiTheme="minorHAnsi"/>
                <w:sz w:val="22"/>
                <w:szCs w:val="22"/>
              </w:rPr>
            </w:pPr>
          </w:p>
        </w:tc>
        <w:tc>
          <w:tcPr>
            <w:tcW w:w="0" w:type="auto"/>
          </w:tcPr>
          <w:p w14:paraId="593CD010" w14:textId="55B99537" w:rsidR="00DB6507" w:rsidRPr="004D764D" w:rsidRDefault="00D12E64">
            <w:pPr>
              <w:rPr>
                <w:rFonts w:asciiTheme="minorHAnsi" w:hAnsiTheme="minorHAnsi"/>
                <w:sz w:val="22"/>
                <w:szCs w:val="22"/>
              </w:rPr>
            </w:pPr>
            <w:r w:rsidRPr="004D764D">
              <w:rPr>
                <w:rFonts w:asciiTheme="minorHAnsi" w:hAnsiTheme="minorHAnsi"/>
                <w:sz w:val="22"/>
                <w:szCs w:val="22"/>
              </w:rPr>
              <w:t>WG had noted previously that it will be appropriate to return to this question following the Sunrise and Claims reviews.</w:t>
            </w:r>
          </w:p>
        </w:tc>
        <w:tc>
          <w:tcPr>
            <w:tcW w:w="0" w:type="auto"/>
          </w:tcPr>
          <w:p w14:paraId="63051982" w14:textId="77777777" w:rsidR="00F427ED" w:rsidRPr="004D764D" w:rsidRDefault="00F427ED" w:rsidP="00F427ED">
            <w:pPr>
              <w:rPr>
                <w:rFonts w:asciiTheme="minorHAnsi" w:hAnsiTheme="minorHAnsi"/>
                <w:sz w:val="22"/>
                <w:szCs w:val="22"/>
                <w:lang w:eastAsia="en-US"/>
              </w:rPr>
            </w:pPr>
            <w:r w:rsidRPr="004D764D">
              <w:rPr>
                <w:rFonts w:asciiTheme="minorHAnsi" w:hAnsiTheme="minorHAnsi"/>
                <w:color w:val="000000"/>
                <w:sz w:val="22"/>
                <w:szCs w:val="22"/>
                <w:shd w:val="clear" w:color="auto" w:fill="FFFFFF"/>
                <w:lang w:eastAsia="en-US"/>
              </w:rPr>
              <w:t>ACTION ITEM: Proceed as suggested by WG leadership - table question until the end of the RPMs discussion</w:t>
            </w:r>
          </w:p>
          <w:p w14:paraId="0D06DE44" w14:textId="77777777" w:rsidR="00DB6507" w:rsidRPr="004D764D" w:rsidRDefault="00DB6507">
            <w:pPr>
              <w:rPr>
                <w:rFonts w:asciiTheme="minorHAnsi" w:hAnsiTheme="minorHAnsi"/>
                <w:sz w:val="22"/>
                <w:szCs w:val="22"/>
              </w:rPr>
            </w:pPr>
          </w:p>
        </w:tc>
      </w:tr>
    </w:tbl>
    <w:p w14:paraId="47B78AAD" w14:textId="77777777" w:rsidR="00DB6507" w:rsidRPr="004D764D" w:rsidRDefault="00DB6507">
      <w:pPr>
        <w:rPr>
          <w:rFonts w:asciiTheme="minorHAnsi" w:hAnsiTheme="minorHAnsi"/>
          <w:sz w:val="22"/>
          <w:szCs w:val="22"/>
        </w:rPr>
      </w:pPr>
    </w:p>
    <w:p w14:paraId="2D4A3BCA" w14:textId="13E46CA8" w:rsidR="00073156" w:rsidRPr="004D764D" w:rsidRDefault="00073156" w:rsidP="00073156">
      <w:pPr>
        <w:jc w:val="center"/>
        <w:rPr>
          <w:rFonts w:asciiTheme="minorHAnsi" w:hAnsiTheme="minorHAnsi"/>
          <w:b/>
          <w:sz w:val="22"/>
          <w:szCs w:val="22"/>
        </w:rPr>
      </w:pPr>
      <w:r w:rsidRPr="004D764D">
        <w:rPr>
          <w:rFonts w:asciiTheme="minorHAnsi" w:hAnsiTheme="minorHAnsi"/>
          <w:b/>
          <w:sz w:val="22"/>
          <w:szCs w:val="22"/>
        </w:rPr>
        <w:t>CATEGORIES ! &amp; 2</w:t>
      </w:r>
    </w:p>
    <w:p w14:paraId="5E6E2353" w14:textId="77777777" w:rsidR="0006697A" w:rsidRPr="004D764D" w:rsidRDefault="0006697A">
      <w:pPr>
        <w:rPr>
          <w:rFonts w:asciiTheme="minorHAnsi" w:hAnsiTheme="minorHAnsi"/>
          <w:sz w:val="22"/>
          <w:szCs w:val="22"/>
        </w:rPr>
      </w:pPr>
    </w:p>
    <w:tbl>
      <w:tblPr>
        <w:tblStyle w:val="TableGrid"/>
        <w:tblW w:w="0" w:type="auto"/>
        <w:tblLook w:val="04A0" w:firstRow="1" w:lastRow="0" w:firstColumn="1" w:lastColumn="0" w:noHBand="0" w:noVBand="1"/>
      </w:tblPr>
      <w:tblGrid>
        <w:gridCol w:w="4819"/>
        <w:gridCol w:w="4217"/>
        <w:gridCol w:w="3914"/>
      </w:tblGrid>
      <w:tr w:rsidR="004D764D" w:rsidRPr="004D764D" w14:paraId="5B0370BB" w14:textId="3B41045F" w:rsidTr="00CA6A8A">
        <w:trPr>
          <w:trHeight w:val="566"/>
        </w:trPr>
        <w:tc>
          <w:tcPr>
            <w:tcW w:w="0" w:type="auto"/>
          </w:tcPr>
          <w:p w14:paraId="4EB737DA" w14:textId="19C28C68" w:rsidR="00CA6A8A" w:rsidRPr="004D764D" w:rsidRDefault="00CA6A8A">
            <w:pPr>
              <w:rPr>
                <w:rFonts w:asciiTheme="minorHAnsi" w:hAnsiTheme="minorHAnsi"/>
                <w:b/>
                <w:sz w:val="22"/>
                <w:szCs w:val="22"/>
              </w:rPr>
            </w:pPr>
            <w:r w:rsidRPr="004D764D">
              <w:rPr>
                <w:rFonts w:asciiTheme="minorHAnsi" w:hAnsiTheme="minorHAnsi"/>
                <w:b/>
                <w:sz w:val="22"/>
                <w:szCs w:val="22"/>
              </w:rPr>
              <w:t>TMCH CHARTER QUESTIONS</w:t>
            </w:r>
          </w:p>
        </w:tc>
        <w:tc>
          <w:tcPr>
            <w:tcW w:w="0" w:type="auto"/>
          </w:tcPr>
          <w:p w14:paraId="59B04993" w14:textId="59EA3292" w:rsidR="00CA6A8A" w:rsidRPr="004D764D" w:rsidRDefault="00CA6A8A">
            <w:pPr>
              <w:rPr>
                <w:rFonts w:asciiTheme="minorHAnsi" w:hAnsiTheme="minorHAnsi"/>
                <w:b/>
                <w:sz w:val="22"/>
                <w:szCs w:val="22"/>
              </w:rPr>
            </w:pPr>
            <w:r w:rsidRPr="004D764D">
              <w:rPr>
                <w:rFonts w:asciiTheme="minorHAnsi" w:hAnsiTheme="minorHAnsi"/>
                <w:b/>
                <w:sz w:val="22"/>
                <w:szCs w:val="22"/>
              </w:rPr>
              <w:t>STAFF NOTES</w:t>
            </w:r>
          </w:p>
        </w:tc>
        <w:tc>
          <w:tcPr>
            <w:tcW w:w="0" w:type="auto"/>
          </w:tcPr>
          <w:p w14:paraId="48517333" w14:textId="07BCE30E" w:rsidR="00CA6A8A" w:rsidRPr="004D764D" w:rsidRDefault="00CA6A8A">
            <w:pPr>
              <w:rPr>
                <w:rFonts w:asciiTheme="minorHAnsi" w:hAnsiTheme="minorHAnsi"/>
                <w:b/>
                <w:sz w:val="22"/>
                <w:szCs w:val="22"/>
              </w:rPr>
            </w:pPr>
            <w:r w:rsidRPr="004D764D">
              <w:rPr>
                <w:rFonts w:asciiTheme="minorHAnsi" w:hAnsiTheme="minorHAnsi"/>
                <w:b/>
                <w:sz w:val="22"/>
                <w:szCs w:val="22"/>
              </w:rPr>
              <w:t>WG DISCUSSION</w:t>
            </w:r>
          </w:p>
        </w:tc>
      </w:tr>
      <w:tr w:rsidR="00CA6A8A" w:rsidRPr="004D764D" w14:paraId="29F45FD8" w14:textId="77777777" w:rsidTr="003C1178">
        <w:tc>
          <w:tcPr>
            <w:tcW w:w="0" w:type="auto"/>
            <w:gridSpan w:val="3"/>
          </w:tcPr>
          <w:p w14:paraId="4B9839F6" w14:textId="6E113D96" w:rsidR="00CA6A8A" w:rsidRPr="004D764D" w:rsidRDefault="00CA6A8A">
            <w:pPr>
              <w:rPr>
                <w:rFonts w:asciiTheme="minorHAnsi" w:hAnsiTheme="minorHAnsi"/>
                <w:b/>
                <w:sz w:val="22"/>
                <w:szCs w:val="22"/>
              </w:rPr>
            </w:pPr>
            <w:r w:rsidRPr="004D764D">
              <w:rPr>
                <w:rFonts w:asciiTheme="minorHAnsi" w:hAnsiTheme="minorHAnsi"/>
                <w:b/>
                <w:sz w:val="22"/>
                <w:szCs w:val="22"/>
              </w:rPr>
              <w:t>Category 1: Education</w:t>
            </w:r>
          </w:p>
        </w:tc>
      </w:tr>
      <w:tr w:rsidR="004D764D" w:rsidRPr="004D764D" w14:paraId="69D0ECFB" w14:textId="38EC70B4" w:rsidTr="004F304F">
        <w:tc>
          <w:tcPr>
            <w:tcW w:w="0" w:type="auto"/>
          </w:tcPr>
          <w:p w14:paraId="72A7BB4D" w14:textId="607893AC" w:rsidR="00CA6A8A" w:rsidRPr="004D764D" w:rsidRDefault="00CA6A8A" w:rsidP="0006697A">
            <w:pPr>
              <w:pStyle w:val="ListParagraph"/>
              <w:numPr>
                <w:ilvl w:val="0"/>
                <w:numId w:val="11"/>
              </w:numPr>
              <w:rPr>
                <w:sz w:val="22"/>
                <w:szCs w:val="22"/>
              </w:rPr>
            </w:pPr>
            <w:r w:rsidRPr="004D764D">
              <w:rPr>
                <w:sz w:val="22"/>
                <w:szCs w:val="22"/>
              </w:rPr>
              <w:t>Is the TMCH clearly communicating: (i) the criteria it applies when determining whether or not to accept marks for entry into the TMCH; (ii) options for rights-holders when their submissions are rejected; and (iii) options for third parties who may have challenges to or questions about recordals in the TMCH?</w:t>
            </w:r>
          </w:p>
        </w:tc>
        <w:tc>
          <w:tcPr>
            <w:tcW w:w="0" w:type="auto"/>
          </w:tcPr>
          <w:p w14:paraId="46D1B200" w14:textId="3AB2DECE" w:rsidR="00CA6A8A" w:rsidRPr="004D764D" w:rsidRDefault="00CA6A8A" w:rsidP="00FF46D3">
            <w:pPr>
              <w:rPr>
                <w:rFonts w:asciiTheme="minorHAnsi" w:hAnsiTheme="minorHAnsi"/>
                <w:sz w:val="22"/>
                <w:szCs w:val="22"/>
              </w:rPr>
            </w:pPr>
            <w:r w:rsidRPr="004D764D">
              <w:rPr>
                <w:rFonts w:asciiTheme="minorHAnsi" w:hAnsiTheme="minorHAnsi"/>
                <w:sz w:val="22"/>
                <w:szCs w:val="22"/>
              </w:rPr>
              <w:t>Criteria are listed in TMCH Guidelines; note that having easily comprehensible and clearly accessible data on the TMCH available to the general public can be useful, so that registrants faced with a Claims Notice are better informed on how to react – different information needed for rights-holders who may use the TMCH, and for the general public (who may only need information about the Claims Notice and what it means)</w:t>
            </w:r>
          </w:p>
          <w:p w14:paraId="7B1A5408" w14:textId="77777777" w:rsidR="00CA6A8A" w:rsidRPr="004D764D" w:rsidRDefault="00CA6A8A" w:rsidP="00FF46D3">
            <w:pPr>
              <w:rPr>
                <w:rFonts w:asciiTheme="minorHAnsi" w:hAnsiTheme="minorHAnsi"/>
                <w:sz w:val="22"/>
                <w:szCs w:val="22"/>
              </w:rPr>
            </w:pPr>
          </w:p>
          <w:p w14:paraId="3C16B6E2" w14:textId="73DBBE89" w:rsidR="00CA6A8A" w:rsidRPr="004D764D" w:rsidRDefault="00CA6A8A" w:rsidP="00FF46D3">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775743CC" w14:textId="77777777" w:rsidR="00CA6A8A" w:rsidRPr="004D764D" w:rsidRDefault="00CA6A8A">
            <w:pPr>
              <w:rPr>
                <w:rFonts w:asciiTheme="minorHAnsi" w:hAnsiTheme="minorHAnsi"/>
                <w:sz w:val="22"/>
                <w:szCs w:val="22"/>
              </w:rPr>
            </w:pPr>
          </w:p>
        </w:tc>
        <w:tc>
          <w:tcPr>
            <w:tcW w:w="0" w:type="auto"/>
          </w:tcPr>
          <w:p w14:paraId="61AC8327" w14:textId="4576EF01" w:rsidR="00CA6A8A" w:rsidRPr="004D764D" w:rsidRDefault="004D764D">
            <w:pPr>
              <w:rPr>
                <w:rFonts w:asciiTheme="minorHAnsi" w:hAnsiTheme="minorHAnsi"/>
                <w:sz w:val="22"/>
                <w:szCs w:val="22"/>
              </w:rPr>
            </w:pPr>
            <w:r>
              <w:rPr>
                <w:rFonts w:asciiTheme="minorHAnsi" w:hAnsiTheme="minorHAnsi"/>
                <w:sz w:val="22"/>
                <w:szCs w:val="22"/>
              </w:rPr>
              <w:t xml:space="preserve">WG members to </w:t>
            </w:r>
            <w:r w:rsidRPr="004D764D">
              <w:rPr>
                <w:rFonts w:asciiTheme="minorHAnsi" w:hAnsiTheme="minorHAnsi"/>
                <w:sz w:val="22"/>
                <w:szCs w:val="22"/>
              </w:rPr>
              <w:t>provide thoughts/comments/questions on-l</w:t>
            </w:r>
            <w:r>
              <w:rPr>
                <w:rFonts w:asciiTheme="minorHAnsi" w:hAnsiTheme="minorHAnsi"/>
                <w:sz w:val="22"/>
                <w:szCs w:val="22"/>
              </w:rPr>
              <w:t>ist on how to proceed with all Category 1 and 2</w:t>
            </w:r>
            <w:r w:rsidRPr="004D764D">
              <w:rPr>
                <w:rFonts w:asciiTheme="minorHAnsi" w:hAnsiTheme="minorHAnsi"/>
                <w:sz w:val="22"/>
                <w:szCs w:val="22"/>
              </w:rPr>
              <w:t xml:space="preserve"> questions, taking into consideration the staff notes.</w:t>
            </w:r>
          </w:p>
        </w:tc>
      </w:tr>
      <w:tr w:rsidR="004D764D" w:rsidRPr="004D764D" w14:paraId="3512BEC1" w14:textId="3230603C" w:rsidTr="004F304F">
        <w:tc>
          <w:tcPr>
            <w:tcW w:w="0" w:type="auto"/>
          </w:tcPr>
          <w:p w14:paraId="323E267E" w14:textId="5F127D58" w:rsidR="00CA6A8A" w:rsidRPr="004D764D" w:rsidRDefault="00CA6A8A" w:rsidP="0006697A">
            <w:pPr>
              <w:pStyle w:val="ListParagraph"/>
              <w:numPr>
                <w:ilvl w:val="0"/>
                <w:numId w:val="11"/>
              </w:numPr>
              <w:rPr>
                <w:sz w:val="22"/>
                <w:szCs w:val="22"/>
              </w:rPr>
            </w:pPr>
            <w:r w:rsidRPr="004D764D">
              <w:rPr>
                <w:sz w:val="22"/>
                <w:szCs w:val="22"/>
              </w:rPr>
              <w:t>Should the TMCH be responsible for educating rights-holders, domain name registrants and potential registrants about the services it provides? If so, how? If the TMCH is not to be responsible, who should be?</w:t>
            </w:r>
          </w:p>
        </w:tc>
        <w:tc>
          <w:tcPr>
            <w:tcW w:w="0" w:type="auto"/>
          </w:tcPr>
          <w:p w14:paraId="197A1F77" w14:textId="0682D516" w:rsidR="00CA6A8A" w:rsidRPr="004D764D" w:rsidRDefault="00CA6A8A">
            <w:pPr>
              <w:rPr>
                <w:rFonts w:asciiTheme="minorHAnsi" w:hAnsiTheme="minorHAnsi"/>
                <w:sz w:val="22"/>
                <w:szCs w:val="22"/>
              </w:rPr>
            </w:pPr>
            <w:r w:rsidRPr="004D764D">
              <w:rPr>
                <w:rFonts w:asciiTheme="minorHAnsi" w:hAnsiTheme="minorHAnsi"/>
                <w:sz w:val="22"/>
                <w:szCs w:val="22"/>
              </w:rPr>
              <w:t>Some support for the “hybrid” model (ICANN to develop different sets of materials including for potential registrants and the general public, to be hosted by TMCH and possibly distributed by registrars) – can we close this question?</w:t>
            </w:r>
          </w:p>
          <w:p w14:paraId="55B25279" w14:textId="34220DD9" w:rsidR="00CA6A8A" w:rsidRPr="004D764D" w:rsidRDefault="00CA6A8A">
            <w:pPr>
              <w:rPr>
                <w:rFonts w:asciiTheme="minorHAnsi" w:hAnsiTheme="minorHAnsi"/>
                <w:sz w:val="22"/>
                <w:szCs w:val="22"/>
              </w:rPr>
            </w:pPr>
          </w:p>
        </w:tc>
        <w:tc>
          <w:tcPr>
            <w:tcW w:w="0" w:type="auto"/>
          </w:tcPr>
          <w:p w14:paraId="04E8BB50" w14:textId="77777777" w:rsidR="00CA6A8A" w:rsidRPr="004D764D" w:rsidRDefault="00CA6A8A">
            <w:pPr>
              <w:rPr>
                <w:rFonts w:asciiTheme="minorHAnsi" w:hAnsiTheme="minorHAnsi"/>
                <w:sz w:val="22"/>
                <w:szCs w:val="22"/>
              </w:rPr>
            </w:pPr>
          </w:p>
        </w:tc>
      </w:tr>
      <w:tr w:rsidR="004D764D" w:rsidRPr="004D764D" w14:paraId="3C20A768" w14:textId="6F66938C" w:rsidTr="004F304F">
        <w:tc>
          <w:tcPr>
            <w:tcW w:w="0" w:type="auto"/>
          </w:tcPr>
          <w:p w14:paraId="188A844C" w14:textId="33F94943" w:rsidR="00CA6A8A" w:rsidRPr="004D764D" w:rsidRDefault="00CA6A8A" w:rsidP="00FA34F6">
            <w:pPr>
              <w:pStyle w:val="ListParagraph"/>
              <w:numPr>
                <w:ilvl w:val="0"/>
                <w:numId w:val="11"/>
              </w:numPr>
              <w:rPr>
                <w:sz w:val="22"/>
                <w:szCs w:val="22"/>
              </w:rPr>
            </w:pPr>
            <w:r w:rsidRPr="004D764D">
              <w:rPr>
                <w:sz w:val="22"/>
                <w:szCs w:val="22"/>
              </w:rPr>
              <w:t>What information on the following aspects of the operation of the TMCH is available and where can it be found?</w:t>
            </w:r>
          </w:p>
          <w:p w14:paraId="15020E89" w14:textId="77777777" w:rsidR="00CA6A8A" w:rsidRPr="004D764D" w:rsidRDefault="00CA6A8A" w:rsidP="0006697A">
            <w:pPr>
              <w:numPr>
                <w:ilvl w:val="0"/>
                <w:numId w:val="10"/>
              </w:numPr>
              <w:rPr>
                <w:rFonts w:asciiTheme="minorHAnsi" w:hAnsiTheme="minorHAnsi"/>
                <w:sz w:val="22"/>
                <w:szCs w:val="22"/>
              </w:rPr>
            </w:pPr>
            <w:r w:rsidRPr="004D764D">
              <w:rPr>
                <w:rFonts w:asciiTheme="minorHAnsi" w:hAnsiTheme="minorHAnsi"/>
                <w:sz w:val="22"/>
                <w:szCs w:val="22"/>
              </w:rPr>
              <w:t>TMCH services;</w:t>
            </w:r>
          </w:p>
          <w:p w14:paraId="03B8FDCD" w14:textId="77777777" w:rsidR="00CA6A8A" w:rsidRPr="004D764D" w:rsidRDefault="00CA6A8A" w:rsidP="00FF46D3">
            <w:pPr>
              <w:numPr>
                <w:ilvl w:val="0"/>
                <w:numId w:val="10"/>
              </w:numPr>
              <w:rPr>
                <w:rFonts w:asciiTheme="minorHAnsi" w:hAnsiTheme="minorHAnsi"/>
                <w:sz w:val="22"/>
                <w:szCs w:val="22"/>
              </w:rPr>
            </w:pPr>
            <w:r w:rsidRPr="004D764D">
              <w:rPr>
                <w:rFonts w:asciiTheme="minorHAnsi" w:hAnsiTheme="minorHAnsi"/>
                <w:sz w:val="22"/>
                <w:szCs w:val="22"/>
              </w:rPr>
              <w:t xml:space="preserve">Contractual relationships between the TMCH providers and private parties; and </w:t>
            </w:r>
          </w:p>
          <w:p w14:paraId="2EC6B59B" w14:textId="2962345E" w:rsidR="00CA6A8A" w:rsidRPr="004D764D" w:rsidRDefault="00CA6A8A" w:rsidP="00FF46D3">
            <w:pPr>
              <w:numPr>
                <w:ilvl w:val="0"/>
                <w:numId w:val="10"/>
              </w:numPr>
              <w:rPr>
                <w:rFonts w:asciiTheme="minorHAnsi" w:hAnsiTheme="minorHAnsi"/>
                <w:sz w:val="22"/>
                <w:szCs w:val="22"/>
              </w:rPr>
            </w:pPr>
            <w:r w:rsidRPr="004D764D">
              <w:rPr>
                <w:rFonts w:asciiTheme="minorHAnsi" w:hAnsiTheme="minorHAnsi"/>
                <w:sz w:val="22"/>
                <w:szCs w:val="22"/>
              </w:rPr>
              <w:t>With whom does the TMCH share data and for what purposes?</w:t>
            </w:r>
          </w:p>
          <w:p w14:paraId="70201179" w14:textId="6AED5AF1" w:rsidR="00CA6A8A" w:rsidRPr="004D764D" w:rsidRDefault="00CA6A8A" w:rsidP="00FF46D3">
            <w:pPr>
              <w:rPr>
                <w:rFonts w:asciiTheme="minorHAnsi" w:hAnsiTheme="minorHAnsi"/>
                <w:sz w:val="22"/>
                <w:szCs w:val="22"/>
              </w:rPr>
            </w:pPr>
          </w:p>
        </w:tc>
        <w:tc>
          <w:tcPr>
            <w:tcW w:w="0" w:type="auto"/>
          </w:tcPr>
          <w:p w14:paraId="1E38E283" w14:textId="19E1517F" w:rsidR="00CA6A8A" w:rsidRPr="004D764D" w:rsidRDefault="00CA6A8A" w:rsidP="00F81DE5">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Based on Deloitte’s information and materials to date, is there a need to develop additional policy recommendations on this topic (possibly aside from the question of Private Blocking Mechanisms, which is yet to be discussed)? Are there remaining concerns that can be addressed via implementation?</w:t>
            </w:r>
          </w:p>
          <w:p w14:paraId="76A1E6D0" w14:textId="77777777" w:rsidR="00CA6A8A" w:rsidRPr="004D764D" w:rsidRDefault="00CA6A8A">
            <w:pPr>
              <w:rPr>
                <w:rFonts w:asciiTheme="minorHAnsi" w:hAnsiTheme="minorHAnsi"/>
                <w:sz w:val="22"/>
                <w:szCs w:val="22"/>
              </w:rPr>
            </w:pPr>
          </w:p>
        </w:tc>
        <w:tc>
          <w:tcPr>
            <w:tcW w:w="0" w:type="auto"/>
          </w:tcPr>
          <w:p w14:paraId="4D37577F" w14:textId="77777777" w:rsidR="00CA6A8A" w:rsidRPr="004D764D" w:rsidRDefault="00CA6A8A">
            <w:pPr>
              <w:rPr>
                <w:rFonts w:asciiTheme="minorHAnsi" w:hAnsiTheme="minorHAnsi"/>
                <w:sz w:val="22"/>
                <w:szCs w:val="22"/>
              </w:rPr>
            </w:pPr>
          </w:p>
        </w:tc>
      </w:tr>
      <w:tr w:rsidR="00CA6A8A" w:rsidRPr="004D764D" w14:paraId="213D251F" w14:textId="77777777" w:rsidTr="00130E66">
        <w:tc>
          <w:tcPr>
            <w:tcW w:w="0" w:type="auto"/>
            <w:gridSpan w:val="3"/>
          </w:tcPr>
          <w:p w14:paraId="7F66AE64" w14:textId="08369E64" w:rsidR="00CA6A8A" w:rsidRPr="004D764D" w:rsidRDefault="00CA6A8A">
            <w:pPr>
              <w:rPr>
                <w:rFonts w:asciiTheme="minorHAnsi" w:hAnsiTheme="minorHAnsi"/>
                <w:sz w:val="22"/>
                <w:szCs w:val="22"/>
              </w:rPr>
            </w:pPr>
            <w:r w:rsidRPr="004D764D">
              <w:rPr>
                <w:rFonts w:asciiTheme="minorHAnsi" w:hAnsiTheme="minorHAnsi"/>
                <w:b/>
                <w:sz w:val="22"/>
                <w:szCs w:val="22"/>
              </w:rPr>
              <w:t>Category 2: Verification &amp; Updating of TMCH Database</w:t>
            </w:r>
          </w:p>
        </w:tc>
      </w:tr>
      <w:tr w:rsidR="004D764D" w:rsidRPr="004D764D" w14:paraId="586C0790" w14:textId="3B934D1B" w:rsidTr="004F304F">
        <w:tc>
          <w:tcPr>
            <w:tcW w:w="0" w:type="auto"/>
          </w:tcPr>
          <w:p w14:paraId="6DC19F8D" w14:textId="436AF900" w:rsidR="00CA6A8A" w:rsidRPr="004D764D" w:rsidRDefault="00CA6A8A" w:rsidP="00CA6A8A">
            <w:pPr>
              <w:pStyle w:val="ListParagraph"/>
              <w:numPr>
                <w:ilvl w:val="0"/>
                <w:numId w:val="11"/>
              </w:numPr>
              <w:rPr>
                <w:b/>
                <w:sz w:val="22"/>
                <w:szCs w:val="22"/>
              </w:rPr>
            </w:pPr>
            <w:r w:rsidRPr="004D764D">
              <w:rPr>
                <w:sz w:val="22"/>
                <w:szCs w:val="22"/>
              </w:rPr>
              <w:t>Should the verification criteria used by the TMCH to determine if a submitted mark meets the eligibility and other requirements of the TMCH be clarified or amended? If so how?</w:t>
            </w:r>
          </w:p>
        </w:tc>
        <w:tc>
          <w:tcPr>
            <w:tcW w:w="0" w:type="auto"/>
          </w:tcPr>
          <w:p w14:paraId="12F58F8E" w14:textId="77777777" w:rsidR="00CA6A8A" w:rsidRPr="004D764D" w:rsidRDefault="00CA6A8A" w:rsidP="00FF46D3">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Based on Deloitte’s information and materials to date, is there any need to develop additional policy recommendations on this topic? Are there remaining concerns that can be addressed via implementation?</w:t>
            </w:r>
          </w:p>
          <w:p w14:paraId="43B02AF0" w14:textId="4D2193B9" w:rsidR="00CA6A8A" w:rsidRPr="004D764D" w:rsidRDefault="00CA6A8A" w:rsidP="00FF46D3">
            <w:pPr>
              <w:rPr>
                <w:rFonts w:asciiTheme="minorHAnsi" w:hAnsiTheme="minorHAnsi"/>
                <w:sz w:val="22"/>
                <w:szCs w:val="22"/>
              </w:rPr>
            </w:pPr>
          </w:p>
        </w:tc>
        <w:tc>
          <w:tcPr>
            <w:tcW w:w="0" w:type="auto"/>
          </w:tcPr>
          <w:p w14:paraId="1D01CF24" w14:textId="39AC28CB" w:rsidR="00CA6A8A" w:rsidRPr="004D764D" w:rsidRDefault="004D764D">
            <w:pPr>
              <w:rPr>
                <w:rFonts w:asciiTheme="minorHAnsi" w:hAnsiTheme="minorHAnsi"/>
                <w:sz w:val="22"/>
                <w:szCs w:val="22"/>
              </w:rPr>
            </w:pPr>
            <w:r>
              <w:rPr>
                <w:rFonts w:asciiTheme="minorHAnsi" w:hAnsiTheme="minorHAnsi"/>
                <w:sz w:val="22"/>
                <w:szCs w:val="22"/>
              </w:rPr>
              <w:t xml:space="preserve">WG members to </w:t>
            </w:r>
            <w:r w:rsidRPr="004D764D">
              <w:rPr>
                <w:rFonts w:asciiTheme="minorHAnsi" w:hAnsiTheme="minorHAnsi"/>
                <w:sz w:val="22"/>
                <w:szCs w:val="22"/>
              </w:rPr>
              <w:t>provide thoughts/comments/questions on-l</w:t>
            </w:r>
            <w:r>
              <w:rPr>
                <w:rFonts w:asciiTheme="minorHAnsi" w:hAnsiTheme="minorHAnsi"/>
                <w:sz w:val="22"/>
                <w:szCs w:val="22"/>
              </w:rPr>
              <w:t>ist on how to proceed with all Category 1 and 2</w:t>
            </w:r>
            <w:r w:rsidRPr="004D764D">
              <w:rPr>
                <w:rFonts w:asciiTheme="minorHAnsi" w:hAnsiTheme="minorHAnsi"/>
                <w:sz w:val="22"/>
                <w:szCs w:val="22"/>
              </w:rPr>
              <w:t xml:space="preserve"> questions, taking into consideration the staff notes.</w:t>
            </w:r>
          </w:p>
        </w:tc>
      </w:tr>
      <w:tr w:rsidR="004D764D" w:rsidRPr="004D764D" w14:paraId="279B2421" w14:textId="697452BF" w:rsidTr="004F304F">
        <w:tc>
          <w:tcPr>
            <w:tcW w:w="0" w:type="auto"/>
          </w:tcPr>
          <w:p w14:paraId="080999AD" w14:textId="7190FFAB" w:rsidR="00CA6A8A" w:rsidRPr="004D764D" w:rsidRDefault="00CA6A8A" w:rsidP="0006697A">
            <w:pPr>
              <w:pStyle w:val="ListParagraph"/>
              <w:numPr>
                <w:ilvl w:val="0"/>
                <w:numId w:val="11"/>
              </w:numPr>
              <w:rPr>
                <w:sz w:val="22"/>
                <w:szCs w:val="22"/>
              </w:rPr>
            </w:pPr>
            <w:r w:rsidRPr="004D764D">
              <w:rPr>
                <w:sz w:val="22"/>
                <w:szCs w:val="22"/>
              </w:rPr>
              <w:t>Should there be an additional or a different recourse mechanism to challenge rejected submissions for recordals in the TMCH?</w:t>
            </w:r>
          </w:p>
        </w:tc>
        <w:tc>
          <w:tcPr>
            <w:tcW w:w="0" w:type="auto"/>
          </w:tcPr>
          <w:p w14:paraId="4800E249" w14:textId="4767D509" w:rsidR="00CA6A8A" w:rsidRPr="004D764D" w:rsidRDefault="00CA6A8A">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3E1ADCF3" w14:textId="3E6BC8BD" w:rsidR="00CA6A8A" w:rsidRPr="004D764D" w:rsidRDefault="00CA6A8A">
            <w:pPr>
              <w:rPr>
                <w:rFonts w:asciiTheme="minorHAnsi" w:hAnsiTheme="minorHAnsi"/>
                <w:sz w:val="22"/>
                <w:szCs w:val="22"/>
              </w:rPr>
            </w:pPr>
          </w:p>
        </w:tc>
        <w:tc>
          <w:tcPr>
            <w:tcW w:w="0" w:type="auto"/>
          </w:tcPr>
          <w:p w14:paraId="2E974BD8" w14:textId="77777777" w:rsidR="00CA6A8A" w:rsidRPr="004D764D" w:rsidRDefault="00CA6A8A">
            <w:pPr>
              <w:rPr>
                <w:rFonts w:asciiTheme="minorHAnsi" w:hAnsiTheme="minorHAnsi"/>
                <w:sz w:val="22"/>
                <w:szCs w:val="22"/>
              </w:rPr>
            </w:pPr>
          </w:p>
        </w:tc>
      </w:tr>
      <w:tr w:rsidR="004D764D" w:rsidRPr="004D764D" w14:paraId="699BB7A3" w14:textId="7D456ADE" w:rsidTr="004F304F">
        <w:tc>
          <w:tcPr>
            <w:tcW w:w="0" w:type="auto"/>
          </w:tcPr>
          <w:p w14:paraId="11D7B7C0" w14:textId="64F5EC60" w:rsidR="00CA6A8A" w:rsidRPr="004D764D" w:rsidRDefault="00CA6A8A" w:rsidP="0006697A">
            <w:pPr>
              <w:pStyle w:val="ListParagraph"/>
              <w:numPr>
                <w:ilvl w:val="0"/>
                <w:numId w:val="11"/>
              </w:numPr>
              <w:rPr>
                <w:sz w:val="22"/>
                <w:szCs w:val="22"/>
              </w:rPr>
            </w:pPr>
            <w:r w:rsidRPr="004D764D">
              <w:rPr>
                <w:sz w:val="22"/>
                <w:szCs w:val="22"/>
              </w:rPr>
              <w:t>How quickly can and should a cancelled trademark be removed from the TMCH Database?</w:t>
            </w:r>
          </w:p>
        </w:tc>
        <w:tc>
          <w:tcPr>
            <w:tcW w:w="0" w:type="auto"/>
          </w:tcPr>
          <w:p w14:paraId="3C11784F" w14:textId="6E3B19F1" w:rsidR="00CA6A8A" w:rsidRPr="004D764D" w:rsidRDefault="00CA6A8A">
            <w:pPr>
              <w:rPr>
                <w:rFonts w:asciiTheme="minorHAnsi" w:hAnsiTheme="minorHAnsi"/>
                <w:sz w:val="22"/>
                <w:szCs w:val="22"/>
              </w:rPr>
            </w:pPr>
            <w:r w:rsidRPr="004D764D">
              <w:rPr>
                <w:rFonts w:asciiTheme="minorHAnsi" w:hAnsiTheme="minorHAnsi"/>
                <w:sz w:val="22"/>
                <w:szCs w:val="22"/>
              </w:rPr>
              <w:t>TMCH users contractually obliged to notify TMCH of cancellations; though no penalties are imposed for failure to notify, there is no evidence to date to indicate that this has been a problem (note that re-verification is done on an annual basis in any event, and that Sunrise and most Claims periods run for a very limited period)</w:t>
            </w:r>
          </w:p>
          <w:p w14:paraId="2C1A644C" w14:textId="77777777" w:rsidR="00CA6A8A" w:rsidRPr="004D764D" w:rsidRDefault="00CA6A8A">
            <w:pPr>
              <w:rPr>
                <w:rFonts w:asciiTheme="minorHAnsi" w:hAnsiTheme="minorHAnsi"/>
                <w:sz w:val="22"/>
                <w:szCs w:val="22"/>
              </w:rPr>
            </w:pPr>
          </w:p>
          <w:p w14:paraId="0B868311" w14:textId="7DFCC3E9" w:rsidR="00CA6A8A" w:rsidRPr="004D764D" w:rsidRDefault="00CA6A8A">
            <w:pPr>
              <w:rPr>
                <w:rFonts w:asciiTheme="minorHAnsi" w:hAnsiTheme="minorHAnsi"/>
                <w:sz w:val="22"/>
                <w:szCs w:val="22"/>
              </w:rPr>
            </w:pPr>
            <w:r w:rsidRPr="004D764D">
              <w:rPr>
                <w:rFonts w:asciiTheme="minorHAnsi" w:hAnsiTheme="minorHAnsi"/>
                <w:sz w:val="22"/>
                <w:szCs w:val="22"/>
                <w:u w:val="single"/>
              </w:rPr>
              <w:t>Question for the WG</w:t>
            </w:r>
            <w:r w:rsidRPr="004D764D">
              <w:rPr>
                <w:rFonts w:asciiTheme="minorHAnsi" w:hAnsiTheme="minorHAnsi"/>
                <w:sz w:val="22"/>
                <w:szCs w:val="22"/>
              </w:rPr>
              <w:t>: Based on Deloitte’s information and materials to date, is there a need to develop additional policy recommendations on this topic? Are there remaining concerns that can be addressed via implementation?</w:t>
            </w:r>
          </w:p>
          <w:p w14:paraId="70B84E2B" w14:textId="377FC766" w:rsidR="00CA6A8A" w:rsidRPr="004D764D" w:rsidRDefault="00CA6A8A">
            <w:pPr>
              <w:rPr>
                <w:rFonts w:asciiTheme="minorHAnsi" w:hAnsiTheme="minorHAnsi"/>
                <w:sz w:val="22"/>
                <w:szCs w:val="22"/>
              </w:rPr>
            </w:pPr>
          </w:p>
        </w:tc>
        <w:tc>
          <w:tcPr>
            <w:tcW w:w="0" w:type="auto"/>
          </w:tcPr>
          <w:p w14:paraId="6B21B8D6" w14:textId="77777777" w:rsidR="00CA6A8A" w:rsidRPr="004D764D" w:rsidRDefault="00CA6A8A">
            <w:pPr>
              <w:rPr>
                <w:rFonts w:asciiTheme="minorHAnsi" w:hAnsiTheme="minorHAnsi"/>
                <w:sz w:val="22"/>
                <w:szCs w:val="22"/>
              </w:rPr>
            </w:pPr>
          </w:p>
        </w:tc>
      </w:tr>
    </w:tbl>
    <w:p w14:paraId="424DFF6B" w14:textId="054149E4" w:rsidR="0006697A" w:rsidRPr="004D764D" w:rsidRDefault="0006697A">
      <w:pPr>
        <w:rPr>
          <w:rFonts w:asciiTheme="minorHAnsi" w:hAnsiTheme="minorHAnsi"/>
          <w:sz w:val="22"/>
          <w:szCs w:val="22"/>
        </w:rPr>
      </w:pPr>
    </w:p>
    <w:sectPr w:rsidR="0006697A" w:rsidRPr="004D764D" w:rsidSect="00DB6507">
      <w:footerReference w:type="even"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B8383D" w14:textId="77777777" w:rsidR="00587B81" w:rsidRDefault="00587B81" w:rsidP="00DB6507">
      <w:r>
        <w:separator/>
      </w:r>
    </w:p>
  </w:endnote>
  <w:endnote w:type="continuationSeparator" w:id="0">
    <w:p w14:paraId="633C4366" w14:textId="77777777" w:rsidR="00587B81" w:rsidRDefault="00587B81" w:rsidP="00DB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A233" w14:textId="77777777" w:rsidR="00D356D8" w:rsidRDefault="00D356D8" w:rsidP="00EF66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43FBFB" w14:textId="77777777" w:rsidR="00D356D8" w:rsidRDefault="00D356D8" w:rsidP="00D356D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12F61" w14:textId="77777777" w:rsidR="00D356D8" w:rsidRDefault="00D356D8" w:rsidP="00EF661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7B81">
      <w:rPr>
        <w:rStyle w:val="PageNumber"/>
        <w:noProof/>
      </w:rPr>
      <w:t>1</w:t>
    </w:r>
    <w:r>
      <w:rPr>
        <w:rStyle w:val="PageNumber"/>
      </w:rPr>
      <w:fldChar w:fldCharType="end"/>
    </w:r>
  </w:p>
  <w:p w14:paraId="29323D2A" w14:textId="77777777" w:rsidR="00D356D8" w:rsidRDefault="00D356D8" w:rsidP="00D356D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578D2" w14:textId="77777777" w:rsidR="00587B81" w:rsidRDefault="00587B81" w:rsidP="00DB6507">
      <w:r>
        <w:separator/>
      </w:r>
    </w:p>
  </w:footnote>
  <w:footnote w:type="continuationSeparator" w:id="0">
    <w:p w14:paraId="5AC158CD" w14:textId="77777777" w:rsidR="00587B81" w:rsidRDefault="00587B81" w:rsidP="00DB6507">
      <w:r>
        <w:continuationSeparator/>
      </w:r>
    </w:p>
  </w:footnote>
  <w:footnote w:id="1">
    <w:p w14:paraId="7807AC1E" w14:textId="77777777" w:rsidR="00DB6507" w:rsidRPr="00BB74C8" w:rsidRDefault="00DB6507" w:rsidP="00BA7973">
      <w:pPr>
        <w:pStyle w:val="FootnoteText"/>
        <w:snapToGrid w:val="0"/>
        <w:rPr>
          <w:sz w:val="20"/>
          <w:szCs w:val="20"/>
        </w:rPr>
      </w:pPr>
      <w:r w:rsidRPr="00180DFA">
        <w:rPr>
          <w:rStyle w:val="FootnoteReference"/>
          <w:sz w:val="20"/>
          <w:szCs w:val="20"/>
        </w:rPr>
        <w:footnoteRef/>
      </w:r>
      <w:r w:rsidRPr="00180DFA">
        <w:rPr>
          <w:sz w:val="20"/>
          <w:szCs w:val="20"/>
        </w:rPr>
        <w:t xml:space="preserve"> Trademark owners can add up to 50 variations that are similar to each valid submission in the TMCH—within the notification process—provided that the variant of the mark was awarded to the trademark holder in a prior UDRP case.</w:t>
      </w:r>
    </w:p>
  </w:footnote>
  <w:footnote w:id="2">
    <w:p w14:paraId="5962FC26" w14:textId="77777777" w:rsidR="00DB6507" w:rsidRDefault="00DB6507" w:rsidP="00463EBF">
      <w:pPr>
        <w:pStyle w:val="FootnoteText"/>
        <w:snapToGrid w:val="0"/>
      </w:pPr>
      <w:r w:rsidRPr="00180DFA">
        <w:rPr>
          <w:rStyle w:val="FootnoteReference"/>
          <w:sz w:val="20"/>
          <w:szCs w:val="20"/>
        </w:rPr>
        <w:footnoteRef/>
      </w:r>
      <w:r w:rsidRPr="00180DFA">
        <w:rPr>
          <w:sz w:val="20"/>
          <w:szCs w:val="20"/>
        </w:rPr>
        <w:t xml:space="preserve"> This word is used in the sense of asking whether the TMCH (its existence, purposes and how it is to be used) is known to the types of stakeholders mentioned.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17A74"/>
    <w:multiLevelType w:val="hybridMultilevel"/>
    <w:tmpl w:val="1EC4A912"/>
    <w:lvl w:ilvl="0" w:tplc="316678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C7E4169"/>
    <w:multiLevelType w:val="hybridMultilevel"/>
    <w:tmpl w:val="43E63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4369E"/>
    <w:multiLevelType w:val="hybridMultilevel"/>
    <w:tmpl w:val="9D2E8736"/>
    <w:lvl w:ilvl="0" w:tplc="0409000F">
      <w:start w:val="1"/>
      <w:numFmt w:val="decimal"/>
      <w:lvlText w:val="%1."/>
      <w:lvlJc w:val="left"/>
      <w:pPr>
        <w:ind w:left="720" w:hanging="360"/>
      </w:pPr>
    </w:lvl>
    <w:lvl w:ilvl="1" w:tplc="316678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CD16AD"/>
    <w:multiLevelType w:val="hybridMultilevel"/>
    <w:tmpl w:val="9E6AC6F4"/>
    <w:lvl w:ilvl="0" w:tplc="2C9480E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A04482"/>
    <w:multiLevelType w:val="hybridMultilevel"/>
    <w:tmpl w:val="26CCB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8734EFD"/>
    <w:multiLevelType w:val="multilevel"/>
    <w:tmpl w:val="EA92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633A47"/>
    <w:multiLevelType w:val="hybridMultilevel"/>
    <w:tmpl w:val="DB60AE40"/>
    <w:lvl w:ilvl="0" w:tplc="DFFEB968">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75333D"/>
    <w:multiLevelType w:val="hybridMultilevel"/>
    <w:tmpl w:val="D5C8D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98E102F"/>
    <w:multiLevelType w:val="multilevel"/>
    <w:tmpl w:val="13E8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9F5AA7"/>
    <w:multiLevelType w:val="hybridMultilevel"/>
    <w:tmpl w:val="4CACC0BC"/>
    <w:lvl w:ilvl="0" w:tplc="5A5CFCE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73121D"/>
    <w:multiLevelType w:val="hybridMultilevel"/>
    <w:tmpl w:val="40C89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9A4991"/>
    <w:multiLevelType w:val="hybridMultilevel"/>
    <w:tmpl w:val="1D442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3971C6A"/>
    <w:multiLevelType w:val="hybridMultilevel"/>
    <w:tmpl w:val="7A5A3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9E85601"/>
    <w:multiLevelType w:val="hybridMultilevel"/>
    <w:tmpl w:val="B6F691AE"/>
    <w:lvl w:ilvl="0" w:tplc="DB1A2ABC">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4273F2"/>
    <w:multiLevelType w:val="multilevel"/>
    <w:tmpl w:val="CAA23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768160E"/>
    <w:multiLevelType w:val="hybridMultilevel"/>
    <w:tmpl w:val="99E2E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8F946A8"/>
    <w:multiLevelType w:val="multilevel"/>
    <w:tmpl w:val="AB86B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AB4B16"/>
    <w:multiLevelType w:val="hybridMultilevel"/>
    <w:tmpl w:val="7C9C0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13"/>
  </w:num>
  <w:num w:numId="4">
    <w:abstractNumId w:val="6"/>
  </w:num>
  <w:num w:numId="5">
    <w:abstractNumId w:val="16"/>
  </w:num>
  <w:num w:numId="6">
    <w:abstractNumId w:val="14"/>
  </w:num>
  <w:num w:numId="7">
    <w:abstractNumId w:val="5"/>
  </w:num>
  <w:num w:numId="8">
    <w:abstractNumId w:val="8"/>
  </w:num>
  <w:num w:numId="9">
    <w:abstractNumId w:val="2"/>
  </w:num>
  <w:num w:numId="10">
    <w:abstractNumId w:val="0"/>
  </w:num>
  <w:num w:numId="11">
    <w:abstractNumId w:val="10"/>
  </w:num>
  <w:num w:numId="12">
    <w:abstractNumId w:val="1"/>
  </w:num>
  <w:num w:numId="13">
    <w:abstractNumId w:val="4"/>
  </w:num>
  <w:num w:numId="14">
    <w:abstractNumId w:val="7"/>
  </w:num>
  <w:num w:numId="15">
    <w:abstractNumId w:val="17"/>
  </w:num>
  <w:num w:numId="16">
    <w:abstractNumId w:val="12"/>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07"/>
    <w:rsid w:val="00042663"/>
    <w:rsid w:val="0006430B"/>
    <w:rsid w:val="0006697A"/>
    <w:rsid w:val="00073156"/>
    <w:rsid w:val="00086ADA"/>
    <w:rsid w:val="000930F3"/>
    <w:rsid w:val="000A2AAC"/>
    <w:rsid w:val="001460FB"/>
    <w:rsid w:val="001A155B"/>
    <w:rsid w:val="001A1C39"/>
    <w:rsid w:val="001F51A8"/>
    <w:rsid w:val="00202E30"/>
    <w:rsid w:val="0020668E"/>
    <w:rsid w:val="00273856"/>
    <w:rsid w:val="002C4F29"/>
    <w:rsid w:val="002E3BFF"/>
    <w:rsid w:val="002F4E78"/>
    <w:rsid w:val="003011B3"/>
    <w:rsid w:val="00326516"/>
    <w:rsid w:val="00404EA7"/>
    <w:rsid w:val="00435BDF"/>
    <w:rsid w:val="0046446B"/>
    <w:rsid w:val="004B052D"/>
    <w:rsid w:val="004D52D4"/>
    <w:rsid w:val="004D764D"/>
    <w:rsid w:val="004F304F"/>
    <w:rsid w:val="00541A3E"/>
    <w:rsid w:val="00587B81"/>
    <w:rsid w:val="005A5B6C"/>
    <w:rsid w:val="005B6D3E"/>
    <w:rsid w:val="006A5170"/>
    <w:rsid w:val="00841AD1"/>
    <w:rsid w:val="008842FE"/>
    <w:rsid w:val="008F5731"/>
    <w:rsid w:val="00914638"/>
    <w:rsid w:val="00943E68"/>
    <w:rsid w:val="009C5405"/>
    <w:rsid w:val="00A3730B"/>
    <w:rsid w:val="00A404BF"/>
    <w:rsid w:val="00B35DAF"/>
    <w:rsid w:val="00B6586C"/>
    <w:rsid w:val="00BB122B"/>
    <w:rsid w:val="00C30607"/>
    <w:rsid w:val="00CA6A8A"/>
    <w:rsid w:val="00CD6533"/>
    <w:rsid w:val="00CE6129"/>
    <w:rsid w:val="00CF4001"/>
    <w:rsid w:val="00D12E64"/>
    <w:rsid w:val="00D356D8"/>
    <w:rsid w:val="00D84A4A"/>
    <w:rsid w:val="00DB6507"/>
    <w:rsid w:val="00EA5270"/>
    <w:rsid w:val="00EA665A"/>
    <w:rsid w:val="00F07ED6"/>
    <w:rsid w:val="00F258CD"/>
    <w:rsid w:val="00F427ED"/>
    <w:rsid w:val="00F81DE5"/>
    <w:rsid w:val="00F9129B"/>
    <w:rsid w:val="00FB2D09"/>
    <w:rsid w:val="00FD695F"/>
    <w:rsid w:val="00FF46D3"/>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72A19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DB65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DB6507"/>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DB6507"/>
  </w:style>
  <w:style w:type="character" w:styleId="FootnoteReference">
    <w:name w:val="footnote reference"/>
    <w:basedOn w:val="DefaultParagraphFont"/>
    <w:unhideWhenUsed/>
    <w:rsid w:val="00DB6507"/>
    <w:rPr>
      <w:vertAlign w:val="superscript"/>
    </w:rPr>
  </w:style>
  <w:style w:type="paragraph" w:styleId="ListParagraph">
    <w:name w:val="List Paragraph"/>
    <w:basedOn w:val="Normal"/>
    <w:uiPriority w:val="34"/>
    <w:qFormat/>
    <w:rsid w:val="00DB6507"/>
    <w:pPr>
      <w:ind w:left="720"/>
      <w:contextualSpacing/>
    </w:pPr>
    <w:rPr>
      <w:rFonts w:asciiTheme="minorHAnsi" w:eastAsiaTheme="minorEastAsia" w:hAnsiTheme="minorHAnsi" w:cstheme="minorBidi"/>
      <w:sz w:val="24"/>
      <w:szCs w:val="24"/>
    </w:rPr>
  </w:style>
  <w:style w:type="character" w:styleId="Strong">
    <w:name w:val="Strong"/>
    <w:basedOn w:val="DefaultParagraphFont"/>
    <w:uiPriority w:val="22"/>
    <w:qFormat/>
    <w:rsid w:val="00D12E64"/>
    <w:rPr>
      <w:b/>
      <w:bCs/>
    </w:rPr>
  </w:style>
  <w:style w:type="paragraph" w:styleId="Footer">
    <w:name w:val="footer"/>
    <w:basedOn w:val="Normal"/>
    <w:link w:val="FooterChar"/>
    <w:uiPriority w:val="99"/>
    <w:unhideWhenUsed/>
    <w:rsid w:val="00D356D8"/>
    <w:pPr>
      <w:tabs>
        <w:tab w:val="center" w:pos="4680"/>
        <w:tab w:val="right" w:pos="9360"/>
      </w:tabs>
    </w:pPr>
  </w:style>
  <w:style w:type="character" w:customStyle="1" w:styleId="FooterChar">
    <w:name w:val="Footer Char"/>
    <w:basedOn w:val="DefaultParagraphFont"/>
    <w:link w:val="Footer"/>
    <w:uiPriority w:val="99"/>
    <w:rsid w:val="00D356D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D35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10136">
      <w:bodyDiv w:val="1"/>
      <w:marLeft w:val="0"/>
      <w:marRight w:val="0"/>
      <w:marTop w:val="0"/>
      <w:marBottom w:val="0"/>
      <w:divBdr>
        <w:top w:val="none" w:sz="0" w:space="0" w:color="auto"/>
        <w:left w:val="none" w:sz="0" w:space="0" w:color="auto"/>
        <w:bottom w:val="none" w:sz="0" w:space="0" w:color="auto"/>
        <w:right w:val="none" w:sz="0" w:space="0" w:color="auto"/>
      </w:divBdr>
    </w:div>
    <w:div w:id="73669348">
      <w:bodyDiv w:val="1"/>
      <w:marLeft w:val="0"/>
      <w:marRight w:val="0"/>
      <w:marTop w:val="0"/>
      <w:marBottom w:val="0"/>
      <w:divBdr>
        <w:top w:val="none" w:sz="0" w:space="0" w:color="auto"/>
        <w:left w:val="none" w:sz="0" w:space="0" w:color="auto"/>
        <w:bottom w:val="none" w:sz="0" w:space="0" w:color="auto"/>
        <w:right w:val="none" w:sz="0" w:space="0" w:color="auto"/>
      </w:divBdr>
    </w:div>
    <w:div w:id="110168056">
      <w:bodyDiv w:val="1"/>
      <w:marLeft w:val="0"/>
      <w:marRight w:val="0"/>
      <w:marTop w:val="0"/>
      <w:marBottom w:val="0"/>
      <w:divBdr>
        <w:top w:val="none" w:sz="0" w:space="0" w:color="auto"/>
        <w:left w:val="none" w:sz="0" w:space="0" w:color="auto"/>
        <w:bottom w:val="none" w:sz="0" w:space="0" w:color="auto"/>
        <w:right w:val="none" w:sz="0" w:space="0" w:color="auto"/>
      </w:divBdr>
    </w:div>
    <w:div w:id="199828648">
      <w:bodyDiv w:val="1"/>
      <w:marLeft w:val="0"/>
      <w:marRight w:val="0"/>
      <w:marTop w:val="0"/>
      <w:marBottom w:val="0"/>
      <w:divBdr>
        <w:top w:val="none" w:sz="0" w:space="0" w:color="auto"/>
        <w:left w:val="none" w:sz="0" w:space="0" w:color="auto"/>
        <w:bottom w:val="none" w:sz="0" w:space="0" w:color="auto"/>
        <w:right w:val="none" w:sz="0" w:space="0" w:color="auto"/>
      </w:divBdr>
    </w:div>
    <w:div w:id="210726950">
      <w:bodyDiv w:val="1"/>
      <w:marLeft w:val="0"/>
      <w:marRight w:val="0"/>
      <w:marTop w:val="0"/>
      <w:marBottom w:val="0"/>
      <w:divBdr>
        <w:top w:val="none" w:sz="0" w:space="0" w:color="auto"/>
        <w:left w:val="none" w:sz="0" w:space="0" w:color="auto"/>
        <w:bottom w:val="none" w:sz="0" w:space="0" w:color="auto"/>
        <w:right w:val="none" w:sz="0" w:space="0" w:color="auto"/>
      </w:divBdr>
    </w:div>
    <w:div w:id="213782489">
      <w:bodyDiv w:val="1"/>
      <w:marLeft w:val="0"/>
      <w:marRight w:val="0"/>
      <w:marTop w:val="0"/>
      <w:marBottom w:val="0"/>
      <w:divBdr>
        <w:top w:val="none" w:sz="0" w:space="0" w:color="auto"/>
        <w:left w:val="none" w:sz="0" w:space="0" w:color="auto"/>
        <w:bottom w:val="none" w:sz="0" w:space="0" w:color="auto"/>
        <w:right w:val="none" w:sz="0" w:space="0" w:color="auto"/>
      </w:divBdr>
    </w:div>
    <w:div w:id="220748481">
      <w:bodyDiv w:val="1"/>
      <w:marLeft w:val="0"/>
      <w:marRight w:val="0"/>
      <w:marTop w:val="0"/>
      <w:marBottom w:val="0"/>
      <w:divBdr>
        <w:top w:val="none" w:sz="0" w:space="0" w:color="auto"/>
        <w:left w:val="none" w:sz="0" w:space="0" w:color="auto"/>
        <w:bottom w:val="none" w:sz="0" w:space="0" w:color="auto"/>
        <w:right w:val="none" w:sz="0" w:space="0" w:color="auto"/>
      </w:divBdr>
    </w:div>
    <w:div w:id="260572957">
      <w:bodyDiv w:val="1"/>
      <w:marLeft w:val="0"/>
      <w:marRight w:val="0"/>
      <w:marTop w:val="0"/>
      <w:marBottom w:val="0"/>
      <w:divBdr>
        <w:top w:val="none" w:sz="0" w:space="0" w:color="auto"/>
        <w:left w:val="none" w:sz="0" w:space="0" w:color="auto"/>
        <w:bottom w:val="none" w:sz="0" w:space="0" w:color="auto"/>
        <w:right w:val="none" w:sz="0" w:space="0" w:color="auto"/>
      </w:divBdr>
    </w:div>
    <w:div w:id="297496297">
      <w:bodyDiv w:val="1"/>
      <w:marLeft w:val="0"/>
      <w:marRight w:val="0"/>
      <w:marTop w:val="0"/>
      <w:marBottom w:val="0"/>
      <w:divBdr>
        <w:top w:val="none" w:sz="0" w:space="0" w:color="auto"/>
        <w:left w:val="none" w:sz="0" w:space="0" w:color="auto"/>
        <w:bottom w:val="none" w:sz="0" w:space="0" w:color="auto"/>
        <w:right w:val="none" w:sz="0" w:space="0" w:color="auto"/>
      </w:divBdr>
    </w:div>
    <w:div w:id="502011447">
      <w:bodyDiv w:val="1"/>
      <w:marLeft w:val="0"/>
      <w:marRight w:val="0"/>
      <w:marTop w:val="0"/>
      <w:marBottom w:val="0"/>
      <w:divBdr>
        <w:top w:val="none" w:sz="0" w:space="0" w:color="auto"/>
        <w:left w:val="none" w:sz="0" w:space="0" w:color="auto"/>
        <w:bottom w:val="none" w:sz="0" w:space="0" w:color="auto"/>
        <w:right w:val="none" w:sz="0" w:space="0" w:color="auto"/>
      </w:divBdr>
    </w:div>
    <w:div w:id="515189906">
      <w:bodyDiv w:val="1"/>
      <w:marLeft w:val="0"/>
      <w:marRight w:val="0"/>
      <w:marTop w:val="0"/>
      <w:marBottom w:val="0"/>
      <w:divBdr>
        <w:top w:val="none" w:sz="0" w:space="0" w:color="auto"/>
        <w:left w:val="none" w:sz="0" w:space="0" w:color="auto"/>
        <w:bottom w:val="none" w:sz="0" w:space="0" w:color="auto"/>
        <w:right w:val="none" w:sz="0" w:space="0" w:color="auto"/>
      </w:divBdr>
    </w:div>
    <w:div w:id="590503719">
      <w:bodyDiv w:val="1"/>
      <w:marLeft w:val="0"/>
      <w:marRight w:val="0"/>
      <w:marTop w:val="0"/>
      <w:marBottom w:val="0"/>
      <w:divBdr>
        <w:top w:val="none" w:sz="0" w:space="0" w:color="auto"/>
        <w:left w:val="none" w:sz="0" w:space="0" w:color="auto"/>
        <w:bottom w:val="none" w:sz="0" w:space="0" w:color="auto"/>
        <w:right w:val="none" w:sz="0" w:space="0" w:color="auto"/>
      </w:divBdr>
    </w:div>
    <w:div w:id="748387095">
      <w:bodyDiv w:val="1"/>
      <w:marLeft w:val="0"/>
      <w:marRight w:val="0"/>
      <w:marTop w:val="0"/>
      <w:marBottom w:val="0"/>
      <w:divBdr>
        <w:top w:val="none" w:sz="0" w:space="0" w:color="auto"/>
        <w:left w:val="none" w:sz="0" w:space="0" w:color="auto"/>
        <w:bottom w:val="none" w:sz="0" w:space="0" w:color="auto"/>
        <w:right w:val="none" w:sz="0" w:space="0" w:color="auto"/>
      </w:divBdr>
    </w:div>
    <w:div w:id="815880593">
      <w:bodyDiv w:val="1"/>
      <w:marLeft w:val="0"/>
      <w:marRight w:val="0"/>
      <w:marTop w:val="0"/>
      <w:marBottom w:val="0"/>
      <w:divBdr>
        <w:top w:val="none" w:sz="0" w:space="0" w:color="auto"/>
        <w:left w:val="none" w:sz="0" w:space="0" w:color="auto"/>
        <w:bottom w:val="none" w:sz="0" w:space="0" w:color="auto"/>
        <w:right w:val="none" w:sz="0" w:space="0" w:color="auto"/>
      </w:divBdr>
    </w:div>
    <w:div w:id="820656631">
      <w:bodyDiv w:val="1"/>
      <w:marLeft w:val="0"/>
      <w:marRight w:val="0"/>
      <w:marTop w:val="0"/>
      <w:marBottom w:val="0"/>
      <w:divBdr>
        <w:top w:val="none" w:sz="0" w:space="0" w:color="auto"/>
        <w:left w:val="none" w:sz="0" w:space="0" w:color="auto"/>
        <w:bottom w:val="none" w:sz="0" w:space="0" w:color="auto"/>
        <w:right w:val="none" w:sz="0" w:space="0" w:color="auto"/>
      </w:divBdr>
    </w:div>
    <w:div w:id="938753070">
      <w:bodyDiv w:val="1"/>
      <w:marLeft w:val="0"/>
      <w:marRight w:val="0"/>
      <w:marTop w:val="0"/>
      <w:marBottom w:val="0"/>
      <w:divBdr>
        <w:top w:val="none" w:sz="0" w:space="0" w:color="auto"/>
        <w:left w:val="none" w:sz="0" w:space="0" w:color="auto"/>
        <w:bottom w:val="none" w:sz="0" w:space="0" w:color="auto"/>
        <w:right w:val="none" w:sz="0" w:space="0" w:color="auto"/>
      </w:divBdr>
    </w:div>
    <w:div w:id="1011221607">
      <w:bodyDiv w:val="1"/>
      <w:marLeft w:val="0"/>
      <w:marRight w:val="0"/>
      <w:marTop w:val="0"/>
      <w:marBottom w:val="0"/>
      <w:divBdr>
        <w:top w:val="none" w:sz="0" w:space="0" w:color="auto"/>
        <w:left w:val="none" w:sz="0" w:space="0" w:color="auto"/>
        <w:bottom w:val="none" w:sz="0" w:space="0" w:color="auto"/>
        <w:right w:val="none" w:sz="0" w:space="0" w:color="auto"/>
      </w:divBdr>
    </w:div>
    <w:div w:id="1053576708">
      <w:bodyDiv w:val="1"/>
      <w:marLeft w:val="0"/>
      <w:marRight w:val="0"/>
      <w:marTop w:val="0"/>
      <w:marBottom w:val="0"/>
      <w:divBdr>
        <w:top w:val="none" w:sz="0" w:space="0" w:color="auto"/>
        <w:left w:val="none" w:sz="0" w:space="0" w:color="auto"/>
        <w:bottom w:val="none" w:sz="0" w:space="0" w:color="auto"/>
        <w:right w:val="none" w:sz="0" w:space="0" w:color="auto"/>
      </w:divBdr>
    </w:div>
    <w:div w:id="1096096351">
      <w:bodyDiv w:val="1"/>
      <w:marLeft w:val="0"/>
      <w:marRight w:val="0"/>
      <w:marTop w:val="0"/>
      <w:marBottom w:val="0"/>
      <w:divBdr>
        <w:top w:val="none" w:sz="0" w:space="0" w:color="auto"/>
        <w:left w:val="none" w:sz="0" w:space="0" w:color="auto"/>
        <w:bottom w:val="none" w:sz="0" w:space="0" w:color="auto"/>
        <w:right w:val="none" w:sz="0" w:space="0" w:color="auto"/>
      </w:divBdr>
    </w:div>
    <w:div w:id="1101994125">
      <w:bodyDiv w:val="1"/>
      <w:marLeft w:val="0"/>
      <w:marRight w:val="0"/>
      <w:marTop w:val="0"/>
      <w:marBottom w:val="0"/>
      <w:divBdr>
        <w:top w:val="none" w:sz="0" w:space="0" w:color="auto"/>
        <w:left w:val="none" w:sz="0" w:space="0" w:color="auto"/>
        <w:bottom w:val="none" w:sz="0" w:space="0" w:color="auto"/>
        <w:right w:val="none" w:sz="0" w:space="0" w:color="auto"/>
      </w:divBdr>
    </w:div>
    <w:div w:id="1138380528">
      <w:bodyDiv w:val="1"/>
      <w:marLeft w:val="0"/>
      <w:marRight w:val="0"/>
      <w:marTop w:val="0"/>
      <w:marBottom w:val="0"/>
      <w:divBdr>
        <w:top w:val="none" w:sz="0" w:space="0" w:color="auto"/>
        <w:left w:val="none" w:sz="0" w:space="0" w:color="auto"/>
        <w:bottom w:val="none" w:sz="0" w:space="0" w:color="auto"/>
        <w:right w:val="none" w:sz="0" w:space="0" w:color="auto"/>
      </w:divBdr>
    </w:div>
    <w:div w:id="1252742134">
      <w:bodyDiv w:val="1"/>
      <w:marLeft w:val="0"/>
      <w:marRight w:val="0"/>
      <w:marTop w:val="0"/>
      <w:marBottom w:val="0"/>
      <w:divBdr>
        <w:top w:val="none" w:sz="0" w:space="0" w:color="auto"/>
        <w:left w:val="none" w:sz="0" w:space="0" w:color="auto"/>
        <w:bottom w:val="none" w:sz="0" w:space="0" w:color="auto"/>
        <w:right w:val="none" w:sz="0" w:space="0" w:color="auto"/>
      </w:divBdr>
    </w:div>
    <w:div w:id="1399859074">
      <w:bodyDiv w:val="1"/>
      <w:marLeft w:val="0"/>
      <w:marRight w:val="0"/>
      <w:marTop w:val="0"/>
      <w:marBottom w:val="0"/>
      <w:divBdr>
        <w:top w:val="none" w:sz="0" w:space="0" w:color="auto"/>
        <w:left w:val="none" w:sz="0" w:space="0" w:color="auto"/>
        <w:bottom w:val="none" w:sz="0" w:space="0" w:color="auto"/>
        <w:right w:val="none" w:sz="0" w:space="0" w:color="auto"/>
      </w:divBdr>
    </w:div>
    <w:div w:id="1430589383">
      <w:bodyDiv w:val="1"/>
      <w:marLeft w:val="0"/>
      <w:marRight w:val="0"/>
      <w:marTop w:val="0"/>
      <w:marBottom w:val="0"/>
      <w:divBdr>
        <w:top w:val="none" w:sz="0" w:space="0" w:color="auto"/>
        <w:left w:val="none" w:sz="0" w:space="0" w:color="auto"/>
        <w:bottom w:val="none" w:sz="0" w:space="0" w:color="auto"/>
        <w:right w:val="none" w:sz="0" w:space="0" w:color="auto"/>
      </w:divBdr>
    </w:div>
    <w:div w:id="1482427934">
      <w:bodyDiv w:val="1"/>
      <w:marLeft w:val="0"/>
      <w:marRight w:val="0"/>
      <w:marTop w:val="0"/>
      <w:marBottom w:val="0"/>
      <w:divBdr>
        <w:top w:val="none" w:sz="0" w:space="0" w:color="auto"/>
        <w:left w:val="none" w:sz="0" w:space="0" w:color="auto"/>
        <w:bottom w:val="none" w:sz="0" w:space="0" w:color="auto"/>
        <w:right w:val="none" w:sz="0" w:space="0" w:color="auto"/>
      </w:divBdr>
    </w:div>
    <w:div w:id="1546790441">
      <w:bodyDiv w:val="1"/>
      <w:marLeft w:val="0"/>
      <w:marRight w:val="0"/>
      <w:marTop w:val="0"/>
      <w:marBottom w:val="0"/>
      <w:divBdr>
        <w:top w:val="none" w:sz="0" w:space="0" w:color="auto"/>
        <w:left w:val="none" w:sz="0" w:space="0" w:color="auto"/>
        <w:bottom w:val="none" w:sz="0" w:space="0" w:color="auto"/>
        <w:right w:val="none" w:sz="0" w:space="0" w:color="auto"/>
      </w:divBdr>
    </w:div>
    <w:div w:id="1556623553">
      <w:bodyDiv w:val="1"/>
      <w:marLeft w:val="0"/>
      <w:marRight w:val="0"/>
      <w:marTop w:val="0"/>
      <w:marBottom w:val="0"/>
      <w:divBdr>
        <w:top w:val="none" w:sz="0" w:space="0" w:color="auto"/>
        <w:left w:val="none" w:sz="0" w:space="0" w:color="auto"/>
        <w:bottom w:val="none" w:sz="0" w:space="0" w:color="auto"/>
        <w:right w:val="none" w:sz="0" w:space="0" w:color="auto"/>
      </w:divBdr>
    </w:div>
    <w:div w:id="1592229366">
      <w:bodyDiv w:val="1"/>
      <w:marLeft w:val="0"/>
      <w:marRight w:val="0"/>
      <w:marTop w:val="0"/>
      <w:marBottom w:val="0"/>
      <w:divBdr>
        <w:top w:val="none" w:sz="0" w:space="0" w:color="auto"/>
        <w:left w:val="none" w:sz="0" w:space="0" w:color="auto"/>
        <w:bottom w:val="none" w:sz="0" w:space="0" w:color="auto"/>
        <w:right w:val="none" w:sz="0" w:space="0" w:color="auto"/>
      </w:divBdr>
    </w:div>
    <w:div w:id="1635329894">
      <w:bodyDiv w:val="1"/>
      <w:marLeft w:val="0"/>
      <w:marRight w:val="0"/>
      <w:marTop w:val="0"/>
      <w:marBottom w:val="0"/>
      <w:divBdr>
        <w:top w:val="none" w:sz="0" w:space="0" w:color="auto"/>
        <w:left w:val="none" w:sz="0" w:space="0" w:color="auto"/>
        <w:bottom w:val="none" w:sz="0" w:space="0" w:color="auto"/>
        <w:right w:val="none" w:sz="0" w:space="0" w:color="auto"/>
      </w:divBdr>
    </w:div>
    <w:div w:id="1661151939">
      <w:bodyDiv w:val="1"/>
      <w:marLeft w:val="0"/>
      <w:marRight w:val="0"/>
      <w:marTop w:val="0"/>
      <w:marBottom w:val="0"/>
      <w:divBdr>
        <w:top w:val="none" w:sz="0" w:space="0" w:color="auto"/>
        <w:left w:val="none" w:sz="0" w:space="0" w:color="auto"/>
        <w:bottom w:val="none" w:sz="0" w:space="0" w:color="auto"/>
        <w:right w:val="none" w:sz="0" w:space="0" w:color="auto"/>
      </w:divBdr>
    </w:div>
    <w:div w:id="1676612238">
      <w:bodyDiv w:val="1"/>
      <w:marLeft w:val="0"/>
      <w:marRight w:val="0"/>
      <w:marTop w:val="0"/>
      <w:marBottom w:val="0"/>
      <w:divBdr>
        <w:top w:val="none" w:sz="0" w:space="0" w:color="auto"/>
        <w:left w:val="none" w:sz="0" w:space="0" w:color="auto"/>
        <w:bottom w:val="none" w:sz="0" w:space="0" w:color="auto"/>
        <w:right w:val="none" w:sz="0" w:space="0" w:color="auto"/>
      </w:divBdr>
    </w:div>
    <w:div w:id="1679650379">
      <w:bodyDiv w:val="1"/>
      <w:marLeft w:val="0"/>
      <w:marRight w:val="0"/>
      <w:marTop w:val="0"/>
      <w:marBottom w:val="0"/>
      <w:divBdr>
        <w:top w:val="none" w:sz="0" w:space="0" w:color="auto"/>
        <w:left w:val="none" w:sz="0" w:space="0" w:color="auto"/>
        <w:bottom w:val="none" w:sz="0" w:space="0" w:color="auto"/>
        <w:right w:val="none" w:sz="0" w:space="0" w:color="auto"/>
      </w:divBdr>
    </w:div>
    <w:div w:id="1686860376">
      <w:bodyDiv w:val="1"/>
      <w:marLeft w:val="0"/>
      <w:marRight w:val="0"/>
      <w:marTop w:val="0"/>
      <w:marBottom w:val="0"/>
      <w:divBdr>
        <w:top w:val="none" w:sz="0" w:space="0" w:color="auto"/>
        <w:left w:val="none" w:sz="0" w:space="0" w:color="auto"/>
        <w:bottom w:val="none" w:sz="0" w:space="0" w:color="auto"/>
        <w:right w:val="none" w:sz="0" w:space="0" w:color="auto"/>
      </w:divBdr>
    </w:div>
    <w:div w:id="1743791323">
      <w:bodyDiv w:val="1"/>
      <w:marLeft w:val="0"/>
      <w:marRight w:val="0"/>
      <w:marTop w:val="0"/>
      <w:marBottom w:val="0"/>
      <w:divBdr>
        <w:top w:val="none" w:sz="0" w:space="0" w:color="auto"/>
        <w:left w:val="none" w:sz="0" w:space="0" w:color="auto"/>
        <w:bottom w:val="none" w:sz="0" w:space="0" w:color="auto"/>
        <w:right w:val="none" w:sz="0" w:space="0" w:color="auto"/>
      </w:divBdr>
    </w:div>
    <w:div w:id="1764376165">
      <w:bodyDiv w:val="1"/>
      <w:marLeft w:val="0"/>
      <w:marRight w:val="0"/>
      <w:marTop w:val="0"/>
      <w:marBottom w:val="0"/>
      <w:divBdr>
        <w:top w:val="none" w:sz="0" w:space="0" w:color="auto"/>
        <w:left w:val="none" w:sz="0" w:space="0" w:color="auto"/>
        <w:bottom w:val="none" w:sz="0" w:space="0" w:color="auto"/>
        <w:right w:val="none" w:sz="0" w:space="0" w:color="auto"/>
      </w:divBdr>
    </w:div>
    <w:div w:id="1795635912">
      <w:bodyDiv w:val="1"/>
      <w:marLeft w:val="0"/>
      <w:marRight w:val="0"/>
      <w:marTop w:val="0"/>
      <w:marBottom w:val="0"/>
      <w:divBdr>
        <w:top w:val="none" w:sz="0" w:space="0" w:color="auto"/>
        <w:left w:val="none" w:sz="0" w:space="0" w:color="auto"/>
        <w:bottom w:val="none" w:sz="0" w:space="0" w:color="auto"/>
        <w:right w:val="none" w:sz="0" w:space="0" w:color="auto"/>
      </w:divBdr>
    </w:div>
    <w:div w:id="1805460752">
      <w:bodyDiv w:val="1"/>
      <w:marLeft w:val="0"/>
      <w:marRight w:val="0"/>
      <w:marTop w:val="0"/>
      <w:marBottom w:val="0"/>
      <w:divBdr>
        <w:top w:val="none" w:sz="0" w:space="0" w:color="auto"/>
        <w:left w:val="none" w:sz="0" w:space="0" w:color="auto"/>
        <w:bottom w:val="none" w:sz="0" w:space="0" w:color="auto"/>
        <w:right w:val="none" w:sz="0" w:space="0" w:color="auto"/>
      </w:divBdr>
    </w:div>
    <w:div w:id="1906527855">
      <w:bodyDiv w:val="1"/>
      <w:marLeft w:val="0"/>
      <w:marRight w:val="0"/>
      <w:marTop w:val="0"/>
      <w:marBottom w:val="0"/>
      <w:divBdr>
        <w:top w:val="none" w:sz="0" w:space="0" w:color="auto"/>
        <w:left w:val="none" w:sz="0" w:space="0" w:color="auto"/>
        <w:bottom w:val="none" w:sz="0" w:space="0" w:color="auto"/>
        <w:right w:val="none" w:sz="0" w:space="0" w:color="auto"/>
      </w:divBdr>
    </w:div>
    <w:div w:id="1968851434">
      <w:bodyDiv w:val="1"/>
      <w:marLeft w:val="0"/>
      <w:marRight w:val="0"/>
      <w:marTop w:val="0"/>
      <w:marBottom w:val="0"/>
      <w:divBdr>
        <w:top w:val="none" w:sz="0" w:space="0" w:color="auto"/>
        <w:left w:val="none" w:sz="0" w:space="0" w:color="auto"/>
        <w:bottom w:val="none" w:sz="0" w:space="0" w:color="auto"/>
        <w:right w:val="none" w:sz="0" w:space="0" w:color="auto"/>
      </w:divBdr>
    </w:div>
    <w:div w:id="1985966716">
      <w:bodyDiv w:val="1"/>
      <w:marLeft w:val="0"/>
      <w:marRight w:val="0"/>
      <w:marTop w:val="0"/>
      <w:marBottom w:val="0"/>
      <w:divBdr>
        <w:top w:val="none" w:sz="0" w:space="0" w:color="auto"/>
        <w:left w:val="none" w:sz="0" w:space="0" w:color="auto"/>
        <w:bottom w:val="none" w:sz="0" w:space="0" w:color="auto"/>
        <w:right w:val="none" w:sz="0" w:space="0" w:color="auto"/>
      </w:divBdr>
    </w:div>
    <w:div w:id="2003044026">
      <w:bodyDiv w:val="1"/>
      <w:marLeft w:val="0"/>
      <w:marRight w:val="0"/>
      <w:marTop w:val="0"/>
      <w:marBottom w:val="0"/>
      <w:divBdr>
        <w:top w:val="none" w:sz="0" w:space="0" w:color="auto"/>
        <w:left w:val="none" w:sz="0" w:space="0" w:color="auto"/>
        <w:bottom w:val="none" w:sz="0" w:space="0" w:color="auto"/>
        <w:right w:val="none" w:sz="0" w:space="0" w:color="auto"/>
      </w:divBdr>
    </w:div>
    <w:div w:id="2065059046">
      <w:bodyDiv w:val="1"/>
      <w:marLeft w:val="0"/>
      <w:marRight w:val="0"/>
      <w:marTop w:val="0"/>
      <w:marBottom w:val="0"/>
      <w:divBdr>
        <w:top w:val="none" w:sz="0" w:space="0" w:color="auto"/>
        <w:left w:val="none" w:sz="0" w:space="0" w:color="auto"/>
        <w:bottom w:val="none" w:sz="0" w:space="0" w:color="auto"/>
        <w:right w:val="none" w:sz="0" w:space="0" w:color="auto"/>
      </w:divBdr>
    </w:div>
    <w:div w:id="2102286912">
      <w:bodyDiv w:val="1"/>
      <w:marLeft w:val="0"/>
      <w:marRight w:val="0"/>
      <w:marTop w:val="0"/>
      <w:marBottom w:val="0"/>
      <w:divBdr>
        <w:top w:val="none" w:sz="0" w:space="0" w:color="auto"/>
        <w:left w:val="none" w:sz="0" w:space="0" w:color="auto"/>
        <w:bottom w:val="none" w:sz="0" w:space="0" w:color="auto"/>
        <w:right w:val="none" w:sz="0" w:space="0" w:color="auto"/>
      </w:divBdr>
    </w:div>
    <w:div w:id="2104690542">
      <w:bodyDiv w:val="1"/>
      <w:marLeft w:val="0"/>
      <w:marRight w:val="0"/>
      <w:marTop w:val="0"/>
      <w:marBottom w:val="0"/>
      <w:divBdr>
        <w:top w:val="none" w:sz="0" w:space="0" w:color="auto"/>
        <w:left w:val="none" w:sz="0" w:space="0" w:color="auto"/>
        <w:bottom w:val="none" w:sz="0" w:space="0" w:color="auto"/>
        <w:right w:val="none" w:sz="0" w:space="0" w:color="auto"/>
      </w:divBdr>
    </w:div>
    <w:div w:id="2128743035">
      <w:bodyDiv w:val="1"/>
      <w:marLeft w:val="0"/>
      <w:marRight w:val="0"/>
      <w:marTop w:val="0"/>
      <w:marBottom w:val="0"/>
      <w:divBdr>
        <w:top w:val="none" w:sz="0" w:space="0" w:color="auto"/>
        <w:left w:val="none" w:sz="0" w:space="0" w:color="auto"/>
        <w:bottom w:val="none" w:sz="0" w:space="0" w:color="auto"/>
        <w:right w:val="none" w:sz="0" w:space="0" w:color="auto"/>
      </w:divBdr>
    </w:div>
    <w:div w:id="21295491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2254</Words>
  <Characters>12849</Characters>
  <Application>Microsoft Macintosh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Amr Elsadr</cp:lastModifiedBy>
  <cp:revision>6</cp:revision>
  <dcterms:created xsi:type="dcterms:W3CDTF">2017-03-28T16:04:00Z</dcterms:created>
  <dcterms:modified xsi:type="dcterms:W3CDTF">2017-03-31T14:12:00Z</dcterms:modified>
</cp:coreProperties>
</file>