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474177" w14:textId="4D75DCCB" w:rsidR="00E7069A" w:rsidRDefault="00CE6DD8">
      <w:pPr>
        <w:contextualSpacing w:val="0"/>
        <w:rPr>
          <w:rFonts w:ascii="Calibri" w:eastAsia="Calibri" w:hAnsi="Calibri" w:cs="Calibri"/>
          <w:b/>
          <w:sz w:val="24"/>
          <w:szCs w:val="24"/>
        </w:rPr>
      </w:pPr>
      <w:r>
        <w:rPr>
          <w:rFonts w:ascii="Calibri" w:eastAsia="Calibri" w:hAnsi="Calibri" w:cs="Calibri"/>
          <w:b/>
          <w:sz w:val="24"/>
          <w:szCs w:val="24"/>
        </w:rPr>
        <w:t xml:space="preserve">Instruction: </w:t>
      </w:r>
    </w:p>
    <w:p w14:paraId="40A758F5" w14:textId="542D732B" w:rsidR="00E7069A" w:rsidRDefault="00CE6DD8">
      <w:pPr>
        <w:contextualSpacing w:val="0"/>
        <w:rPr>
          <w:rFonts w:ascii="Calibri" w:eastAsia="Calibri" w:hAnsi="Calibri" w:cs="Calibri"/>
          <w:sz w:val="24"/>
          <w:szCs w:val="24"/>
        </w:rPr>
      </w:pPr>
      <w:r>
        <w:rPr>
          <w:rFonts w:ascii="Calibri" w:eastAsia="Calibri" w:hAnsi="Calibri" w:cs="Calibri"/>
          <w:sz w:val="24"/>
          <w:szCs w:val="24"/>
        </w:rPr>
        <w:t xml:space="preserve">This table is built to facilitate the process of gathering clarifying questions and comments for the </w:t>
      </w:r>
      <w:hyperlink r:id="rId7">
        <w:r>
          <w:rPr>
            <w:rFonts w:ascii="Calibri" w:eastAsia="Calibri" w:hAnsi="Calibri" w:cs="Calibri"/>
            <w:color w:val="1155CC"/>
            <w:sz w:val="24"/>
            <w:szCs w:val="24"/>
            <w:u w:val="single"/>
          </w:rPr>
          <w:t>Final Report</w:t>
        </w:r>
      </w:hyperlink>
      <w:r>
        <w:rPr>
          <w:rFonts w:ascii="Calibri" w:eastAsia="Calibri" w:hAnsi="Calibri" w:cs="Calibri"/>
          <w:sz w:val="24"/>
          <w:szCs w:val="24"/>
        </w:rPr>
        <w:t xml:space="preserve"> of the TMCH Sunrise &amp; Trademark Surveys. </w:t>
      </w:r>
    </w:p>
    <w:p w14:paraId="6F0C89F7" w14:textId="6EA81AA0" w:rsidR="00E7069A" w:rsidRDefault="00E7069A">
      <w:pPr>
        <w:contextualSpacing w:val="0"/>
        <w:rPr>
          <w:rFonts w:ascii="Calibri" w:eastAsia="Calibri" w:hAnsi="Calibri" w:cs="Calibri"/>
          <w:sz w:val="24"/>
          <w:szCs w:val="24"/>
        </w:rPr>
      </w:pPr>
    </w:p>
    <w:p w14:paraId="4F15B633" w14:textId="13ACE651" w:rsidR="00E7069A" w:rsidRDefault="00CE6DD8">
      <w:pPr>
        <w:contextualSpacing w:val="0"/>
        <w:rPr>
          <w:rFonts w:ascii="Calibri" w:eastAsia="Calibri" w:hAnsi="Calibri" w:cs="Calibri"/>
          <w:sz w:val="24"/>
          <w:szCs w:val="24"/>
        </w:rPr>
      </w:pPr>
      <w:r>
        <w:rPr>
          <w:rFonts w:ascii="Calibri" w:eastAsia="Calibri" w:hAnsi="Calibri" w:cs="Calibri"/>
          <w:sz w:val="24"/>
          <w:szCs w:val="24"/>
        </w:rPr>
        <w:t xml:space="preserve">Specifically, you are welcome to focus your clarifying questions/comments on the </w:t>
      </w:r>
      <w:r>
        <w:rPr>
          <w:rFonts w:ascii="Calibri" w:eastAsia="Calibri" w:hAnsi="Calibri" w:cs="Calibri"/>
          <w:b/>
          <w:sz w:val="24"/>
          <w:szCs w:val="24"/>
        </w:rPr>
        <w:t>Survey Results Section (Section V, pp.7-45)</w:t>
      </w:r>
      <w:r>
        <w:rPr>
          <w:rFonts w:ascii="Calibri" w:eastAsia="Calibri" w:hAnsi="Calibri" w:cs="Calibri"/>
          <w:sz w:val="24"/>
          <w:szCs w:val="24"/>
        </w:rPr>
        <w:t xml:space="preserve">. The full responses to all survey questions are included in the Appendix A.1-4; you are also encouraged to ask clarifying questions or comment on the survey results not highlighted in Section V. Data files that include the full text of open text responses are uploaded on this </w:t>
      </w:r>
      <w:hyperlink r:id="rId8">
        <w:r>
          <w:rPr>
            <w:rFonts w:ascii="Calibri" w:eastAsia="Calibri" w:hAnsi="Calibri" w:cs="Calibri"/>
            <w:color w:val="1155CC"/>
            <w:sz w:val="24"/>
            <w:szCs w:val="24"/>
            <w:u w:val="single"/>
          </w:rPr>
          <w:t>wiki page</w:t>
        </w:r>
      </w:hyperlink>
      <w:r>
        <w:rPr>
          <w:rFonts w:ascii="Calibri" w:eastAsia="Calibri" w:hAnsi="Calibri" w:cs="Calibri"/>
          <w:sz w:val="24"/>
          <w:szCs w:val="24"/>
        </w:rPr>
        <w:t xml:space="preserve"> under “V. Data Files - Open Text Responses to Survey Questions”. </w:t>
      </w:r>
    </w:p>
    <w:p w14:paraId="0EFBAAE8" w14:textId="6B0C74B6" w:rsidR="00E7069A" w:rsidRDefault="00E7069A">
      <w:pPr>
        <w:contextualSpacing w:val="0"/>
        <w:rPr>
          <w:rFonts w:ascii="Calibri" w:eastAsia="Calibri" w:hAnsi="Calibri" w:cs="Calibri"/>
          <w:sz w:val="24"/>
          <w:szCs w:val="24"/>
        </w:rPr>
      </w:pPr>
    </w:p>
    <w:p w14:paraId="67D83ABB" w14:textId="38709840" w:rsidR="00E7069A" w:rsidRDefault="00CE6DD8">
      <w:pPr>
        <w:contextualSpacing w:val="0"/>
        <w:rPr>
          <w:rFonts w:ascii="Calibri" w:eastAsia="Calibri" w:hAnsi="Calibri" w:cs="Calibri"/>
          <w:sz w:val="24"/>
          <w:szCs w:val="24"/>
        </w:rPr>
      </w:pPr>
      <w:r>
        <w:rPr>
          <w:rFonts w:ascii="Calibri" w:eastAsia="Calibri" w:hAnsi="Calibri" w:cs="Calibri"/>
          <w:sz w:val="24"/>
          <w:szCs w:val="24"/>
        </w:rPr>
        <w:t xml:space="preserve">When providing input, please reference the page number, as well as chart/table number (if applicable) of the Final Report. </w:t>
      </w:r>
    </w:p>
    <w:p w14:paraId="6D51F777" w14:textId="528DA6C4" w:rsidR="00E7069A" w:rsidRDefault="00E7069A">
      <w:pPr>
        <w:contextualSpacing w:val="0"/>
        <w:rPr>
          <w:rFonts w:ascii="Calibri" w:eastAsia="Calibri" w:hAnsi="Calibri" w:cs="Calibri"/>
          <w:sz w:val="24"/>
          <w:szCs w:val="24"/>
        </w:rPr>
      </w:pPr>
    </w:p>
    <w:p w14:paraId="7C8F80C5" w14:textId="25FFD3F0" w:rsidR="00E7069A" w:rsidRDefault="00CE6DD8">
      <w:pPr>
        <w:contextualSpacing w:val="0"/>
        <w:rPr>
          <w:rFonts w:ascii="Calibri" w:eastAsia="Calibri" w:hAnsi="Calibri" w:cs="Calibri"/>
          <w:sz w:val="24"/>
          <w:szCs w:val="24"/>
        </w:rPr>
      </w:pPr>
      <w:r>
        <w:rPr>
          <w:rFonts w:ascii="Calibri" w:eastAsia="Calibri" w:hAnsi="Calibri" w:cs="Calibri"/>
          <w:sz w:val="24"/>
          <w:szCs w:val="24"/>
        </w:rPr>
        <w:t xml:space="preserve">Please provide your input no later than </w:t>
      </w:r>
      <w:r>
        <w:rPr>
          <w:rFonts w:ascii="Calibri" w:eastAsia="Calibri" w:hAnsi="Calibri" w:cs="Calibri"/>
          <w:b/>
          <w:sz w:val="24"/>
          <w:szCs w:val="24"/>
          <w:u w:val="single"/>
        </w:rPr>
        <w:t>Wednesday, 07 November</w:t>
      </w:r>
      <w:r>
        <w:rPr>
          <w:rFonts w:ascii="Calibri" w:eastAsia="Calibri" w:hAnsi="Calibri" w:cs="Calibri"/>
          <w:sz w:val="24"/>
          <w:szCs w:val="24"/>
        </w:rPr>
        <w:t xml:space="preserve">. Thank you for your time and contribution! </w:t>
      </w:r>
    </w:p>
    <w:p w14:paraId="627268D0" w14:textId="77777777" w:rsidR="00937000" w:rsidRDefault="00937000">
      <w:pPr>
        <w:contextualSpacing w:val="0"/>
        <w:rPr>
          <w:rFonts w:ascii="Calibri" w:eastAsia="Calibri" w:hAnsi="Calibri" w:cs="Calibri"/>
          <w:sz w:val="24"/>
          <w:szCs w:val="24"/>
        </w:rPr>
      </w:pPr>
    </w:p>
    <w:p w14:paraId="76931D9E" w14:textId="440B62D4" w:rsidR="006D0CD7" w:rsidRDefault="006D0CD7">
      <w:pPr>
        <w:contextualSpacing w:val="0"/>
        <w:rPr>
          <w:rFonts w:ascii="Calibri" w:eastAsia="Calibri" w:hAnsi="Calibri" w:cs="Calibri"/>
          <w:sz w:val="24"/>
          <w:szCs w:val="24"/>
        </w:rPr>
      </w:pPr>
      <w:r>
        <w:rPr>
          <w:rFonts w:ascii="Calibri" w:eastAsia="Calibri" w:hAnsi="Calibri" w:cs="Calibri"/>
          <w:sz w:val="24"/>
          <w:szCs w:val="24"/>
        </w:rPr>
        <w:t>Analysis Group re</w:t>
      </w:r>
      <w:r w:rsidR="00937000">
        <w:rPr>
          <w:rFonts w:ascii="Calibri" w:eastAsia="Calibri" w:hAnsi="Calibri" w:cs="Calibri"/>
          <w:sz w:val="24"/>
          <w:szCs w:val="24"/>
        </w:rPr>
        <w:t>plies</w:t>
      </w:r>
      <w:r>
        <w:rPr>
          <w:rFonts w:ascii="Calibri" w:eastAsia="Calibri" w:hAnsi="Calibri" w:cs="Calibri"/>
          <w:sz w:val="24"/>
          <w:szCs w:val="24"/>
        </w:rPr>
        <w:t xml:space="preserve"> in response to comments and questions from the Working Group meeting on 11/28/2018 are given in green rows below.</w:t>
      </w:r>
    </w:p>
    <w:p w14:paraId="4952992B" w14:textId="4006FA84" w:rsidR="00354D4B" w:rsidRPr="00EC37F4" w:rsidRDefault="00354D4B" w:rsidP="00EC37F4">
      <w:pPr>
        <w:contextualSpacing w:val="0"/>
        <w:rPr>
          <w:rFonts w:ascii="Calibri" w:eastAsia="Calibri" w:hAnsi="Calibri" w:cs="Calibri"/>
        </w:rPr>
      </w:pPr>
    </w:p>
    <w:tbl>
      <w:tblPr>
        <w:tblStyle w:val="a"/>
        <w:tblW w:w="1345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000"/>
        <w:gridCol w:w="663"/>
        <w:gridCol w:w="1440"/>
        <w:gridCol w:w="5040"/>
        <w:gridCol w:w="5316"/>
      </w:tblGrid>
      <w:tr w:rsidR="00E7069A" w14:paraId="548CDDDF" w14:textId="77777777" w:rsidTr="006B2ADC">
        <w:trPr>
          <w:trHeight w:val="520"/>
        </w:trPr>
        <w:tc>
          <w:tcPr>
            <w:tcW w:w="100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068933B3"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Name</w:t>
            </w:r>
          </w:p>
        </w:tc>
        <w:tc>
          <w:tcPr>
            <w:tcW w:w="663"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5890FF0A"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Page No.</w:t>
            </w:r>
          </w:p>
        </w:tc>
        <w:tc>
          <w:tcPr>
            <w:tcW w:w="144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4D95187F"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 xml:space="preserve">Chart / Table No. </w:t>
            </w:r>
          </w:p>
        </w:tc>
        <w:tc>
          <w:tcPr>
            <w:tcW w:w="504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6BD98F42"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Comment / Question</w:t>
            </w:r>
          </w:p>
        </w:tc>
        <w:tc>
          <w:tcPr>
            <w:tcW w:w="5316"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14:paraId="1459CFFD" w14:textId="77777777" w:rsidR="00E7069A" w:rsidRDefault="00CE6DD8">
            <w:pPr>
              <w:widowControl w:val="0"/>
              <w:contextualSpacing w:val="0"/>
              <w:rPr>
                <w:rFonts w:ascii="Calibri" w:eastAsia="Calibri" w:hAnsi="Calibri" w:cs="Calibri"/>
                <w:b/>
                <w:sz w:val="20"/>
                <w:szCs w:val="20"/>
              </w:rPr>
            </w:pPr>
            <w:r>
              <w:rPr>
                <w:rFonts w:ascii="Calibri" w:eastAsia="Calibri" w:hAnsi="Calibri" w:cs="Calibri"/>
                <w:b/>
                <w:sz w:val="20"/>
                <w:szCs w:val="20"/>
              </w:rPr>
              <w:t xml:space="preserve">Analysis Group Response </w:t>
            </w:r>
          </w:p>
        </w:tc>
      </w:tr>
      <w:tr w:rsidR="00AC3602" w14:paraId="60D34FAA" w14:textId="77777777" w:rsidTr="00F71F86">
        <w:trPr>
          <w:trHeight w:val="520"/>
        </w:trPr>
        <w:tc>
          <w:tcPr>
            <w:tcW w:w="1000" w:type="dxa"/>
            <w:vMerge w:val="restart"/>
            <w:tcBorders>
              <w:top w:val="single" w:sz="6" w:space="0" w:color="000000"/>
              <w:left w:val="single" w:sz="6" w:space="0" w:color="000000"/>
              <w:right w:val="single" w:sz="6" w:space="0" w:color="000000"/>
            </w:tcBorders>
            <w:shd w:val="clear" w:color="auto" w:fill="auto"/>
            <w:tcMar>
              <w:top w:w="40" w:type="dxa"/>
              <w:left w:w="40" w:type="dxa"/>
              <w:bottom w:w="40" w:type="dxa"/>
              <w:right w:w="40" w:type="dxa"/>
            </w:tcMar>
          </w:tcPr>
          <w:p w14:paraId="7C697DB8" w14:textId="77777777" w:rsidR="00AC3602" w:rsidRDefault="00AC3602" w:rsidP="00331A55">
            <w:pPr>
              <w:widowControl w:val="0"/>
              <w:contextualSpacing w:val="0"/>
              <w:rPr>
                <w:rFonts w:ascii="Calibri" w:eastAsia="Calibri" w:hAnsi="Calibri" w:cs="Calibri"/>
                <w:sz w:val="24"/>
                <w:szCs w:val="24"/>
              </w:rPr>
            </w:pPr>
            <w:r>
              <w:rPr>
                <w:rFonts w:ascii="Calibri" w:eastAsia="Calibri" w:hAnsi="Calibri" w:cs="Calibri"/>
                <w:sz w:val="24"/>
                <w:szCs w:val="24"/>
              </w:rPr>
              <w:t>Rebecca Tushnet</w:t>
            </w:r>
          </w:p>
          <w:p w14:paraId="19B891F6" w14:textId="77777777" w:rsidR="00AC3602" w:rsidRDefault="00AC3602" w:rsidP="00331A55">
            <w:pPr>
              <w:widowControl w:val="0"/>
              <w:contextualSpacing w:val="0"/>
              <w:rPr>
                <w:rFonts w:ascii="Calibri" w:eastAsia="Calibri" w:hAnsi="Calibri" w:cs="Calibri"/>
                <w:sz w:val="24"/>
                <w:szCs w:val="24"/>
              </w:rPr>
            </w:pPr>
          </w:p>
          <w:p w14:paraId="4F80F983" w14:textId="219E4DC4" w:rsidR="00AC3602" w:rsidRDefault="00AC3602" w:rsidP="00AC3602">
            <w:pPr>
              <w:widowControl w:val="0"/>
              <w:contextualSpacing w:val="0"/>
              <w:rPr>
                <w:rFonts w:ascii="Calibri" w:eastAsia="Calibri" w:hAnsi="Calibri" w:cs="Calibri"/>
                <w:b/>
                <w:sz w:val="20"/>
                <w:szCs w:val="20"/>
              </w:rPr>
            </w:pPr>
          </w:p>
        </w:tc>
        <w:tc>
          <w:tcPr>
            <w:tcW w:w="663"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21F0E378" w14:textId="77777777" w:rsidR="00AC3602" w:rsidRDefault="00AC3602">
            <w:pPr>
              <w:widowControl w:val="0"/>
              <w:contextualSpacing w:val="0"/>
              <w:rPr>
                <w:rFonts w:ascii="Calibri" w:eastAsia="Calibri" w:hAnsi="Calibri" w:cs="Calibri"/>
                <w:b/>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1533402" w14:textId="77777777" w:rsidR="00AC3602" w:rsidRDefault="00AC3602">
            <w:pPr>
              <w:widowControl w:val="0"/>
              <w:contextualSpacing w:val="0"/>
              <w:rPr>
                <w:rFonts w:ascii="Calibri" w:eastAsia="Calibri" w:hAnsi="Calibri" w:cs="Calibri"/>
                <w:b/>
                <w:sz w:val="20"/>
                <w:szCs w:val="20"/>
              </w:rPr>
            </w:pPr>
          </w:p>
        </w:tc>
        <w:tc>
          <w:tcPr>
            <w:tcW w:w="5040"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7584363B" w14:textId="77777777" w:rsidR="00AC3602" w:rsidRDefault="00AC3602" w:rsidP="00A75367">
            <w:pPr>
              <w:widowControl w:val="0"/>
              <w:contextualSpacing w:val="0"/>
              <w:rPr>
                <w:rFonts w:ascii="Calibri" w:eastAsia="Calibri" w:hAnsi="Calibri" w:cs="Calibri"/>
                <w:b/>
                <w:sz w:val="24"/>
                <w:szCs w:val="24"/>
              </w:rPr>
            </w:pPr>
            <w:r>
              <w:rPr>
                <w:rFonts w:ascii="Calibri" w:eastAsia="Calibri" w:hAnsi="Calibri" w:cs="Calibri"/>
                <w:b/>
                <w:sz w:val="24"/>
                <w:szCs w:val="24"/>
              </w:rPr>
              <w:t>Comment from 11/28/2018 Meeting:</w:t>
            </w:r>
          </w:p>
          <w:p w14:paraId="5FFEFA28" w14:textId="33CB5E14" w:rsidR="00AC3602" w:rsidRPr="00A75367" w:rsidRDefault="00AC3602" w:rsidP="00A75367">
            <w:pPr>
              <w:widowControl w:val="0"/>
              <w:contextualSpacing w:val="0"/>
              <w:rPr>
                <w:rFonts w:ascii="Calibri" w:eastAsia="Calibri" w:hAnsi="Calibri" w:cs="Calibri"/>
                <w:sz w:val="24"/>
                <w:szCs w:val="24"/>
              </w:rPr>
            </w:pPr>
            <w:r>
              <w:rPr>
                <w:rFonts w:ascii="Calibri" w:eastAsia="Calibri" w:hAnsi="Calibri" w:cs="Calibri"/>
                <w:sz w:val="24"/>
                <w:szCs w:val="24"/>
              </w:rPr>
              <w:t>“Were there any anti-fraud questions?” AG to look to see if there were other suspicious responses.</w:t>
            </w:r>
          </w:p>
        </w:tc>
        <w:tc>
          <w:tcPr>
            <w:tcW w:w="5316" w:type="dxa"/>
            <w:tcBorders>
              <w:top w:val="single" w:sz="6" w:space="0" w:color="000000"/>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53CFAAAB" w14:textId="25F1EBC6" w:rsidR="00AC3602" w:rsidRPr="00EC37F4" w:rsidRDefault="00AC3602" w:rsidP="00131FAF">
            <w:pPr>
              <w:widowControl w:val="0"/>
              <w:contextualSpacing w:val="0"/>
              <w:rPr>
                <w:rFonts w:ascii="Calibri" w:eastAsia="Calibri" w:hAnsi="Calibri" w:cs="Calibri"/>
                <w:sz w:val="24"/>
                <w:szCs w:val="24"/>
              </w:rPr>
            </w:pPr>
            <w:r w:rsidRPr="00EC37F4">
              <w:rPr>
                <w:rFonts w:ascii="Calibri" w:eastAsia="Calibri" w:hAnsi="Calibri" w:cs="Calibri"/>
                <w:sz w:val="24"/>
                <w:szCs w:val="24"/>
              </w:rPr>
              <w:t xml:space="preserve">In the </w:t>
            </w:r>
            <w:r>
              <w:rPr>
                <w:rFonts w:ascii="Calibri" w:eastAsia="Calibri" w:hAnsi="Calibri" w:cs="Calibri"/>
                <w:sz w:val="24"/>
                <w:szCs w:val="24"/>
              </w:rPr>
              <w:t>R</w:t>
            </w:r>
            <w:r w:rsidRPr="00EC37F4">
              <w:rPr>
                <w:rFonts w:ascii="Calibri" w:eastAsia="Calibri" w:hAnsi="Calibri" w:cs="Calibri"/>
                <w:sz w:val="24"/>
                <w:szCs w:val="24"/>
              </w:rPr>
              <w:t xml:space="preserve">egistrants survey, the Panel sample filters out suspicious responses (those that completed the survey in an unrealistically short amount of time). Based on the length of time it took other survey respondents (ICANN registrants, registry operators, trademark holders, and registrars) to complete the surveys, there do not appear to be any fraudulent responses. There was a range in the apparent effort put forward by respondents in the open-ended </w:t>
            </w:r>
            <w:r w:rsidRPr="00EC37F4">
              <w:rPr>
                <w:rFonts w:ascii="Calibri" w:eastAsia="Calibri" w:hAnsi="Calibri" w:cs="Calibri"/>
                <w:sz w:val="24"/>
                <w:szCs w:val="24"/>
              </w:rPr>
              <w:lastRenderedPageBreak/>
              <w:t>response questions, but this does not interfere with overall interpretation of the results.</w:t>
            </w:r>
          </w:p>
        </w:tc>
      </w:tr>
      <w:tr w:rsidR="00AC3602" w14:paraId="08E9EDDF" w14:textId="77777777" w:rsidTr="00331A55">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3B28A05C" w14:textId="6A2A596C" w:rsidR="00AC3602" w:rsidRDefault="00AC3602">
            <w:pPr>
              <w:widowControl w:val="0"/>
              <w:contextualSpacing w:val="0"/>
              <w:rPr>
                <w:rFonts w:ascii="Calibri" w:eastAsia="Calibri" w:hAnsi="Calibri" w:cs="Calibri"/>
                <w:sz w:val="24"/>
                <w:szCs w:val="24"/>
              </w:rPr>
            </w:pPr>
          </w:p>
        </w:tc>
        <w:tc>
          <w:tcPr>
            <w:tcW w:w="66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09CB5ED" w14:textId="77777777" w:rsidR="00AC3602" w:rsidRDefault="00AC3602">
            <w:pPr>
              <w:widowControl w:val="0"/>
              <w:contextualSpacing w:val="0"/>
              <w:rPr>
                <w:rFonts w:ascii="Calibri" w:eastAsia="Calibri" w:hAnsi="Calibri" w:cs="Calibri"/>
                <w:sz w:val="24"/>
                <w:szCs w:val="24"/>
              </w:rPr>
            </w:pPr>
            <w:bookmarkStart w:id="0" w:name="_GoBack"/>
            <w:bookmarkEnd w:id="0"/>
            <w:r>
              <w:rPr>
                <w:rFonts w:ascii="Calibri" w:eastAsia="Calibri" w:hAnsi="Calibri" w:cs="Calibri"/>
                <w:sz w:val="24"/>
                <w:szCs w:val="24"/>
              </w:rPr>
              <w:t>61</w:t>
            </w:r>
          </w:p>
        </w:tc>
        <w:tc>
          <w:tcPr>
            <w:tcW w:w="144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6FC0A08"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Q6c (registrant)</w:t>
            </w:r>
          </w:p>
        </w:tc>
        <w:tc>
          <w:tcPr>
            <w:tcW w:w="504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19B2F0"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I’d like to see the open text responses (total of 2) from the ICANN group</w:t>
            </w:r>
          </w:p>
        </w:tc>
        <w:tc>
          <w:tcPr>
            <w:tcW w:w="5316"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AF29FD1" w14:textId="2ECAF0B8"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Please see the raw data for this information.</w:t>
            </w:r>
          </w:p>
        </w:tc>
      </w:tr>
      <w:tr w:rsidR="00AC3602" w14:paraId="13859789" w14:textId="77777777" w:rsidTr="00331A55">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1157286E" w14:textId="77777777" w:rsidR="00AC3602" w:rsidRDefault="00AC3602">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7B6C213"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12</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94042FF" w14:textId="3FB6C1EB"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Q3&amp;4 (registrant)</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570049"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Source of the mismatch between those who said they received a Claims Notice? In one answer it’s 48 and in the other it’s 47</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1B2CD95" w14:textId="34B246A6" w:rsidR="00AC3602" w:rsidRDefault="00AC3602" w:rsidP="00B369C6">
            <w:pPr>
              <w:widowControl w:val="0"/>
              <w:contextualSpacing w:val="0"/>
              <w:rPr>
                <w:rFonts w:ascii="Calibri" w:eastAsia="Calibri" w:hAnsi="Calibri" w:cs="Calibri"/>
                <w:sz w:val="24"/>
                <w:szCs w:val="24"/>
              </w:rPr>
            </w:pPr>
            <w:r>
              <w:rPr>
                <w:rFonts w:ascii="Calibri" w:eastAsia="Calibri" w:hAnsi="Calibri" w:cs="Calibri"/>
                <w:sz w:val="24"/>
                <w:szCs w:val="24"/>
              </w:rPr>
              <w:t>We believe this is in reference to Q6 and Q6a of the Registrant Survey, where Q6a is a follow-up question to Q6. One of the respondents dropped out of the survey at Q6a, reducing the count from 48 to 47. See respid 467 in tab ‘</w:t>
            </w:r>
            <w:r w:rsidRPr="006B2ADC">
              <w:rPr>
                <w:rFonts w:ascii="Calibri" w:eastAsia="Calibri" w:hAnsi="Calibri" w:cs="Calibri"/>
                <w:sz w:val="24"/>
                <w:szCs w:val="24"/>
              </w:rPr>
              <w:t>Raw Survey Results</w:t>
            </w:r>
            <w:r>
              <w:rPr>
                <w:rFonts w:ascii="Calibri" w:eastAsia="Calibri" w:hAnsi="Calibri" w:cs="Calibri"/>
                <w:sz w:val="24"/>
                <w:szCs w:val="24"/>
              </w:rPr>
              <w:t>’ of the Registrant.xlsx spreadsheet.</w:t>
            </w:r>
          </w:p>
        </w:tc>
      </w:tr>
      <w:tr w:rsidR="00AC3602" w14:paraId="73711C30" w14:textId="77777777" w:rsidTr="00331A55">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07132469" w14:textId="77777777" w:rsidR="00AC3602" w:rsidRDefault="00AC3602">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468881F"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13-16</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93AB4AD"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Q6&amp;8 (registrant)</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321928"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 xml:space="preserve">Can we get the breakdowns of what percentage of domain name registrants who said they received a claims notice (Q6) and continued, then later responded to Q8 by saying they did receive a post-registration action such as a C&amp;D?  This isn’t evident from the summary tables.  </w:t>
            </w:r>
          </w:p>
          <w:p w14:paraId="48FBD1DF" w14:textId="77777777" w:rsidR="00AC3602" w:rsidRDefault="00AC3602">
            <w:pPr>
              <w:widowControl w:val="0"/>
              <w:contextualSpacing w:val="0"/>
              <w:rPr>
                <w:rFonts w:ascii="Calibri" w:eastAsia="Calibri" w:hAnsi="Calibri" w:cs="Calibri"/>
                <w:sz w:val="24"/>
                <w:szCs w:val="24"/>
              </w:rPr>
            </w:pPr>
          </w:p>
          <w:p w14:paraId="7FAF36A5"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Right now we now that, among registrant survey respondents, 83% of those who received a Claims Notice completed the registration attempt (thus generating a NORN to the TM owner), but it’s not clear how many of that subset (if any) answered Q8 by reporting some post-registration challenge.</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5210BF" w14:textId="0E2BF111" w:rsidR="00AC3602" w:rsidRDefault="00AC3602" w:rsidP="00146B03">
            <w:pPr>
              <w:widowControl w:val="0"/>
              <w:contextualSpacing w:val="0"/>
              <w:rPr>
                <w:rFonts w:ascii="Calibri" w:eastAsia="Calibri" w:hAnsi="Calibri" w:cs="Calibri"/>
                <w:sz w:val="24"/>
                <w:szCs w:val="24"/>
              </w:rPr>
            </w:pPr>
            <w:r>
              <w:rPr>
                <w:rFonts w:ascii="Calibri" w:eastAsia="Calibri" w:hAnsi="Calibri" w:cs="Calibri"/>
                <w:sz w:val="24"/>
                <w:szCs w:val="24"/>
              </w:rPr>
              <w:t>48 respondents received a claims notice (Q6), and 39 of these respondents completed the domain name registration (Q6a). Of these:</w:t>
            </w:r>
          </w:p>
          <w:p w14:paraId="42606D38" w14:textId="544F06F8" w:rsidR="00AC3602" w:rsidRDefault="00AC3602" w:rsidP="00B369C6">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9 received a URS or UDRP notice (8 from the Panel and 1 from the ICANN sample)</w:t>
            </w:r>
          </w:p>
          <w:p w14:paraId="6FC65632" w14:textId="1D55FF12" w:rsidR="00AC3602" w:rsidRDefault="00AC3602" w:rsidP="00B369C6">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8 received a Cease and Desist letter (7 from the Panel and 1 from the ICANN sample)</w:t>
            </w:r>
          </w:p>
          <w:p w14:paraId="50D6EFA0" w14:textId="0727244B" w:rsidR="00AC3602" w:rsidRPr="0027766A" w:rsidRDefault="00AC3602" w:rsidP="0027766A">
            <w:pPr>
              <w:pStyle w:val="ListParagraph"/>
              <w:widowControl w:val="0"/>
              <w:numPr>
                <w:ilvl w:val="0"/>
                <w:numId w:val="1"/>
              </w:numPr>
              <w:contextualSpacing w:val="0"/>
              <w:rPr>
                <w:rFonts w:ascii="Calibri" w:eastAsia="Calibri" w:hAnsi="Calibri" w:cs="Calibri"/>
                <w:sz w:val="24"/>
                <w:szCs w:val="24"/>
              </w:rPr>
            </w:pPr>
            <w:r w:rsidRPr="00D44B2D">
              <w:rPr>
                <w:rFonts w:ascii="Calibri" w:eastAsia="Calibri" w:hAnsi="Calibri" w:cs="Calibri"/>
                <w:sz w:val="24"/>
                <w:szCs w:val="24"/>
              </w:rPr>
              <w:t>4 received notice of a lawsuit regarding trademark infringement (</w:t>
            </w:r>
            <w:r>
              <w:rPr>
                <w:rFonts w:ascii="Calibri" w:eastAsia="Calibri" w:hAnsi="Calibri" w:cs="Calibri"/>
                <w:sz w:val="24"/>
                <w:szCs w:val="24"/>
              </w:rPr>
              <w:t>all</w:t>
            </w:r>
            <w:r w:rsidRPr="00D44B2D">
              <w:rPr>
                <w:rFonts w:ascii="Calibri" w:eastAsia="Calibri" w:hAnsi="Calibri" w:cs="Calibri"/>
                <w:sz w:val="24"/>
                <w:szCs w:val="24"/>
              </w:rPr>
              <w:t xml:space="preserve"> from the Panel sample)</w:t>
            </w:r>
          </w:p>
          <w:p w14:paraId="135CB32A" w14:textId="650CCC6A" w:rsidR="00AC3602"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In total, 13 out of the 39 respondents that completed registration (33%) received some type of post-registration challenge (11 from the Panel and 2 from the ICANN sample)</w:t>
            </w:r>
          </w:p>
          <w:p w14:paraId="499BDC08" w14:textId="72BC19A0"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 xml:space="preserve">Of the 6 respondents that received a claims notice (Q6) but did not complete the domain name </w:t>
            </w:r>
            <w:r>
              <w:rPr>
                <w:rFonts w:ascii="Calibri" w:eastAsia="Calibri" w:hAnsi="Calibri" w:cs="Calibri"/>
                <w:sz w:val="24"/>
                <w:szCs w:val="24"/>
              </w:rPr>
              <w:lastRenderedPageBreak/>
              <w:t>registration (Q6a):</w:t>
            </w:r>
          </w:p>
          <w:p w14:paraId="0A917832" w14:textId="63F7737D" w:rsidR="00AC3602" w:rsidRDefault="00AC3602" w:rsidP="000C4F30">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 xml:space="preserve">No one received a URS or UDRP notice </w:t>
            </w:r>
          </w:p>
          <w:p w14:paraId="09BCDF99" w14:textId="5D1A6FDE" w:rsidR="00AC3602" w:rsidRDefault="00AC3602" w:rsidP="000C4F30">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2 received a Cease and Desist letter (all</w:t>
            </w:r>
            <w:r w:rsidRPr="002008A7">
              <w:rPr>
                <w:rFonts w:ascii="Calibri" w:eastAsia="Calibri" w:hAnsi="Calibri" w:cs="Calibri"/>
                <w:sz w:val="24"/>
                <w:szCs w:val="24"/>
              </w:rPr>
              <w:t xml:space="preserve"> from the Panel sample</w:t>
            </w:r>
            <w:r>
              <w:rPr>
                <w:rFonts w:ascii="Calibri" w:eastAsia="Calibri" w:hAnsi="Calibri" w:cs="Calibri"/>
                <w:sz w:val="24"/>
                <w:szCs w:val="24"/>
              </w:rPr>
              <w:t>)</w:t>
            </w:r>
          </w:p>
          <w:p w14:paraId="2DDAA45C" w14:textId="421020BB" w:rsidR="00AC3602" w:rsidRPr="002008A7" w:rsidRDefault="00AC3602" w:rsidP="000C4F30">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No one</w:t>
            </w:r>
            <w:r w:rsidRPr="00D44B2D">
              <w:rPr>
                <w:rFonts w:ascii="Calibri" w:eastAsia="Calibri" w:hAnsi="Calibri" w:cs="Calibri"/>
                <w:sz w:val="24"/>
                <w:szCs w:val="24"/>
              </w:rPr>
              <w:t xml:space="preserve"> received notice of a lawsuit regarding trademark infringement</w:t>
            </w:r>
          </w:p>
          <w:p w14:paraId="7FD04196" w14:textId="53C504B5" w:rsidR="00AC3602" w:rsidRPr="00015E4C"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In total, 2 out of the 6 respondents that did not complete registration (33%) received some type of post-registration challenge (all from the Panel sample)</w:t>
            </w:r>
          </w:p>
        </w:tc>
      </w:tr>
      <w:tr w:rsidR="00AC3602" w14:paraId="7D833B6A" w14:textId="77777777" w:rsidTr="00331A55">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70FE69B0" w14:textId="77777777" w:rsidR="00AC3602" w:rsidRDefault="00AC3602">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6B29886F" w14:textId="73156FA9"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13-16</w:t>
            </w:r>
          </w:p>
        </w:tc>
        <w:tc>
          <w:tcPr>
            <w:tcW w:w="14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3640223" w14:textId="0FF19D1C"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Q6&amp;Q8</w:t>
            </w:r>
          </w:p>
        </w:tc>
        <w:tc>
          <w:tcPr>
            <w:tcW w:w="50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7359140" w14:textId="249452AF" w:rsidR="00AC3602" w:rsidRDefault="00AC3602" w:rsidP="00F71F86">
            <w:pPr>
              <w:widowControl w:val="0"/>
              <w:contextualSpacing w:val="0"/>
              <w:rPr>
                <w:rFonts w:ascii="Calibri" w:eastAsia="Calibri" w:hAnsi="Calibri" w:cs="Calibri"/>
                <w:sz w:val="24"/>
                <w:szCs w:val="24"/>
              </w:rPr>
            </w:pPr>
            <w:r>
              <w:rPr>
                <w:rFonts w:ascii="Calibri" w:eastAsia="Calibri" w:hAnsi="Calibri" w:cs="Calibri"/>
                <w:b/>
                <w:sz w:val="24"/>
                <w:szCs w:val="24"/>
              </w:rPr>
              <w:t xml:space="preserve">Comments from 11/28/2018 Meeting: </w:t>
            </w:r>
          </w:p>
          <w:p w14:paraId="58D8CD10" w14:textId="4A09D1CB" w:rsidR="00AC3602" w:rsidRPr="00577B83" w:rsidRDefault="00AC3602" w:rsidP="00577B83">
            <w:pPr>
              <w:pStyle w:val="ListParagraph"/>
              <w:widowControl w:val="0"/>
              <w:numPr>
                <w:ilvl w:val="0"/>
                <w:numId w:val="3"/>
              </w:numPr>
              <w:contextualSpacing w:val="0"/>
              <w:rPr>
                <w:rFonts w:ascii="Calibri" w:eastAsia="Calibri" w:hAnsi="Calibri" w:cs="Calibri"/>
                <w:sz w:val="24"/>
                <w:szCs w:val="24"/>
              </w:rPr>
            </w:pPr>
            <w:r w:rsidRPr="00577B83">
              <w:rPr>
                <w:rFonts w:asciiTheme="majorHAnsi" w:hAnsiTheme="majorHAnsi" w:cstheme="majorHAnsi"/>
                <w:sz w:val="24"/>
                <w:szCs w:val="24"/>
              </w:rPr>
              <w:t>“</w:t>
            </w:r>
            <w:r w:rsidRPr="00577B83">
              <w:rPr>
                <w:rFonts w:asciiTheme="majorHAnsi" w:hAnsiTheme="majorHAnsi" w:cstheme="majorHAnsi"/>
                <w:color w:val="333333"/>
                <w:sz w:val="24"/>
                <w:szCs w:val="24"/>
              </w:rPr>
              <w:t>Seems like we aren't comparing the same thing -- doesn't seem that question 8 is specific, so we aren't talking about the same scenario as 6a.  It seems that 6a and 8 are not asking about the same scenario.”</w:t>
            </w:r>
          </w:p>
          <w:p w14:paraId="1EB2BD47" w14:textId="5D3517A4" w:rsidR="00AC3602" w:rsidRPr="00577B83" w:rsidRDefault="00AC3602" w:rsidP="00577B83">
            <w:pPr>
              <w:pStyle w:val="ListParagraph"/>
              <w:widowControl w:val="0"/>
              <w:numPr>
                <w:ilvl w:val="0"/>
                <w:numId w:val="3"/>
              </w:numPr>
              <w:contextualSpacing w:val="0"/>
              <w:rPr>
                <w:rFonts w:ascii="Calibri" w:eastAsia="Calibri" w:hAnsi="Calibri" w:cs="Calibri"/>
                <w:sz w:val="24"/>
                <w:szCs w:val="24"/>
              </w:rPr>
            </w:pPr>
            <w:r w:rsidRPr="00577B83">
              <w:rPr>
                <w:rFonts w:ascii="Calibri" w:eastAsia="Calibri" w:hAnsi="Calibri" w:cs="Calibri"/>
                <w:sz w:val="24"/>
                <w:szCs w:val="24"/>
              </w:rPr>
              <w:t>“How could 2 have received a Cease and Desist letter?”</w:t>
            </w:r>
          </w:p>
        </w:tc>
        <w:tc>
          <w:tcPr>
            <w:tcW w:w="5316"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4A1407FC" w14:textId="2229B76C" w:rsidR="00AC3602" w:rsidRPr="00AE3E5C" w:rsidRDefault="00AC3602" w:rsidP="00131FAF">
            <w:pPr>
              <w:widowControl w:val="0"/>
              <w:contextualSpacing w:val="0"/>
              <w:rPr>
                <w:rFonts w:ascii="Calibri" w:eastAsia="Calibri" w:hAnsi="Calibri" w:cs="Calibri"/>
                <w:sz w:val="24"/>
                <w:szCs w:val="24"/>
              </w:rPr>
            </w:pPr>
            <w:r w:rsidRPr="00F71F86">
              <w:rPr>
                <w:rFonts w:ascii="Calibri" w:eastAsia="Calibri" w:hAnsi="Calibri" w:cs="Calibri"/>
                <w:sz w:val="24"/>
                <w:szCs w:val="24"/>
              </w:rPr>
              <w:t xml:space="preserve">We believe it is possible that the 2 respondents who </w:t>
            </w:r>
            <w:r>
              <w:rPr>
                <w:rFonts w:ascii="Calibri" w:eastAsia="Calibri" w:hAnsi="Calibri" w:cs="Calibri"/>
                <w:sz w:val="24"/>
                <w:szCs w:val="24"/>
              </w:rPr>
              <w:t xml:space="preserve">responded in Q8 that they </w:t>
            </w:r>
            <w:r w:rsidRPr="00F71F86">
              <w:rPr>
                <w:rFonts w:ascii="Calibri" w:eastAsia="Calibri" w:hAnsi="Calibri" w:cs="Calibri"/>
                <w:sz w:val="24"/>
                <w:szCs w:val="24"/>
              </w:rPr>
              <w:t xml:space="preserve">received a C&amp;D letter </w:t>
            </w:r>
            <w:r>
              <w:rPr>
                <w:rFonts w:ascii="Calibri" w:eastAsia="Calibri" w:hAnsi="Calibri" w:cs="Calibri"/>
                <w:sz w:val="24"/>
                <w:szCs w:val="24"/>
              </w:rPr>
              <w:t xml:space="preserve">in response to any registration attempt in a new gTLD </w:t>
            </w:r>
            <w:r w:rsidRPr="00F71F86">
              <w:rPr>
                <w:rFonts w:ascii="Calibri" w:eastAsia="Calibri" w:hAnsi="Calibri" w:cs="Calibri"/>
                <w:sz w:val="24"/>
                <w:szCs w:val="24"/>
              </w:rPr>
              <w:t xml:space="preserve">are referring to a domain name registration </w:t>
            </w:r>
            <w:r>
              <w:rPr>
                <w:rFonts w:ascii="Calibri" w:eastAsia="Calibri" w:hAnsi="Calibri" w:cs="Calibri"/>
                <w:sz w:val="24"/>
                <w:szCs w:val="24"/>
              </w:rPr>
              <w:t>when they did not abort the registration attempt after receiving a Claims Notice (i.e., Q8 is not restricted to instances when the respondent aborted a registration attempt due to the Claims Notice)</w:t>
            </w:r>
            <w:r w:rsidRPr="00F71F86">
              <w:rPr>
                <w:rFonts w:ascii="Calibri" w:eastAsia="Calibri" w:hAnsi="Calibri" w:cs="Calibri"/>
                <w:sz w:val="24"/>
                <w:szCs w:val="24"/>
              </w:rPr>
              <w:t>.</w:t>
            </w:r>
          </w:p>
        </w:tc>
      </w:tr>
      <w:tr w:rsidR="00AC3602" w14:paraId="4836D30E" w14:textId="77777777" w:rsidTr="00331A55">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555351A6" w14:textId="77777777" w:rsidR="00AC3602" w:rsidRDefault="00AC3602">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8704304"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34</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5C7D802"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Q21a (TM  owner survey)</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EB67966"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 xml:space="preserve">We also know that in the TM survey, 82% of those who received a NORN sent a cease-and-desist letter, while 55% filed a UDRP complaint and then there were smaller percentages of respondents that either attempted to purchase it or filed a URS complaint. Q21a.  Since respondents could select multiple answers, I’d like to know the total percentage of respondents who took some action </w:t>
            </w:r>
            <w:r>
              <w:rPr>
                <w:rFonts w:ascii="Calibri" w:eastAsia="Calibri" w:hAnsi="Calibri" w:cs="Calibri"/>
                <w:sz w:val="24"/>
                <w:szCs w:val="24"/>
              </w:rPr>
              <w:lastRenderedPageBreak/>
              <w:t xml:space="preserve">that would be visible to the domain name registrant (thus not including simple monitoring of the URL). </w:t>
            </w:r>
          </w:p>
          <w:p w14:paraId="195C327F"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 xml:space="preserve"> </w:t>
            </w:r>
          </w:p>
          <w:p w14:paraId="0109EFF5" w14:textId="77777777"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Why this is of interest: I’d like to be able to compare the percentage in the domain name registrant survey who said they’d received a claims notice and continued with the registration, then subsequently received some type of TM owner notice, with the percentage in the TM owner survey who said they’d received a NORN and also said they’d taken further action that would have been noticeable to the domain name registrant.</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F704FA" w14:textId="30FAF6AF" w:rsidR="00AC3602" w:rsidRDefault="00AC3602" w:rsidP="00D86158">
            <w:pPr>
              <w:widowControl w:val="0"/>
              <w:contextualSpacing w:val="0"/>
              <w:rPr>
                <w:rFonts w:ascii="Calibri" w:eastAsia="Calibri" w:hAnsi="Calibri" w:cs="Calibri"/>
                <w:sz w:val="24"/>
                <w:szCs w:val="24"/>
              </w:rPr>
            </w:pPr>
            <w:r>
              <w:rPr>
                <w:rFonts w:ascii="Calibri" w:eastAsia="Calibri" w:hAnsi="Calibri" w:cs="Calibri"/>
                <w:sz w:val="24"/>
                <w:szCs w:val="24"/>
              </w:rPr>
              <w:lastRenderedPageBreak/>
              <w:t xml:space="preserve">Note that the 82% and 55% of the respondents </w:t>
            </w:r>
            <w:r w:rsidRPr="0027766A">
              <w:rPr>
                <w:rFonts w:ascii="Calibri" w:eastAsia="Calibri" w:hAnsi="Calibri" w:cs="Calibri"/>
                <w:i/>
                <w:sz w:val="24"/>
                <w:szCs w:val="24"/>
              </w:rPr>
              <w:t>who took some action</w:t>
            </w:r>
            <w:r>
              <w:rPr>
                <w:rFonts w:ascii="Calibri" w:eastAsia="Calibri" w:hAnsi="Calibri" w:cs="Calibri"/>
                <w:sz w:val="24"/>
                <w:szCs w:val="24"/>
              </w:rPr>
              <w:t xml:space="preserve"> in response to receiving a NORN sent a cease-and-desist letter or filed a UDRP complaint. The denominator represents respondents who said “Yes” to Q21.a.</w:t>
            </w:r>
          </w:p>
          <w:p w14:paraId="7A76D35A" w14:textId="77777777" w:rsidR="00AC3602" w:rsidRDefault="00AC3602" w:rsidP="00D86158">
            <w:pPr>
              <w:widowControl w:val="0"/>
              <w:contextualSpacing w:val="0"/>
              <w:rPr>
                <w:rFonts w:ascii="Calibri" w:eastAsia="Calibri" w:hAnsi="Calibri" w:cs="Calibri"/>
                <w:sz w:val="24"/>
                <w:szCs w:val="24"/>
              </w:rPr>
            </w:pPr>
          </w:p>
          <w:p w14:paraId="33882C5A" w14:textId="29565C4A" w:rsidR="00AC3602" w:rsidRDefault="00AC3602" w:rsidP="00D86158">
            <w:pPr>
              <w:widowControl w:val="0"/>
              <w:contextualSpacing w:val="0"/>
              <w:rPr>
                <w:rFonts w:ascii="Calibri" w:eastAsia="Calibri" w:hAnsi="Calibri" w:cs="Calibri"/>
                <w:sz w:val="24"/>
                <w:szCs w:val="24"/>
              </w:rPr>
            </w:pPr>
            <w:r>
              <w:rPr>
                <w:rFonts w:ascii="Calibri" w:eastAsia="Calibri" w:hAnsi="Calibri" w:cs="Calibri"/>
                <w:sz w:val="24"/>
                <w:szCs w:val="24"/>
              </w:rPr>
              <w:t xml:space="preserve">Q21.a.i shows that 21 of the 22 respondents (95%) who responded to receiving a NORN took at least </w:t>
            </w:r>
            <w:r>
              <w:rPr>
                <w:rFonts w:ascii="Calibri" w:eastAsia="Calibri" w:hAnsi="Calibri" w:cs="Calibri"/>
                <w:sz w:val="24"/>
                <w:szCs w:val="24"/>
              </w:rPr>
              <w:lastRenderedPageBreak/>
              <w:t>one of the following actions:</w:t>
            </w:r>
          </w:p>
          <w:p w14:paraId="20016657" w14:textId="77777777" w:rsidR="00AC3602"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Attempted to purchase it</w:t>
            </w:r>
          </w:p>
          <w:p w14:paraId="5BC23FC4" w14:textId="77777777" w:rsidR="00AC3602"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Sent a cease and desist letter</w:t>
            </w:r>
          </w:p>
          <w:p w14:paraId="6786ED25" w14:textId="77777777" w:rsidR="00AC3602"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Filed a URS Complaint</w:t>
            </w:r>
          </w:p>
          <w:p w14:paraId="07E71414" w14:textId="77777777" w:rsidR="00AC3602" w:rsidRDefault="00AC3602" w:rsidP="0027766A">
            <w:pPr>
              <w:pStyle w:val="ListParagraph"/>
              <w:widowControl w:val="0"/>
              <w:numPr>
                <w:ilvl w:val="0"/>
                <w:numId w:val="1"/>
              </w:numPr>
              <w:contextualSpacing w:val="0"/>
              <w:rPr>
                <w:rFonts w:ascii="Calibri" w:eastAsia="Calibri" w:hAnsi="Calibri" w:cs="Calibri"/>
                <w:sz w:val="24"/>
                <w:szCs w:val="24"/>
              </w:rPr>
            </w:pPr>
            <w:r>
              <w:rPr>
                <w:rFonts w:ascii="Calibri" w:eastAsia="Calibri" w:hAnsi="Calibri" w:cs="Calibri"/>
                <w:sz w:val="24"/>
                <w:szCs w:val="24"/>
              </w:rPr>
              <w:t>Filed a UDRP Complaint</w:t>
            </w:r>
          </w:p>
          <w:p w14:paraId="207248F4" w14:textId="77777777" w:rsidR="00AC3602" w:rsidRDefault="00AC3602" w:rsidP="00C20ACA">
            <w:pPr>
              <w:widowControl w:val="0"/>
              <w:contextualSpacing w:val="0"/>
              <w:rPr>
                <w:rFonts w:ascii="Calibri" w:eastAsia="Calibri" w:hAnsi="Calibri" w:cs="Calibri"/>
                <w:sz w:val="24"/>
                <w:szCs w:val="24"/>
              </w:rPr>
            </w:pPr>
          </w:p>
          <w:p w14:paraId="754737DB" w14:textId="34E6AD5F" w:rsidR="00AC3602" w:rsidRPr="0027766A" w:rsidRDefault="00AC3602" w:rsidP="00165EC3">
            <w:pPr>
              <w:widowControl w:val="0"/>
              <w:contextualSpacing w:val="0"/>
              <w:rPr>
                <w:rFonts w:ascii="Calibri" w:eastAsia="Calibri" w:hAnsi="Calibri" w:cs="Calibri"/>
                <w:sz w:val="24"/>
                <w:szCs w:val="24"/>
              </w:rPr>
            </w:pPr>
            <w:r>
              <w:rPr>
                <w:rFonts w:ascii="Calibri" w:eastAsia="Calibri" w:hAnsi="Calibri" w:cs="Calibri"/>
                <w:sz w:val="24"/>
                <w:szCs w:val="24"/>
              </w:rPr>
              <w:t>There is a large disparity in the percentage of registrants who received a registration challenge (38%) and the percentage of responding organizations who took one of the above actions when receiving a NORN (95%).</w:t>
            </w:r>
          </w:p>
        </w:tc>
      </w:tr>
      <w:tr w:rsidR="00AC3602" w14:paraId="0FE9FF41" w14:textId="77777777" w:rsidTr="004E61C0">
        <w:trPr>
          <w:trHeight w:val="320"/>
        </w:trPr>
        <w:tc>
          <w:tcPr>
            <w:tcW w:w="1000" w:type="dxa"/>
            <w:vMerge/>
            <w:tcBorders>
              <w:left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1DA4701" w14:textId="77777777" w:rsidR="00AC3602" w:rsidRDefault="00AC3602">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1DE2C3B6" w14:textId="21EC2B53"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34</w:t>
            </w:r>
          </w:p>
        </w:tc>
        <w:tc>
          <w:tcPr>
            <w:tcW w:w="14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1F7AE87F" w14:textId="62E9A306" w:rsidR="00AC3602" w:rsidRDefault="00AC3602">
            <w:pPr>
              <w:widowControl w:val="0"/>
              <w:contextualSpacing w:val="0"/>
              <w:rPr>
                <w:rFonts w:ascii="Calibri" w:eastAsia="Calibri" w:hAnsi="Calibri" w:cs="Calibri"/>
                <w:sz w:val="24"/>
                <w:szCs w:val="24"/>
              </w:rPr>
            </w:pPr>
            <w:r>
              <w:rPr>
                <w:rFonts w:ascii="Calibri" w:eastAsia="Calibri" w:hAnsi="Calibri" w:cs="Calibri"/>
                <w:sz w:val="24"/>
                <w:szCs w:val="24"/>
              </w:rPr>
              <w:t>Q21a (TM owner survey)</w:t>
            </w:r>
          </w:p>
        </w:tc>
        <w:tc>
          <w:tcPr>
            <w:tcW w:w="50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6DA8549" w14:textId="77777777" w:rsidR="00AC3602" w:rsidRDefault="00AC3602" w:rsidP="00871213">
            <w:pPr>
              <w:widowControl w:val="0"/>
              <w:contextualSpacing w:val="0"/>
              <w:rPr>
                <w:rFonts w:ascii="Calibri" w:eastAsia="Calibri" w:hAnsi="Calibri" w:cs="Calibri"/>
                <w:sz w:val="24"/>
                <w:szCs w:val="24"/>
              </w:rPr>
            </w:pPr>
            <w:r>
              <w:rPr>
                <w:rFonts w:ascii="Calibri" w:eastAsia="Calibri" w:hAnsi="Calibri" w:cs="Calibri"/>
                <w:b/>
                <w:sz w:val="24"/>
                <w:szCs w:val="24"/>
              </w:rPr>
              <w:t xml:space="preserve">Comments from 11/28/2018 Meeting: </w:t>
            </w:r>
          </w:p>
          <w:p w14:paraId="49361FA3" w14:textId="2387CE9A" w:rsidR="00AC3602" w:rsidRDefault="00AC3602">
            <w:pPr>
              <w:widowControl w:val="0"/>
              <w:contextualSpacing w:val="0"/>
              <w:rPr>
                <w:rFonts w:ascii="Calibri" w:eastAsia="Calibri" w:hAnsi="Calibri" w:cs="Calibri"/>
                <w:sz w:val="24"/>
                <w:szCs w:val="24"/>
              </w:rPr>
            </w:pPr>
            <w:r w:rsidRPr="00871213">
              <w:rPr>
                <w:rFonts w:ascii="Calibri" w:eastAsia="Calibri" w:hAnsi="Calibri" w:cs="Calibri"/>
                <w:sz w:val="24"/>
                <w:szCs w:val="24"/>
              </w:rPr>
              <w:t>“For a single brand you could receive multiple NORNs, some of which they had done something with and some not.  What we are seeing is that we have surveyed 2 populations that behave very differently.  Everybody in the ICANN panel; any time there is a written response they said it was their TM; that question was asked of the registrants.”</w:t>
            </w:r>
          </w:p>
        </w:tc>
        <w:tc>
          <w:tcPr>
            <w:tcW w:w="5316"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3C687F57" w14:textId="57B564A9" w:rsidR="00AC3602" w:rsidRDefault="00AC3602" w:rsidP="00D86158">
            <w:pPr>
              <w:widowControl w:val="0"/>
              <w:contextualSpacing w:val="0"/>
              <w:rPr>
                <w:rFonts w:ascii="Calibri" w:eastAsia="Calibri" w:hAnsi="Calibri" w:cs="Calibri"/>
                <w:sz w:val="24"/>
                <w:szCs w:val="24"/>
              </w:rPr>
            </w:pPr>
            <w:r>
              <w:rPr>
                <w:rFonts w:ascii="Calibri" w:eastAsia="Calibri" w:hAnsi="Calibri" w:cs="Calibri"/>
                <w:sz w:val="24"/>
                <w:szCs w:val="24"/>
              </w:rPr>
              <w:t>Please let us know if there is any follow-up analysis you would like us to perform.</w:t>
            </w:r>
          </w:p>
        </w:tc>
      </w:tr>
      <w:tr w:rsidR="00AC3602" w14:paraId="0B3621C4" w14:textId="77777777" w:rsidTr="00C27D4A">
        <w:trPr>
          <w:trHeight w:val="320"/>
        </w:trPr>
        <w:tc>
          <w:tcPr>
            <w:tcW w:w="1000" w:type="dxa"/>
            <w:vMerge/>
            <w:tcBorders>
              <w:left w:val="single" w:sz="6" w:space="0" w:color="000000"/>
              <w:right w:val="single" w:sz="6" w:space="0" w:color="000000"/>
            </w:tcBorders>
            <w:shd w:val="clear" w:color="auto" w:fill="auto"/>
            <w:tcMar>
              <w:top w:w="40" w:type="dxa"/>
              <w:left w:w="40" w:type="dxa"/>
              <w:bottom w:w="40" w:type="dxa"/>
              <w:right w:w="40" w:type="dxa"/>
            </w:tcMar>
          </w:tcPr>
          <w:p w14:paraId="7A4BA742" w14:textId="77777777" w:rsidR="00AC3602" w:rsidRDefault="00AC3602"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35C93C0"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15</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19D017E"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Q7 (registrant) and others</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0F4F2953"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Comment: 75 out of 85 respondents to the registrant survey (88 percent) are at least somewhat confident in their ability to understand </w:t>
            </w:r>
            <w:r>
              <w:rPr>
                <w:rFonts w:ascii="Calibri" w:eastAsia="Calibri" w:hAnsi="Calibri" w:cs="Calibri"/>
                <w:sz w:val="24"/>
                <w:szCs w:val="24"/>
              </w:rPr>
              <w:lastRenderedPageBreak/>
              <w:t>the Claims Notice and what it means about their rights and a trademark owner’s rights, but only 44 out of 92 respondents (48 percent) thought the purpose of the Claims Notice was to inform them that a trademark or protected term matched their desired domain name; the others weren’t sure or gave answers that were clearly wrong. Thus, respondents seem overconfident of their understanding.  Furthermore, the misunderstandings were entirely concentrated in the panel sample—a group probably less likely to be sophisticated in trademark law than the ICANN respondents. 23% of the panel sample chose the clearly wrong answer and 25% chose one that is at best inaccurate and unhelpful--the distractor questions--while zero percent of the ICANN sample chose either of those two answers. Potential registrants also chose one of the two “right” answers less than half the time, with the rest either wrong or unsure.</w:t>
            </w:r>
          </w:p>
          <w:p w14:paraId="6AF113DD"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 </w:t>
            </w:r>
          </w:p>
          <w:p w14:paraId="3D9406C3"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It’s also worth noting that panel and ICANN sample differed on whether they received post-registration notices of possible trademark conflict (Q8); the sample sizes are really small but there’s still a very noticeable difference.  E.g., 18% of the panel sample received a URS/URDP notice, </w:t>
            </w:r>
            <w:r>
              <w:rPr>
                <w:rFonts w:ascii="Calibri" w:eastAsia="Calibri" w:hAnsi="Calibri" w:cs="Calibri"/>
                <w:sz w:val="24"/>
                <w:szCs w:val="24"/>
              </w:rPr>
              <w:lastRenderedPageBreak/>
              <w:t>compared to 3% of the ICANN sample, and the numbers are almost exactly the same for “letter from a lawyer.” This too suggests different groups of registrants in the different panels.</w:t>
            </w:r>
          </w:p>
          <w:p w14:paraId="72D43BE1"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 </w:t>
            </w:r>
          </w:p>
          <w:p w14:paraId="530A2D29" w14:textId="77777777" w:rsidR="00AC3602" w:rsidRDefault="00AC3602" w:rsidP="006B2ADC">
            <w:pPr>
              <w:widowControl w:val="0"/>
              <w:contextualSpacing w:val="0"/>
              <w:rPr>
                <w:rFonts w:ascii="Calibri" w:eastAsia="Calibri" w:hAnsi="Calibri" w:cs="Calibri"/>
                <w:sz w:val="24"/>
                <w:szCs w:val="24"/>
              </w:rPr>
            </w:pPr>
            <w:r>
              <w:rPr>
                <w:rFonts w:ascii="Calibri" w:eastAsia="Calibri" w:hAnsi="Calibri" w:cs="Calibri"/>
                <w:sz w:val="24"/>
                <w:szCs w:val="24"/>
              </w:rPr>
              <w:t>Descriptive question for the group: are there simple techniques for writing the notice that could improve understanding, using best practices in drafting for consumer notices?  Perfect understanding is an impossible goal, but doing better than half seems like a reasonable aspiration.</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87352A3" w14:textId="7395B132" w:rsidR="00AC3602" w:rsidRDefault="00AC3602" w:rsidP="004A0527">
            <w:pPr>
              <w:widowControl w:val="0"/>
              <w:contextualSpacing w:val="0"/>
              <w:rPr>
                <w:rFonts w:ascii="Calibri" w:eastAsia="Calibri" w:hAnsi="Calibri" w:cs="Calibri"/>
                <w:sz w:val="24"/>
                <w:szCs w:val="24"/>
              </w:rPr>
            </w:pPr>
            <w:r>
              <w:rPr>
                <w:rFonts w:ascii="Calibri" w:eastAsia="Calibri" w:hAnsi="Calibri" w:cs="Calibri"/>
                <w:sz w:val="24"/>
                <w:szCs w:val="24"/>
              </w:rPr>
              <w:lastRenderedPageBreak/>
              <w:t xml:space="preserve">We agree with Rebecca’s assessment of the results. Please see our discussion of these results on pages 11 and 21 of the Final Report. </w:t>
            </w:r>
          </w:p>
        </w:tc>
      </w:tr>
      <w:tr w:rsidR="00AC3602" w14:paraId="67E040E2" w14:textId="77777777" w:rsidTr="00A44E1B">
        <w:trPr>
          <w:trHeight w:val="320"/>
        </w:trPr>
        <w:tc>
          <w:tcPr>
            <w:tcW w:w="1000" w:type="dxa"/>
            <w:vMerge/>
            <w:tcBorders>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4C0E4119" w14:textId="77777777" w:rsidR="00AC3602" w:rsidRDefault="00AC3602"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59E44235" w14:textId="77777777" w:rsidR="00AC3602" w:rsidRDefault="00AC3602" w:rsidP="006B2ADC">
            <w:pPr>
              <w:widowControl w:val="0"/>
              <w:contextualSpacing w:val="0"/>
              <w:rPr>
                <w:rFonts w:ascii="Calibri" w:eastAsia="Calibri" w:hAnsi="Calibri" w:cs="Calibri"/>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24CCDB33" w14:textId="77777777" w:rsidR="00AC3602" w:rsidRDefault="00AC3602" w:rsidP="006B2ADC">
            <w:pPr>
              <w:widowControl w:val="0"/>
              <w:contextualSpacing w:val="0"/>
              <w:rPr>
                <w:rFonts w:ascii="Calibri" w:eastAsia="Calibri" w:hAnsi="Calibri" w:cs="Calibri"/>
                <w:sz w:val="24"/>
                <w:szCs w:val="24"/>
              </w:rPr>
            </w:pPr>
          </w:p>
        </w:tc>
        <w:tc>
          <w:tcPr>
            <w:tcW w:w="50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6974C702" w14:textId="77777777" w:rsidR="00AC3602" w:rsidRDefault="00AC3602" w:rsidP="00A44E1B">
            <w:pPr>
              <w:widowControl w:val="0"/>
              <w:contextualSpacing w:val="0"/>
              <w:rPr>
                <w:rFonts w:ascii="Calibri" w:eastAsia="Calibri" w:hAnsi="Calibri" w:cs="Calibri"/>
                <w:sz w:val="24"/>
                <w:szCs w:val="24"/>
              </w:rPr>
            </w:pPr>
            <w:r>
              <w:rPr>
                <w:rFonts w:ascii="Calibri" w:eastAsia="Calibri" w:hAnsi="Calibri" w:cs="Calibri"/>
                <w:b/>
                <w:sz w:val="24"/>
                <w:szCs w:val="24"/>
              </w:rPr>
              <w:t xml:space="preserve">Comments from 11/28/2018 Meeting: </w:t>
            </w:r>
          </w:p>
          <w:p w14:paraId="6201F53D" w14:textId="1A74EE21" w:rsidR="00AC3602" w:rsidRDefault="00AC3602" w:rsidP="006B2ADC">
            <w:pPr>
              <w:widowControl w:val="0"/>
              <w:contextualSpacing w:val="0"/>
              <w:rPr>
                <w:rFonts w:ascii="Calibri" w:eastAsia="Calibri" w:hAnsi="Calibri" w:cs="Calibri"/>
                <w:sz w:val="24"/>
                <w:szCs w:val="24"/>
              </w:rPr>
            </w:pPr>
            <w:r w:rsidRPr="00A44E1B">
              <w:rPr>
                <w:rFonts w:ascii="Calibri" w:eastAsia="Calibri" w:hAnsi="Calibri" w:cs="Calibri"/>
                <w:sz w:val="24"/>
                <w:szCs w:val="24"/>
              </w:rPr>
              <w:t>“When we look at the claims notice if there is any suggestion of changing the language it could help reduce problems/issues.”</w:t>
            </w:r>
          </w:p>
        </w:tc>
        <w:tc>
          <w:tcPr>
            <w:tcW w:w="5316"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002A0A78" w14:textId="0A8AD6D4" w:rsidR="00AC3602" w:rsidRDefault="00AC3602" w:rsidP="004A0527">
            <w:pPr>
              <w:widowControl w:val="0"/>
              <w:contextualSpacing w:val="0"/>
              <w:rPr>
                <w:rFonts w:ascii="Calibri" w:eastAsia="Calibri" w:hAnsi="Calibri" w:cs="Calibri"/>
                <w:sz w:val="24"/>
                <w:szCs w:val="24"/>
              </w:rPr>
            </w:pPr>
            <w:r w:rsidRPr="00A44E1B">
              <w:rPr>
                <w:rFonts w:ascii="Calibri" w:eastAsia="Calibri" w:hAnsi="Calibri" w:cs="Calibri"/>
                <w:sz w:val="24"/>
                <w:szCs w:val="24"/>
              </w:rPr>
              <w:t>Please let us know if there is any follow-up analysis that you would like us to perform.</w:t>
            </w:r>
          </w:p>
        </w:tc>
      </w:tr>
      <w:tr w:rsidR="006B2ADC" w14:paraId="6D4F750E" w14:textId="77777777" w:rsidTr="006B2ADC">
        <w:trPr>
          <w:trHeight w:val="300"/>
        </w:trPr>
        <w:tc>
          <w:tcPr>
            <w:tcW w:w="100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36BA1AEB"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George Kirikos</w:t>
            </w: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CA7847D"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all</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1925E17"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all</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730786A"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None of the tables include the asserted “margin of error” numbers in the current draft of the final report. Please provide them at a 95% confidence level. [one can use a standard calculator such as </w:t>
            </w:r>
            <w:hyperlink r:id="rId9">
              <w:r>
                <w:rPr>
                  <w:rFonts w:ascii="Calibri" w:eastAsia="Calibri" w:hAnsi="Calibri" w:cs="Calibri"/>
                  <w:color w:val="1155CC"/>
                  <w:sz w:val="24"/>
                  <w:szCs w:val="24"/>
                  <w:u w:val="single"/>
                </w:rPr>
                <w:t>https://www.surveymonkey.com/mp/margin-of-error-calculator/</w:t>
              </w:r>
            </w:hyperlink>
            <w:r>
              <w:rPr>
                <w:rFonts w:ascii="Calibri" w:eastAsia="Calibri" w:hAnsi="Calibri" w:cs="Calibri"/>
                <w:sz w:val="24"/>
                <w:szCs w:val="24"/>
              </w:rPr>
              <w:t xml:space="preserve"> to do this; if it’s too much work to do this for all tables, please advise what your “population” or “universe” number is, and calculate the margin of error for tables: Q1a (page 10),  Q6 (page 12), Q6a (page 12), Q6a.i (page 13), </w:t>
            </w:r>
            <w:r>
              <w:rPr>
                <w:rFonts w:ascii="Calibri" w:eastAsia="Calibri" w:hAnsi="Calibri" w:cs="Calibri"/>
                <w:sz w:val="24"/>
                <w:szCs w:val="24"/>
              </w:rPr>
              <w:lastRenderedPageBreak/>
              <w:t xml:space="preserve">Q8 (page 15), Q9 (page 21), Q4a (page 32), Q21 (page  38), Q21a.i. (page 39), </w:t>
            </w:r>
            <w:r w:rsidRPr="0027766A">
              <w:rPr>
                <w:rFonts w:ascii="Calibri" w:eastAsia="Calibri" w:hAnsi="Calibri" w:cs="Calibri"/>
                <w:sz w:val="24"/>
                <w:szCs w:val="24"/>
              </w:rPr>
              <w:t>Q5 (page 43) Q2 (page 47), and Q13b (page 53</w:t>
            </w:r>
            <w:r>
              <w:rPr>
                <w:rFonts w:ascii="Calibri" w:eastAsia="Calibri" w:hAnsi="Calibri" w:cs="Calibri"/>
                <w:sz w:val="24"/>
                <w:szCs w:val="24"/>
              </w:rPr>
              <w:t xml:space="preserve">). </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9884F1B" w14:textId="464C3155" w:rsidR="00BA5F7F" w:rsidRPr="00D73F8E" w:rsidRDefault="00F161D0" w:rsidP="00EB0663">
            <w:pPr>
              <w:widowControl w:val="0"/>
              <w:contextualSpacing w:val="0"/>
              <w:rPr>
                <w:rFonts w:ascii="Calibri" w:eastAsia="Calibri" w:hAnsi="Calibri" w:cs="Calibri"/>
                <w:sz w:val="24"/>
                <w:szCs w:val="24"/>
              </w:rPr>
            </w:pPr>
            <w:r w:rsidRPr="00D73F8E">
              <w:rPr>
                <w:rFonts w:ascii="Calibri" w:eastAsia="Calibri" w:hAnsi="Calibri" w:cs="Calibri"/>
                <w:sz w:val="24"/>
                <w:szCs w:val="24"/>
              </w:rPr>
              <w:lastRenderedPageBreak/>
              <w:t xml:space="preserve">Due to the opt-in nature of the </w:t>
            </w:r>
            <w:r w:rsidR="00DE45A4" w:rsidRPr="00D73F8E">
              <w:rPr>
                <w:rFonts w:ascii="Calibri" w:eastAsia="Calibri" w:hAnsi="Calibri" w:cs="Calibri"/>
                <w:sz w:val="24"/>
                <w:szCs w:val="24"/>
              </w:rPr>
              <w:t>surveys</w:t>
            </w:r>
            <w:r w:rsidR="00EB0663" w:rsidRPr="00D73F8E">
              <w:rPr>
                <w:rFonts w:ascii="Calibri" w:eastAsia="Calibri" w:hAnsi="Calibri" w:cs="Calibri"/>
                <w:sz w:val="24"/>
                <w:szCs w:val="24"/>
              </w:rPr>
              <w:t xml:space="preserve"> and issues that arise in defining the proper population for some of the respondent groups, we do not feel it would be proper to provide confidence intervals or margins of error for these results.</w:t>
            </w:r>
            <w:r w:rsidR="006B2ADC" w:rsidRPr="00D73F8E">
              <w:rPr>
                <w:rFonts w:ascii="Calibri" w:eastAsia="Calibri" w:hAnsi="Calibri" w:cs="Calibri"/>
                <w:sz w:val="24"/>
                <w:szCs w:val="24"/>
              </w:rPr>
              <w:t xml:space="preserve"> </w:t>
            </w:r>
          </w:p>
        </w:tc>
      </w:tr>
      <w:tr w:rsidR="006B2ADC" w14:paraId="3220B587" w14:textId="77777777" w:rsidTr="006B2ADC">
        <w:trPr>
          <w:trHeight w:val="320"/>
        </w:trPr>
        <w:tc>
          <w:tcPr>
            <w:tcW w:w="1000"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C4A8769"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Kristine Dorrain</w:t>
            </w:r>
          </w:p>
          <w:p w14:paraId="72397B38" w14:textId="77777777" w:rsidR="006B2ADC" w:rsidRDefault="006B2ADC" w:rsidP="006B2ADC">
            <w:pPr>
              <w:widowControl w:val="0"/>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238F667" w14:textId="77777777" w:rsidR="006B2ADC" w:rsidRPr="00600874" w:rsidRDefault="006B2ADC"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9, 19</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5185FC" w14:textId="77777777" w:rsidR="006B2ADC" w:rsidRPr="00600874" w:rsidRDefault="006B2ADC"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“Actual / Potential Domain Name Registrants” charts</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88E1A12" w14:textId="77777777" w:rsidR="006B2ADC" w:rsidRPr="00600874" w:rsidRDefault="006B2ADC"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The “actual registrants and potential registrations” survey had, according to Appendix B1, 13 questions.   This chart shows ranges of “Number of Questions Answered” ranging from 0-5 all the way up to 46-50.  Help me understand…</w:t>
            </w:r>
          </w:p>
          <w:p w14:paraId="1E8AF264" w14:textId="77777777" w:rsidR="006B2ADC" w:rsidRPr="00600874" w:rsidRDefault="006B2ADC"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[actually, I am clearly missing something on all of these charts]</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5381B59A" w14:textId="30D90059" w:rsidR="006B2ADC" w:rsidRPr="00600874" w:rsidRDefault="006B2ADC" w:rsidP="00E6438B">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The chart</w:t>
            </w:r>
            <w:r w:rsidR="00FD5DC3" w:rsidRPr="00600874">
              <w:rPr>
                <w:rFonts w:asciiTheme="majorHAnsi" w:eastAsia="Calibri" w:hAnsiTheme="majorHAnsi" w:cstheme="majorHAnsi"/>
                <w:sz w:val="24"/>
                <w:szCs w:val="24"/>
              </w:rPr>
              <w:t>s</w:t>
            </w:r>
            <w:r w:rsidRPr="00600874">
              <w:rPr>
                <w:rFonts w:asciiTheme="majorHAnsi" w:eastAsia="Calibri" w:hAnsiTheme="majorHAnsi" w:cstheme="majorHAnsi"/>
                <w:sz w:val="24"/>
                <w:szCs w:val="24"/>
              </w:rPr>
              <w:t xml:space="preserve"> count</w:t>
            </w:r>
            <w:r w:rsidR="00FD5DC3" w:rsidRPr="00600874">
              <w:rPr>
                <w:rFonts w:asciiTheme="majorHAnsi" w:eastAsia="Calibri" w:hAnsiTheme="majorHAnsi" w:cstheme="majorHAnsi"/>
                <w:sz w:val="24"/>
                <w:szCs w:val="24"/>
              </w:rPr>
              <w:t>ed</w:t>
            </w:r>
            <w:r w:rsidRPr="00600874">
              <w:rPr>
                <w:rFonts w:asciiTheme="majorHAnsi" w:eastAsia="Calibri" w:hAnsiTheme="majorHAnsi" w:cstheme="majorHAnsi"/>
                <w:sz w:val="24"/>
                <w:szCs w:val="24"/>
              </w:rPr>
              <w:t xml:space="preserve"> each question individually, regardless of whether or not they were follow-up questions. For example,</w:t>
            </w:r>
            <w:r w:rsidR="00FD5DC3" w:rsidRPr="00600874">
              <w:rPr>
                <w:rFonts w:asciiTheme="majorHAnsi" w:eastAsia="Calibri" w:hAnsiTheme="majorHAnsi" w:cstheme="majorHAnsi"/>
                <w:sz w:val="24"/>
                <w:szCs w:val="24"/>
              </w:rPr>
              <w:t xml:space="preserve"> in the Registrants survey</w:t>
            </w:r>
            <w:r w:rsidR="00490865" w:rsidRPr="00600874">
              <w:rPr>
                <w:rFonts w:asciiTheme="majorHAnsi" w:eastAsia="Calibri" w:hAnsiTheme="majorHAnsi" w:cstheme="majorHAnsi"/>
                <w:sz w:val="24"/>
                <w:szCs w:val="24"/>
              </w:rPr>
              <w:t xml:space="preserve"> </w:t>
            </w:r>
            <w:r w:rsidR="00FD5DC3" w:rsidRPr="00600874">
              <w:rPr>
                <w:rFonts w:asciiTheme="majorHAnsi" w:eastAsia="Calibri" w:hAnsiTheme="majorHAnsi" w:cstheme="majorHAnsi"/>
                <w:sz w:val="24"/>
                <w:szCs w:val="24"/>
              </w:rPr>
              <w:t>(</w:t>
            </w:r>
            <w:r w:rsidRPr="00600874">
              <w:rPr>
                <w:rFonts w:asciiTheme="majorHAnsi" w:eastAsia="Calibri" w:hAnsiTheme="majorHAnsi" w:cstheme="majorHAnsi"/>
                <w:sz w:val="24"/>
                <w:szCs w:val="24"/>
              </w:rPr>
              <w:t>Appendix B.1</w:t>
            </w:r>
            <w:r w:rsidR="00FD5DC3" w:rsidRPr="00600874">
              <w:rPr>
                <w:rFonts w:asciiTheme="majorHAnsi" w:eastAsia="Calibri" w:hAnsiTheme="majorHAnsi" w:cstheme="majorHAnsi"/>
                <w:sz w:val="24"/>
                <w:szCs w:val="24"/>
              </w:rPr>
              <w:t>)</w:t>
            </w:r>
            <w:r w:rsidRPr="00600874">
              <w:rPr>
                <w:rFonts w:asciiTheme="majorHAnsi" w:eastAsia="Calibri" w:hAnsiTheme="majorHAnsi" w:cstheme="majorHAnsi"/>
                <w:sz w:val="24"/>
                <w:szCs w:val="24"/>
              </w:rPr>
              <w:t xml:space="preserve">, Q6 </w:t>
            </w:r>
            <w:r w:rsidR="00FD5DC3" w:rsidRPr="00600874">
              <w:rPr>
                <w:rFonts w:asciiTheme="majorHAnsi" w:eastAsia="Calibri" w:hAnsiTheme="majorHAnsi" w:cstheme="majorHAnsi"/>
                <w:sz w:val="24"/>
                <w:szCs w:val="24"/>
              </w:rPr>
              <w:t xml:space="preserve">has </w:t>
            </w:r>
            <w:r w:rsidRPr="00600874">
              <w:rPr>
                <w:rFonts w:asciiTheme="majorHAnsi" w:eastAsia="Calibri" w:hAnsiTheme="majorHAnsi" w:cstheme="majorHAnsi"/>
                <w:sz w:val="24"/>
                <w:szCs w:val="24"/>
              </w:rPr>
              <w:t>5 follow-up questions. In the chart</w:t>
            </w:r>
            <w:r w:rsidR="00E6438B" w:rsidRPr="00600874">
              <w:rPr>
                <w:rFonts w:asciiTheme="majorHAnsi" w:eastAsia="Calibri" w:hAnsiTheme="majorHAnsi" w:cstheme="majorHAnsi"/>
                <w:sz w:val="24"/>
                <w:szCs w:val="24"/>
              </w:rPr>
              <w:t>, Q6</w:t>
            </w:r>
            <w:r w:rsidRPr="00600874">
              <w:rPr>
                <w:rFonts w:asciiTheme="majorHAnsi" w:eastAsia="Calibri" w:hAnsiTheme="majorHAnsi" w:cstheme="majorHAnsi"/>
                <w:sz w:val="24"/>
                <w:szCs w:val="24"/>
              </w:rPr>
              <w:t xml:space="preserve"> </w:t>
            </w:r>
            <w:r w:rsidR="00E6438B" w:rsidRPr="00600874">
              <w:rPr>
                <w:rFonts w:asciiTheme="majorHAnsi" w:eastAsia="Calibri" w:hAnsiTheme="majorHAnsi" w:cstheme="majorHAnsi"/>
                <w:sz w:val="24"/>
                <w:szCs w:val="24"/>
              </w:rPr>
              <w:t xml:space="preserve">effectively </w:t>
            </w:r>
            <w:r w:rsidRPr="00600874">
              <w:rPr>
                <w:rFonts w:asciiTheme="majorHAnsi" w:eastAsia="Calibri" w:hAnsiTheme="majorHAnsi" w:cstheme="majorHAnsi"/>
                <w:sz w:val="24"/>
                <w:szCs w:val="24"/>
              </w:rPr>
              <w:t>counted as 6 questions</w:t>
            </w:r>
            <w:r w:rsidR="00E6438B" w:rsidRPr="00600874">
              <w:rPr>
                <w:rFonts w:asciiTheme="majorHAnsi" w:eastAsia="Calibri" w:hAnsiTheme="majorHAnsi" w:cstheme="majorHAnsi"/>
                <w:sz w:val="24"/>
                <w:szCs w:val="24"/>
              </w:rPr>
              <w:t xml:space="preserve"> due to the follow-ups</w:t>
            </w:r>
            <w:r w:rsidRPr="00600874">
              <w:rPr>
                <w:rFonts w:asciiTheme="majorHAnsi" w:eastAsia="Calibri" w:hAnsiTheme="majorHAnsi" w:cstheme="majorHAnsi"/>
                <w:sz w:val="24"/>
                <w:szCs w:val="24"/>
              </w:rPr>
              <w:t>.</w:t>
            </w:r>
          </w:p>
        </w:tc>
      </w:tr>
      <w:tr w:rsidR="00600874" w14:paraId="33417EDF" w14:textId="77777777" w:rsidTr="00600874">
        <w:trPr>
          <w:trHeight w:val="320"/>
        </w:trPr>
        <w:tc>
          <w:tcPr>
            <w:tcW w:w="1000"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42869AA8" w14:textId="77777777" w:rsidR="00600874" w:rsidRDefault="00600874"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40E7F6D9" w14:textId="721C67CA" w:rsidR="00600874" w:rsidRPr="00600874" w:rsidRDefault="00600874"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9, 19</w:t>
            </w:r>
          </w:p>
        </w:tc>
        <w:tc>
          <w:tcPr>
            <w:tcW w:w="14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2573435B" w14:textId="77777777" w:rsidR="00600874" w:rsidRPr="00600874" w:rsidRDefault="00600874"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“Actual / Potential Domain Name Registrants”</w:t>
            </w:r>
          </w:p>
          <w:p w14:paraId="1DF5B82E" w14:textId="6247DF4E" w:rsidR="00600874" w:rsidRPr="00600874" w:rsidRDefault="00600874" w:rsidP="006B2ADC">
            <w:pPr>
              <w:widowControl w:val="0"/>
              <w:contextualSpacing w:val="0"/>
              <w:rPr>
                <w:rFonts w:asciiTheme="majorHAnsi" w:eastAsia="Calibri" w:hAnsiTheme="majorHAnsi" w:cstheme="majorHAnsi"/>
                <w:sz w:val="24"/>
                <w:szCs w:val="24"/>
              </w:rPr>
            </w:pPr>
            <w:r w:rsidRPr="00600874">
              <w:rPr>
                <w:rFonts w:asciiTheme="majorHAnsi" w:eastAsia="Calibri" w:hAnsiTheme="majorHAnsi" w:cstheme="majorHAnsi"/>
                <w:sz w:val="24"/>
                <w:szCs w:val="24"/>
              </w:rPr>
              <w:t>charts</w:t>
            </w:r>
          </w:p>
        </w:tc>
        <w:tc>
          <w:tcPr>
            <w:tcW w:w="50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57AF1597" w14:textId="77777777" w:rsidR="00600874" w:rsidRPr="00650DC2" w:rsidRDefault="00600874" w:rsidP="00600874">
            <w:pPr>
              <w:widowControl w:val="0"/>
              <w:contextualSpacing w:val="0"/>
              <w:rPr>
                <w:rFonts w:asciiTheme="majorHAnsi" w:eastAsia="Calibri" w:hAnsiTheme="majorHAnsi" w:cstheme="majorHAnsi"/>
                <w:sz w:val="24"/>
                <w:szCs w:val="24"/>
              </w:rPr>
            </w:pPr>
            <w:r w:rsidRPr="00650DC2">
              <w:rPr>
                <w:rFonts w:asciiTheme="majorHAnsi" w:eastAsia="Calibri" w:hAnsiTheme="majorHAnsi" w:cstheme="majorHAnsi"/>
                <w:b/>
                <w:sz w:val="24"/>
                <w:szCs w:val="24"/>
              </w:rPr>
              <w:t xml:space="preserve">Comment from 11/28/2018 Meeting: </w:t>
            </w:r>
          </w:p>
          <w:p w14:paraId="76A76BEA" w14:textId="399EA655" w:rsidR="00600874" w:rsidRPr="00650DC2" w:rsidRDefault="00600874" w:rsidP="00600874">
            <w:pPr>
              <w:widowControl w:val="0"/>
              <w:contextualSpacing w:val="0"/>
              <w:rPr>
                <w:rFonts w:asciiTheme="majorHAnsi" w:eastAsia="Calibri" w:hAnsiTheme="majorHAnsi" w:cstheme="majorHAnsi"/>
                <w:sz w:val="24"/>
                <w:szCs w:val="24"/>
              </w:rPr>
            </w:pPr>
            <w:r w:rsidRPr="00650DC2">
              <w:rPr>
                <w:rFonts w:asciiTheme="majorHAnsi" w:eastAsia="Calibri" w:hAnsiTheme="majorHAnsi" w:cstheme="majorHAnsi"/>
                <w:sz w:val="24"/>
                <w:szCs w:val="24"/>
              </w:rPr>
              <w:t>“Could be useful to correlate”</w:t>
            </w:r>
          </w:p>
        </w:tc>
        <w:tc>
          <w:tcPr>
            <w:tcW w:w="5316"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0FE3DA7C" w14:textId="4F481D14" w:rsidR="00600874" w:rsidRPr="00650DC2" w:rsidRDefault="00650DC2" w:rsidP="00A26667">
            <w:pPr>
              <w:widowControl w:val="0"/>
              <w:contextualSpacing w:val="0"/>
              <w:rPr>
                <w:rFonts w:asciiTheme="majorHAnsi" w:eastAsia="Calibri" w:hAnsiTheme="majorHAnsi" w:cstheme="majorHAnsi"/>
                <w:sz w:val="24"/>
                <w:szCs w:val="24"/>
              </w:rPr>
            </w:pPr>
            <w:r w:rsidRPr="00650DC2">
              <w:rPr>
                <w:rFonts w:asciiTheme="majorHAnsi" w:eastAsia="Calibri" w:hAnsiTheme="majorHAnsi" w:cstheme="majorHAnsi"/>
                <w:sz w:val="24"/>
                <w:szCs w:val="24"/>
              </w:rPr>
              <w:t>Please let us know</w:t>
            </w:r>
            <w:r>
              <w:rPr>
                <w:rFonts w:asciiTheme="majorHAnsi" w:eastAsia="Calibri" w:hAnsiTheme="majorHAnsi" w:cstheme="majorHAnsi"/>
                <w:sz w:val="24"/>
                <w:szCs w:val="24"/>
              </w:rPr>
              <w:t xml:space="preserve"> what correlations would be interesting to see. </w:t>
            </w:r>
            <w:r w:rsidR="0073543A">
              <w:rPr>
                <w:rFonts w:asciiTheme="majorHAnsi" w:eastAsia="Calibri" w:hAnsiTheme="majorHAnsi" w:cstheme="majorHAnsi"/>
                <w:sz w:val="24"/>
                <w:szCs w:val="24"/>
              </w:rPr>
              <w:t>There were 32 incomplete responses to the Registrants survey</w:t>
            </w:r>
            <w:r w:rsidR="00B67674">
              <w:rPr>
                <w:rFonts w:asciiTheme="majorHAnsi" w:eastAsia="Calibri" w:hAnsiTheme="majorHAnsi" w:cstheme="majorHAnsi"/>
                <w:sz w:val="24"/>
                <w:szCs w:val="24"/>
              </w:rPr>
              <w:t>. Of these, 10 (31%) dropped out after Q1</w:t>
            </w:r>
            <w:r w:rsidR="0073543A">
              <w:rPr>
                <w:rFonts w:asciiTheme="majorHAnsi" w:eastAsia="Calibri" w:hAnsiTheme="majorHAnsi" w:cstheme="majorHAnsi"/>
                <w:sz w:val="24"/>
                <w:szCs w:val="24"/>
              </w:rPr>
              <w:t xml:space="preserve">, which asked respondents if they had registered or attempted to register a domain name in a new gTLD in the past (these 10 do not include respondents who were disqualified by this question). </w:t>
            </w:r>
            <w:r w:rsidR="002A5C82">
              <w:rPr>
                <w:rFonts w:asciiTheme="majorHAnsi" w:eastAsia="Calibri" w:hAnsiTheme="majorHAnsi" w:cstheme="majorHAnsi"/>
                <w:sz w:val="24"/>
                <w:szCs w:val="24"/>
              </w:rPr>
              <w:t>5 (16%) dropped out after Q4</w:t>
            </w:r>
            <w:r w:rsidR="0073543A">
              <w:rPr>
                <w:rFonts w:asciiTheme="majorHAnsi" w:eastAsia="Calibri" w:hAnsiTheme="majorHAnsi" w:cstheme="majorHAnsi"/>
                <w:sz w:val="24"/>
                <w:szCs w:val="24"/>
              </w:rPr>
              <w:t>, which asked respon</w:t>
            </w:r>
            <w:r w:rsidR="00A26667">
              <w:rPr>
                <w:rFonts w:asciiTheme="majorHAnsi" w:eastAsia="Calibri" w:hAnsiTheme="majorHAnsi" w:cstheme="majorHAnsi"/>
                <w:sz w:val="24"/>
                <w:szCs w:val="24"/>
              </w:rPr>
              <w:t xml:space="preserve">dents the number of domain name registrations they had completed </w:t>
            </w:r>
            <w:r w:rsidR="0073543A">
              <w:rPr>
                <w:rFonts w:asciiTheme="majorHAnsi" w:eastAsia="Calibri" w:hAnsiTheme="majorHAnsi" w:cstheme="majorHAnsi"/>
                <w:sz w:val="24"/>
                <w:szCs w:val="24"/>
              </w:rPr>
              <w:t>in new gTLDs</w:t>
            </w:r>
            <w:r w:rsidR="002A5C82">
              <w:rPr>
                <w:rFonts w:asciiTheme="majorHAnsi" w:eastAsia="Calibri" w:hAnsiTheme="majorHAnsi" w:cstheme="majorHAnsi"/>
                <w:sz w:val="24"/>
                <w:szCs w:val="24"/>
              </w:rPr>
              <w:t>. There appears to be little variation in the dropout rate for the remaining questions.</w:t>
            </w:r>
          </w:p>
        </w:tc>
      </w:tr>
      <w:tr w:rsidR="006B2ADC" w14:paraId="442A1194" w14:textId="77777777" w:rsidTr="006B2ADC">
        <w:trPr>
          <w:trHeight w:val="320"/>
        </w:trPr>
        <w:tc>
          <w:tcPr>
            <w:tcW w:w="1000"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2BE0DB0E" w14:textId="77777777" w:rsidR="006B2ADC" w:rsidRDefault="006B2ADC"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C4067D9"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40</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DDCDFC5" w14:textId="77777777" w:rsidR="006B2ADC" w:rsidRDefault="006B2ADC" w:rsidP="006B2ADC">
            <w:pPr>
              <w:widowControl w:val="0"/>
              <w:contextualSpacing w:val="0"/>
              <w:rPr>
                <w:rFonts w:ascii="Calibri" w:eastAsia="Calibri" w:hAnsi="Calibri" w:cs="Calibri"/>
                <w:sz w:val="24"/>
                <w:szCs w:val="24"/>
              </w:rPr>
            </w:pPr>
            <w:r>
              <w:rPr>
                <w:rFonts w:ascii="Segoe UI Symbol" w:eastAsia="Calibri" w:hAnsi="Segoe UI Symbol" w:cs="Segoe UI Symbol"/>
                <w:sz w:val="24"/>
                <w:szCs w:val="24"/>
              </w:rPr>
              <w:t>❡</w:t>
            </w:r>
            <w:r>
              <w:rPr>
                <w:rFonts w:ascii="Calibri" w:eastAsia="Calibri" w:hAnsi="Calibri" w:cs="Calibri"/>
                <w:sz w:val="24"/>
                <w:szCs w:val="24"/>
              </w:rPr>
              <w:t>1</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D819728"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Statement: “the desired response rate was 10% of the total universe of registry operators (approximately 50 companies).”  I think I asked this before, but where did you get the number of </w:t>
            </w:r>
            <w:r>
              <w:rPr>
                <w:rFonts w:ascii="Calibri" w:eastAsia="Calibri" w:hAnsi="Calibri" w:cs="Calibri"/>
                <w:sz w:val="24"/>
                <w:szCs w:val="24"/>
              </w:rPr>
              <w:lastRenderedPageBreak/>
              <w:t>registries at 500?  New TLDs stats (</w:t>
            </w:r>
            <w:hyperlink r:id="rId10">
              <w:r>
                <w:rPr>
                  <w:rFonts w:ascii="Calibri" w:eastAsia="Calibri" w:hAnsi="Calibri" w:cs="Calibri"/>
                  <w:color w:val="1155CC"/>
                  <w:sz w:val="24"/>
                  <w:szCs w:val="24"/>
                  <w:u w:val="single"/>
                </w:rPr>
                <w:t>https://ntldstats.com/registry/group</w:t>
              </w:r>
            </w:hyperlink>
            <w:r>
              <w:rPr>
                <w:rFonts w:ascii="Calibri" w:eastAsia="Calibri" w:hAnsi="Calibri" w:cs="Calibri"/>
                <w:sz w:val="24"/>
                <w:szCs w:val="24"/>
              </w:rPr>
              <w:t>) Shows about 81% of new gTLDs are in 10 ROs. The RySG has 84 members and big percentage are .brand TLDs.  I said it before, but 50 ROs was extremely unlikely.  I doubt it will change things much, but I just don’t understand where that number “50” came from or why.</w:t>
            </w:r>
          </w:p>
          <w:p w14:paraId="0F90A67C" w14:textId="77777777" w:rsidR="006B2ADC" w:rsidRDefault="006B2ADC" w:rsidP="006B2ADC">
            <w:pPr>
              <w:widowControl w:val="0"/>
              <w:contextualSpacing w:val="0"/>
              <w:rPr>
                <w:rFonts w:ascii="Calibri" w:eastAsia="Calibri" w:hAnsi="Calibri" w:cs="Calibri"/>
                <w:sz w:val="24"/>
                <w:szCs w:val="24"/>
              </w:rPr>
            </w:pPr>
          </w:p>
          <w:p w14:paraId="3B4FAB6E"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What I would like to see is if operators of various size are represented.  If operators who launched dozens or more TLDs are represented.  If small, single-TLD operators are represented.</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E0082C9" w14:textId="2F2DB173"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lastRenderedPageBreak/>
              <w:t xml:space="preserve">We </w:t>
            </w:r>
            <w:r w:rsidR="00E6438B">
              <w:rPr>
                <w:rFonts w:ascii="Calibri" w:eastAsia="Calibri" w:hAnsi="Calibri" w:cs="Calibri"/>
                <w:sz w:val="24"/>
                <w:szCs w:val="24"/>
              </w:rPr>
              <w:t>were informed by ICANN Staff that there are 540 unique registry companies</w:t>
            </w:r>
            <w:r w:rsidR="00F161D0">
              <w:rPr>
                <w:rFonts w:ascii="Calibri" w:eastAsia="Calibri" w:hAnsi="Calibri" w:cs="Calibri"/>
                <w:sz w:val="24"/>
                <w:szCs w:val="24"/>
              </w:rPr>
              <w:t>, and approximately 270 unique registry companies managing multiple TLDs</w:t>
            </w:r>
            <w:r>
              <w:rPr>
                <w:rFonts w:ascii="Calibri" w:eastAsia="Calibri" w:hAnsi="Calibri" w:cs="Calibri"/>
                <w:sz w:val="24"/>
                <w:szCs w:val="24"/>
              </w:rPr>
              <w:t xml:space="preserve">. </w:t>
            </w:r>
            <w:r w:rsidR="00F161D0">
              <w:rPr>
                <w:rFonts w:ascii="Calibri" w:eastAsia="Calibri" w:hAnsi="Calibri" w:cs="Calibri"/>
                <w:sz w:val="24"/>
                <w:szCs w:val="24"/>
              </w:rPr>
              <w:t xml:space="preserve">This information was indicated in the Inception </w:t>
            </w:r>
            <w:r w:rsidR="00F161D0">
              <w:rPr>
                <w:rFonts w:ascii="Calibri" w:eastAsia="Calibri" w:hAnsi="Calibri" w:cs="Calibri"/>
                <w:sz w:val="24"/>
                <w:szCs w:val="24"/>
              </w:rPr>
              <w:lastRenderedPageBreak/>
              <w:t>Report in Section IV.C.</w:t>
            </w:r>
          </w:p>
          <w:p w14:paraId="4C82154A" w14:textId="77777777" w:rsidR="00490865" w:rsidRDefault="00490865" w:rsidP="006B2ADC">
            <w:pPr>
              <w:widowControl w:val="0"/>
              <w:contextualSpacing w:val="0"/>
              <w:rPr>
                <w:rFonts w:ascii="Calibri" w:eastAsia="Calibri" w:hAnsi="Calibri" w:cs="Calibri"/>
                <w:sz w:val="24"/>
                <w:szCs w:val="24"/>
              </w:rPr>
            </w:pPr>
          </w:p>
          <w:p w14:paraId="7A706044" w14:textId="2FF7B25B" w:rsidR="00DD6302" w:rsidRDefault="00DD6302"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Regarding the size of the Registry Operators that took the </w:t>
            </w:r>
            <w:r w:rsidR="00FD5DC3">
              <w:rPr>
                <w:rFonts w:ascii="Calibri" w:eastAsia="Calibri" w:hAnsi="Calibri" w:cs="Calibri"/>
                <w:sz w:val="24"/>
                <w:szCs w:val="24"/>
              </w:rPr>
              <w:t>survey,</w:t>
            </w:r>
            <w:r>
              <w:rPr>
                <w:rFonts w:ascii="Calibri" w:eastAsia="Calibri" w:hAnsi="Calibri" w:cs="Calibri"/>
                <w:sz w:val="24"/>
                <w:szCs w:val="24"/>
              </w:rPr>
              <w:t xml:space="preserve"> please see the table</w:t>
            </w:r>
            <w:r w:rsidR="00FD5DC3">
              <w:rPr>
                <w:rFonts w:ascii="Calibri" w:eastAsia="Calibri" w:hAnsi="Calibri" w:cs="Calibri"/>
                <w:sz w:val="24"/>
                <w:szCs w:val="24"/>
              </w:rPr>
              <w:t xml:space="preserve"> of results</w:t>
            </w:r>
            <w:r>
              <w:rPr>
                <w:rFonts w:ascii="Calibri" w:eastAsia="Calibri" w:hAnsi="Calibri" w:cs="Calibri"/>
                <w:sz w:val="24"/>
                <w:szCs w:val="24"/>
              </w:rPr>
              <w:t xml:space="preserve"> for Q2 in Appendix A.3.</w:t>
            </w:r>
          </w:p>
        </w:tc>
      </w:tr>
      <w:tr w:rsidR="00EC37F4" w14:paraId="3AC740FA" w14:textId="77777777" w:rsidTr="00EC37F4">
        <w:trPr>
          <w:trHeight w:val="320"/>
        </w:trPr>
        <w:tc>
          <w:tcPr>
            <w:tcW w:w="1000" w:type="dxa"/>
            <w:vMerge/>
            <w:tcBorders>
              <w:top w:val="single" w:sz="6" w:space="0" w:color="CCCCCC"/>
              <w:left w:val="single" w:sz="6" w:space="0" w:color="000000"/>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787F20E4" w14:textId="77777777" w:rsidR="00EC37F4" w:rsidRDefault="00EC37F4"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401DBF14" w14:textId="77777777" w:rsidR="00EC37F4" w:rsidRDefault="00EC37F4" w:rsidP="006B2ADC">
            <w:pPr>
              <w:widowControl w:val="0"/>
              <w:contextualSpacing w:val="0"/>
              <w:rPr>
                <w:rFonts w:ascii="Calibri" w:eastAsia="Calibri" w:hAnsi="Calibri" w:cs="Calibri"/>
                <w:sz w:val="24"/>
                <w:szCs w:val="24"/>
              </w:rPr>
            </w:pPr>
          </w:p>
        </w:tc>
        <w:tc>
          <w:tcPr>
            <w:tcW w:w="14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5038483E" w14:textId="77777777" w:rsidR="00EC37F4" w:rsidRDefault="00EC37F4" w:rsidP="006B2ADC">
            <w:pPr>
              <w:widowControl w:val="0"/>
              <w:contextualSpacing w:val="0"/>
              <w:rPr>
                <w:rFonts w:ascii="Segoe UI Symbol" w:eastAsia="Calibri" w:hAnsi="Segoe UI Symbol" w:cs="Segoe UI Symbol"/>
                <w:sz w:val="24"/>
                <w:szCs w:val="24"/>
              </w:rPr>
            </w:pPr>
          </w:p>
        </w:tc>
        <w:tc>
          <w:tcPr>
            <w:tcW w:w="5040"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0BA2C224" w14:textId="77777777" w:rsidR="00EC37F4" w:rsidRDefault="00EC37F4" w:rsidP="00EC37F4">
            <w:pPr>
              <w:widowControl w:val="0"/>
              <w:contextualSpacing w:val="0"/>
              <w:rPr>
                <w:rFonts w:ascii="Calibri" w:eastAsia="Calibri" w:hAnsi="Calibri" w:cs="Calibri"/>
                <w:sz w:val="24"/>
                <w:szCs w:val="24"/>
              </w:rPr>
            </w:pPr>
            <w:r>
              <w:rPr>
                <w:rFonts w:ascii="Calibri" w:eastAsia="Calibri" w:hAnsi="Calibri" w:cs="Calibri"/>
                <w:b/>
                <w:sz w:val="24"/>
                <w:szCs w:val="24"/>
              </w:rPr>
              <w:t xml:space="preserve">Comment from 11/28/2018 Meeting: </w:t>
            </w:r>
          </w:p>
          <w:p w14:paraId="1A385488" w14:textId="410800D7" w:rsidR="00EC37F4" w:rsidRDefault="00EC37F4" w:rsidP="00EC37F4">
            <w:pPr>
              <w:widowControl w:val="0"/>
              <w:contextualSpacing w:val="0"/>
              <w:rPr>
                <w:rFonts w:ascii="Calibri" w:eastAsia="Calibri" w:hAnsi="Calibri" w:cs="Calibri"/>
                <w:sz w:val="24"/>
                <w:szCs w:val="24"/>
              </w:rPr>
            </w:pPr>
            <w:r>
              <w:rPr>
                <w:rFonts w:ascii="Calibri" w:eastAsia="Calibri" w:hAnsi="Calibri" w:cs="Calibri"/>
                <w:sz w:val="24"/>
                <w:szCs w:val="24"/>
              </w:rPr>
              <w:t>“Can we have the number of gTLDs in the registry survey?” AG to provide a range of number of gTLDs for the registry survey.</w:t>
            </w:r>
          </w:p>
        </w:tc>
        <w:tc>
          <w:tcPr>
            <w:tcW w:w="5316" w:type="dxa"/>
            <w:tcBorders>
              <w:top w:val="single" w:sz="6" w:space="0" w:color="CCCCCC"/>
              <w:left w:val="single" w:sz="6" w:space="0" w:color="CCCCCC"/>
              <w:bottom w:val="single" w:sz="6" w:space="0" w:color="000000"/>
              <w:right w:val="single" w:sz="6" w:space="0" w:color="000000"/>
            </w:tcBorders>
            <w:shd w:val="clear" w:color="auto" w:fill="EAF1DD" w:themeFill="accent3" w:themeFillTint="33"/>
            <w:tcMar>
              <w:top w:w="40" w:type="dxa"/>
              <w:left w:w="40" w:type="dxa"/>
              <w:bottom w:w="40" w:type="dxa"/>
              <w:right w:w="40" w:type="dxa"/>
            </w:tcMar>
          </w:tcPr>
          <w:p w14:paraId="7E0FAF5B" w14:textId="01B273F8" w:rsidR="00EC37F4" w:rsidRDefault="00EC37F4" w:rsidP="00AC4380">
            <w:pPr>
              <w:widowControl w:val="0"/>
              <w:contextualSpacing w:val="0"/>
              <w:rPr>
                <w:rFonts w:ascii="Calibri" w:eastAsia="Calibri" w:hAnsi="Calibri" w:cs="Calibri"/>
                <w:sz w:val="24"/>
                <w:szCs w:val="24"/>
              </w:rPr>
            </w:pPr>
            <w:r w:rsidRPr="00EC37F4">
              <w:rPr>
                <w:rFonts w:ascii="Calibri" w:eastAsia="Calibri" w:hAnsi="Calibri" w:cs="Calibri"/>
                <w:sz w:val="24"/>
                <w:szCs w:val="24"/>
              </w:rPr>
              <w:t xml:space="preserve">Respondents had signed a Registry Agreement for between 1 and 241 non-brand new gTLDs. This data is reflected on p. A3-1 of the </w:t>
            </w:r>
            <w:r w:rsidR="00AC4380">
              <w:rPr>
                <w:rFonts w:ascii="Calibri" w:eastAsia="Calibri" w:hAnsi="Calibri" w:cs="Calibri"/>
                <w:sz w:val="24"/>
                <w:szCs w:val="24"/>
              </w:rPr>
              <w:t>F</w:t>
            </w:r>
            <w:r w:rsidRPr="00EC37F4">
              <w:rPr>
                <w:rFonts w:ascii="Calibri" w:eastAsia="Calibri" w:hAnsi="Calibri" w:cs="Calibri"/>
                <w:sz w:val="24"/>
                <w:szCs w:val="24"/>
              </w:rPr>
              <w:t xml:space="preserve">inal </w:t>
            </w:r>
            <w:r w:rsidR="00AC4380">
              <w:rPr>
                <w:rFonts w:ascii="Calibri" w:eastAsia="Calibri" w:hAnsi="Calibri" w:cs="Calibri"/>
                <w:sz w:val="24"/>
                <w:szCs w:val="24"/>
              </w:rPr>
              <w:t>R</w:t>
            </w:r>
            <w:r w:rsidRPr="00EC37F4">
              <w:rPr>
                <w:rFonts w:ascii="Calibri" w:eastAsia="Calibri" w:hAnsi="Calibri" w:cs="Calibri"/>
                <w:sz w:val="24"/>
                <w:szCs w:val="24"/>
              </w:rPr>
              <w:t>eport.</w:t>
            </w:r>
          </w:p>
        </w:tc>
      </w:tr>
      <w:tr w:rsidR="006B2ADC" w14:paraId="6C373A0D" w14:textId="77777777" w:rsidTr="006B2ADC">
        <w:trPr>
          <w:trHeight w:val="320"/>
        </w:trPr>
        <w:tc>
          <w:tcPr>
            <w:tcW w:w="1000"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CF144CB" w14:textId="77777777" w:rsidR="006B2ADC" w:rsidRDefault="006B2ADC"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6EE8D40B"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44</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751BA1F4"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Q9(a)</w:t>
            </w: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0210680"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Where can we find out what the 3 open text responses were?</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4E0335E4"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 [Never mind, I found it in A.3, but left my Q here in case anyone else had the same Q]</w:t>
            </w:r>
          </w:p>
        </w:tc>
      </w:tr>
      <w:tr w:rsidR="006B2ADC" w14:paraId="1CBB4560" w14:textId="77777777" w:rsidTr="006B2ADC">
        <w:trPr>
          <w:trHeight w:val="320"/>
        </w:trPr>
        <w:tc>
          <w:tcPr>
            <w:tcW w:w="1000" w:type="dxa"/>
            <w:vMerge/>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14:paraId="1DBAF6D7" w14:textId="77777777" w:rsidR="006B2ADC" w:rsidRDefault="006B2ADC" w:rsidP="006B2ADC">
            <w:pPr>
              <w:widowControl w:val="0"/>
              <w:spacing w:line="240" w:lineRule="auto"/>
              <w:contextualSpacing w:val="0"/>
              <w:rPr>
                <w:rFonts w:ascii="Calibri" w:eastAsia="Calibri" w:hAnsi="Calibri" w:cs="Calibri"/>
                <w:sz w:val="24"/>
                <w:szCs w:val="24"/>
              </w:rPr>
            </w:pPr>
          </w:p>
        </w:tc>
        <w:tc>
          <w:tcPr>
            <w:tcW w:w="66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289C6229"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many</w:t>
            </w:r>
          </w:p>
        </w:tc>
        <w:tc>
          <w:tcPr>
            <w:tcW w:w="14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26E8063" w14:textId="77777777" w:rsidR="006B2ADC" w:rsidRDefault="006B2ADC" w:rsidP="006B2ADC">
            <w:pPr>
              <w:widowControl w:val="0"/>
              <w:contextualSpacing w:val="0"/>
              <w:rPr>
                <w:rFonts w:ascii="Calibri" w:eastAsia="Calibri" w:hAnsi="Calibri" w:cs="Calibri"/>
                <w:sz w:val="24"/>
                <w:szCs w:val="24"/>
              </w:rPr>
            </w:pPr>
          </w:p>
        </w:tc>
        <w:tc>
          <w:tcPr>
            <w:tcW w:w="504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34400000" w14:textId="77777777"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Several tables with OPEN TEXT options (in the appendices) references a tab in a spreadsheet.  Where can we find that spreadsheet?</w:t>
            </w:r>
          </w:p>
        </w:tc>
        <w:tc>
          <w:tcPr>
            <w:tcW w:w="531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14:paraId="164CD605" w14:textId="04B4DA32" w:rsidR="006B2ADC" w:rsidRDefault="006B2ADC" w:rsidP="006B2ADC">
            <w:pPr>
              <w:widowControl w:val="0"/>
              <w:contextualSpacing w:val="0"/>
              <w:rPr>
                <w:rFonts w:ascii="Calibri" w:eastAsia="Calibri" w:hAnsi="Calibri" w:cs="Calibri"/>
                <w:sz w:val="24"/>
                <w:szCs w:val="24"/>
              </w:rPr>
            </w:pPr>
            <w:r>
              <w:rPr>
                <w:rFonts w:ascii="Calibri" w:eastAsia="Calibri" w:hAnsi="Calibri" w:cs="Calibri"/>
                <w:sz w:val="24"/>
                <w:szCs w:val="24"/>
              </w:rPr>
              <w:t xml:space="preserve">Staff Input: the raw data files that include the full text of open text responses are uploaded on this </w:t>
            </w:r>
            <w:hyperlink r:id="rId11" w:history="1">
              <w:r w:rsidRPr="000E0A9F">
                <w:rPr>
                  <w:rStyle w:val="Hyperlink"/>
                  <w:rFonts w:ascii="Calibri" w:eastAsia="Calibri" w:hAnsi="Calibri" w:cs="Calibri"/>
                  <w:sz w:val="24"/>
                  <w:szCs w:val="24"/>
                </w:rPr>
                <w:t>wiki page unde</w:t>
              </w:r>
            </w:hyperlink>
            <w:r>
              <w:rPr>
                <w:rFonts w:ascii="Calibri" w:eastAsia="Calibri" w:hAnsi="Calibri" w:cs="Calibri"/>
                <w:sz w:val="24"/>
                <w:szCs w:val="24"/>
              </w:rPr>
              <w:t>r “V. Data Files - Open Text Responses to Survey Questions”.</w:t>
            </w:r>
          </w:p>
        </w:tc>
      </w:tr>
    </w:tbl>
    <w:p w14:paraId="608B87B1" w14:textId="77777777" w:rsidR="00E7069A" w:rsidRDefault="00E7069A">
      <w:pPr>
        <w:contextualSpacing w:val="0"/>
      </w:pPr>
    </w:p>
    <w:sectPr w:rsidR="00E7069A">
      <w:headerReference w:type="default" r:id="rId12"/>
      <w:footerReference w:type="default" r:id="rId13"/>
      <w:pgSz w:w="15840" w:h="122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B6928" w14:textId="77777777" w:rsidR="00733BF7" w:rsidRDefault="00CE6DD8">
      <w:pPr>
        <w:spacing w:line="240" w:lineRule="auto"/>
      </w:pPr>
      <w:r>
        <w:separator/>
      </w:r>
    </w:p>
  </w:endnote>
  <w:endnote w:type="continuationSeparator" w:id="0">
    <w:p w14:paraId="321624E5" w14:textId="77777777" w:rsidR="00733BF7" w:rsidRDefault="00CE6D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C7E2" w14:textId="60C98F1A" w:rsidR="00E7069A" w:rsidRDefault="00CE6DD8">
    <w:pPr>
      <w:contextualSpacing w:val="0"/>
      <w:jc w:val="right"/>
    </w:pPr>
    <w:r>
      <w:fldChar w:fldCharType="begin"/>
    </w:r>
    <w:r>
      <w:instrText>PAGE</w:instrText>
    </w:r>
    <w:r>
      <w:fldChar w:fldCharType="separate"/>
    </w:r>
    <w:r w:rsidR="00B95AA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EFB3BF" w14:textId="77777777" w:rsidR="00733BF7" w:rsidRDefault="00CE6DD8">
      <w:pPr>
        <w:spacing w:line="240" w:lineRule="auto"/>
      </w:pPr>
      <w:r>
        <w:separator/>
      </w:r>
    </w:p>
  </w:footnote>
  <w:footnote w:type="continuationSeparator" w:id="0">
    <w:p w14:paraId="20CF9C35" w14:textId="77777777" w:rsidR="00733BF7" w:rsidRDefault="00CE6D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4D25" w14:textId="77777777" w:rsidR="00E7069A" w:rsidRDefault="00E7069A">
    <w:pPr>
      <w:contextualSpacing w:val="0"/>
      <w:rPr>
        <w:rFonts w:ascii="Calibri" w:eastAsia="Calibri" w:hAnsi="Calibri" w:cs="Calibri"/>
      </w:rPr>
    </w:pPr>
  </w:p>
  <w:tbl>
    <w:tblPr>
      <w:tblStyle w:val="a0"/>
      <w:tblW w:w="13459" w:type="dxa"/>
      <w:tblInd w:w="40" w:type="dxa"/>
      <w:tblBorders>
        <w:top w:val="nil"/>
        <w:left w:val="nil"/>
        <w:bottom w:val="nil"/>
        <w:right w:val="nil"/>
        <w:insideH w:val="nil"/>
        <w:insideV w:val="nil"/>
      </w:tblBorders>
      <w:tblLayout w:type="fixed"/>
      <w:tblLook w:val="0600" w:firstRow="0" w:lastRow="0" w:firstColumn="0" w:lastColumn="0" w:noHBand="1" w:noVBand="1"/>
    </w:tblPr>
    <w:tblGrid>
      <w:gridCol w:w="1000"/>
      <w:gridCol w:w="663"/>
      <w:gridCol w:w="1440"/>
      <w:gridCol w:w="5040"/>
      <w:gridCol w:w="5316"/>
    </w:tblGrid>
    <w:tr w:rsidR="00E7069A" w14:paraId="7A4AB35B" w14:textId="77777777">
      <w:trPr>
        <w:trHeight w:val="520"/>
      </w:trPr>
      <w:tc>
        <w:tcPr>
          <w:tcW w:w="999"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305528DC"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Name</w:t>
          </w:r>
        </w:p>
      </w:tc>
      <w:tc>
        <w:tcPr>
          <w:tcW w:w="663"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4E0D3E0A"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Page No.</w:t>
          </w:r>
        </w:p>
      </w:tc>
      <w:tc>
        <w:tcPr>
          <w:tcW w:w="144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6D11E65D"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 xml:space="preserve">Chart / Table No. </w:t>
          </w:r>
        </w:p>
      </w:tc>
      <w:tc>
        <w:tcPr>
          <w:tcW w:w="5040"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62BF6ABB" w14:textId="77777777" w:rsidR="00E7069A" w:rsidRDefault="00CE6DD8">
          <w:pPr>
            <w:widowControl w:val="0"/>
            <w:contextualSpacing w:val="0"/>
            <w:rPr>
              <w:rFonts w:ascii="Calibri" w:eastAsia="Calibri" w:hAnsi="Calibri" w:cs="Calibri"/>
              <w:sz w:val="20"/>
              <w:szCs w:val="20"/>
            </w:rPr>
          </w:pPr>
          <w:r>
            <w:rPr>
              <w:rFonts w:ascii="Calibri" w:eastAsia="Calibri" w:hAnsi="Calibri" w:cs="Calibri"/>
              <w:b/>
              <w:sz w:val="20"/>
              <w:szCs w:val="20"/>
            </w:rPr>
            <w:t>Comment / Question</w:t>
          </w:r>
        </w:p>
      </w:tc>
      <w:tc>
        <w:tcPr>
          <w:tcW w:w="5316" w:type="dxa"/>
          <w:tcBorders>
            <w:top w:val="single" w:sz="6" w:space="0" w:color="000000"/>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14:paraId="646E65F7" w14:textId="77777777" w:rsidR="00E7069A" w:rsidRDefault="00CE6DD8">
          <w:pPr>
            <w:widowControl w:val="0"/>
            <w:contextualSpacing w:val="0"/>
            <w:rPr>
              <w:rFonts w:ascii="Calibri" w:eastAsia="Calibri" w:hAnsi="Calibri" w:cs="Calibri"/>
              <w:b/>
              <w:sz w:val="20"/>
              <w:szCs w:val="20"/>
            </w:rPr>
          </w:pPr>
          <w:r>
            <w:rPr>
              <w:rFonts w:ascii="Calibri" w:eastAsia="Calibri" w:hAnsi="Calibri" w:cs="Calibri"/>
              <w:b/>
              <w:sz w:val="20"/>
              <w:szCs w:val="20"/>
            </w:rPr>
            <w:t xml:space="preserve">Analysis Group Response </w:t>
          </w:r>
        </w:p>
      </w:tc>
    </w:tr>
  </w:tbl>
  <w:p w14:paraId="1ECFA937" w14:textId="77777777" w:rsidR="00E7069A" w:rsidRDefault="00E7069A">
    <w:pPr>
      <w:contextualSpacing w:val="0"/>
      <w:rPr>
        <w:rFonts w:ascii="Calibri" w:eastAsia="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057E7"/>
    <w:multiLevelType w:val="hybridMultilevel"/>
    <w:tmpl w:val="F0D00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EE108C"/>
    <w:multiLevelType w:val="hybridMultilevel"/>
    <w:tmpl w:val="58BC9AF4"/>
    <w:lvl w:ilvl="0" w:tplc="9112EC8C">
      <w:start w:val="4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7C65A6"/>
    <w:multiLevelType w:val="hybridMultilevel"/>
    <w:tmpl w:val="E4A05C38"/>
    <w:lvl w:ilvl="0" w:tplc="1F3A6DE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7069A"/>
    <w:rsid w:val="00015E4C"/>
    <w:rsid w:val="00036C99"/>
    <w:rsid w:val="000C4F30"/>
    <w:rsid w:val="000E0A9F"/>
    <w:rsid w:val="000E77C4"/>
    <w:rsid w:val="00131FAF"/>
    <w:rsid w:val="001369B5"/>
    <w:rsid w:val="00146B03"/>
    <w:rsid w:val="00165EC3"/>
    <w:rsid w:val="001F08AE"/>
    <w:rsid w:val="0023018B"/>
    <w:rsid w:val="00237391"/>
    <w:rsid w:val="0027766A"/>
    <w:rsid w:val="002A4BFA"/>
    <w:rsid w:val="002A5C82"/>
    <w:rsid w:val="002B28D4"/>
    <w:rsid w:val="002B4617"/>
    <w:rsid w:val="002E5758"/>
    <w:rsid w:val="00306A45"/>
    <w:rsid w:val="0032425F"/>
    <w:rsid w:val="00354D4B"/>
    <w:rsid w:val="00410159"/>
    <w:rsid w:val="00490865"/>
    <w:rsid w:val="004A0527"/>
    <w:rsid w:val="004A59EA"/>
    <w:rsid w:val="004E61C0"/>
    <w:rsid w:val="00506A65"/>
    <w:rsid w:val="0052676D"/>
    <w:rsid w:val="005348DE"/>
    <w:rsid w:val="00577B83"/>
    <w:rsid w:val="005B1BD9"/>
    <w:rsid w:val="005C2CF2"/>
    <w:rsid w:val="00600874"/>
    <w:rsid w:val="006406E2"/>
    <w:rsid w:val="00650DC2"/>
    <w:rsid w:val="006602F4"/>
    <w:rsid w:val="006B2ADC"/>
    <w:rsid w:val="006B75FF"/>
    <w:rsid w:val="006D0CD7"/>
    <w:rsid w:val="006F0C69"/>
    <w:rsid w:val="00712569"/>
    <w:rsid w:val="00733064"/>
    <w:rsid w:val="00733BF7"/>
    <w:rsid w:val="0073543A"/>
    <w:rsid w:val="007A466F"/>
    <w:rsid w:val="007C029E"/>
    <w:rsid w:val="00871213"/>
    <w:rsid w:val="008C39DA"/>
    <w:rsid w:val="008D4132"/>
    <w:rsid w:val="0091786E"/>
    <w:rsid w:val="00937000"/>
    <w:rsid w:val="00965E13"/>
    <w:rsid w:val="00971269"/>
    <w:rsid w:val="00A26667"/>
    <w:rsid w:val="00A44E1B"/>
    <w:rsid w:val="00A75367"/>
    <w:rsid w:val="00A75658"/>
    <w:rsid w:val="00AC3602"/>
    <w:rsid w:val="00AC4380"/>
    <w:rsid w:val="00AE20AC"/>
    <w:rsid w:val="00AE3E5C"/>
    <w:rsid w:val="00B01F0C"/>
    <w:rsid w:val="00B21F04"/>
    <w:rsid w:val="00B3544F"/>
    <w:rsid w:val="00B369C6"/>
    <w:rsid w:val="00B67674"/>
    <w:rsid w:val="00B95AA7"/>
    <w:rsid w:val="00BA5F7F"/>
    <w:rsid w:val="00C20ACA"/>
    <w:rsid w:val="00C7345B"/>
    <w:rsid w:val="00CE6DD8"/>
    <w:rsid w:val="00D44B2D"/>
    <w:rsid w:val="00D46F93"/>
    <w:rsid w:val="00D73F8E"/>
    <w:rsid w:val="00D86158"/>
    <w:rsid w:val="00D961BE"/>
    <w:rsid w:val="00DD6302"/>
    <w:rsid w:val="00DE45A4"/>
    <w:rsid w:val="00E12A06"/>
    <w:rsid w:val="00E514E4"/>
    <w:rsid w:val="00E6022D"/>
    <w:rsid w:val="00E6438B"/>
    <w:rsid w:val="00E7069A"/>
    <w:rsid w:val="00EB0663"/>
    <w:rsid w:val="00EC37F4"/>
    <w:rsid w:val="00F161D0"/>
    <w:rsid w:val="00F71F86"/>
    <w:rsid w:val="00FA1385"/>
    <w:rsid w:val="00FD5DC3"/>
    <w:rsid w:val="00FE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3D988"/>
  <w15:docId w15:val="{19FCCB78-11FE-4B40-93CE-FE517CB2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46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6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A466F"/>
    <w:rPr>
      <w:b/>
      <w:bCs/>
    </w:rPr>
  </w:style>
  <w:style w:type="character" w:customStyle="1" w:styleId="CommentSubjectChar">
    <w:name w:val="Comment Subject Char"/>
    <w:basedOn w:val="CommentTextChar"/>
    <w:link w:val="CommentSubject"/>
    <w:uiPriority w:val="99"/>
    <w:semiHidden/>
    <w:rsid w:val="007A466F"/>
    <w:rPr>
      <w:b/>
      <w:bCs/>
      <w:sz w:val="20"/>
      <w:szCs w:val="20"/>
    </w:rPr>
  </w:style>
  <w:style w:type="character" w:styleId="Hyperlink">
    <w:name w:val="Hyperlink"/>
    <w:basedOn w:val="DefaultParagraphFont"/>
    <w:uiPriority w:val="99"/>
    <w:unhideWhenUsed/>
    <w:rsid w:val="000E0A9F"/>
    <w:rPr>
      <w:color w:val="0000FF" w:themeColor="hyperlink"/>
      <w:u w:val="single"/>
    </w:rPr>
  </w:style>
  <w:style w:type="paragraph" w:styleId="ListParagraph">
    <w:name w:val="List Paragraph"/>
    <w:basedOn w:val="Normal"/>
    <w:uiPriority w:val="34"/>
    <w:qFormat/>
    <w:rsid w:val="00146B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ommunity.icann.org/x/aQ9pBQ"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tatic.ptbl.co/static/attachments/191542/1540023249.pdf?154002324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x/aQ9pBQ"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ntldstats.com/registry/group" TargetMode="External"/><Relationship Id="rId4" Type="http://schemas.openxmlformats.org/officeDocument/2006/relationships/webSettings" Target="webSettings.xml"/><Relationship Id="rId9" Type="http://schemas.openxmlformats.org/officeDocument/2006/relationships/hyperlink" Target="https://www.surveymonkey.com/mp/margin-of-error-calculato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1074</TotalTime>
  <Pages>8</Pages>
  <Words>1997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Analysis Group</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 Stacey</cp:lastModifiedBy>
  <cp:revision>53</cp:revision>
  <dcterms:created xsi:type="dcterms:W3CDTF">2018-11-12T19:28:00Z</dcterms:created>
  <dcterms:modified xsi:type="dcterms:W3CDTF">2019-01-10T21:43:00Z</dcterms:modified>
</cp:coreProperties>
</file>