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AF00A" w14:textId="5F8B0B53" w:rsidR="009D7663" w:rsidRPr="003F0D18" w:rsidRDefault="00136ADF">
      <w:pPr>
        <w:rPr>
          <w:b/>
        </w:rPr>
      </w:pPr>
      <w:r w:rsidRPr="003F0D18">
        <w:rPr>
          <w:b/>
        </w:rPr>
        <w:t>NOTES OF DISCUSSION BETWEEN</w:t>
      </w:r>
      <w:r w:rsidR="007D749B" w:rsidRPr="003F0D18">
        <w:rPr>
          <w:b/>
        </w:rPr>
        <w:t xml:space="preserve"> THE TRADEMARK CLEARINGHOUSE (TMCH) SUB TEAM OF THE WORKING GROUP ON THE REVIEW OF ALL RIGHTS PROTECTION MECHANISMS IN ALL GTLDS POLICY DEVELOPMENT PROCESS (PDP) </w:t>
      </w:r>
      <w:r w:rsidRPr="003F0D18">
        <w:rPr>
          <w:b/>
        </w:rPr>
        <w:t xml:space="preserve">AND THE ANALYSIS GROUP </w:t>
      </w:r>
      <w:r w:rsidR="007D749B" w:rsidRPr="003F0D18">
        <w:rPr>
          <w:b/>
        </w:rPr>
        <w:t xml:space="preserve">– </w:t>
      </w:r>
      <w:r w:rsidRPr="003F0D18">
        <w:rPr>
          <w:b/>
        </w:rPr>
        <w:t xml:space="preserve"> 29</w:t>
      </w:r>
      <w:r w:rsidR="007D749B" w:rsidRPr="003F0D18">
        <w:rPr>
          <w:b/>
        </w:rPr>
        <w:t xml:space="preserve"> JULY 2016</w:t>
      </w:r>
    </w:p>
    <w:p w14:paraId="1D576536" w14:textId="77777777" w:rsidR="007D749B" w:rsidRPr="003F0D18" w:rsidRDefault="007D749B"/>
    <w:p w14:paraId="743E4A0A" w14:textId="636E012A" w:rsidR="00136ADF" w:rsidRPr="003F0D18" w:rsidRDefault="00136ADF">
      <w:r w:rsidRPr="003F0D18">
        <w:t>The TMCH Sub-Team developed a number of questions relating to data collection and sources for Greg Rafert and Stacey Chan of the Analysis Group. This document sets out those questions and summarizes the responses and discussion that took place on the call of 29 July 2016.</w:t>
      </w:r>
    </w:p>
    <w:p w14:paraId="0E2F8D57" w14:textId="77777777" w:rsidR="00136ADF" w:rsidRPr="003F0D18" w:rsidRDefault="00136ADF"/>
    <w:p w14:paraId="514DF75B" w14:textId="3717331A" w:rsidR="00136ADF" w:rsidRPr="003F0D18" w:rsidRDefault="00136ADF">
      <w:r w:rsidRPr="003F0D18">
        <w:t>QUESTIONS &amp; RESPONSES</w:t>
      </w:r>
    </w:p>
    <w:p w14:paraId="069AB6E8" w14:textId="77777777" w:rsidR="00F25206" w:rsidRPr="003F0D18" w:rsidRDefault="00F25206"/>
    <w:p w14:paraId="0ABCD0D4" w14:textId="77777777" w:rsidR="007D3F1F" w:rsidRPr="003F0D18" w:rsidRDefault="007D3F1F" w:rsidP="00F25206">
      <w:pPr>
        <w:pStyle w:val="ListParagraph"/>
        <w:widowControl w:val="0"/>
        <w:numPr>
          <w:ilvl w:val="0"/>
          <w:numId w:val="1"/>
        </w:numPr>
        <w:autoSpaceDE w:val="0"/>
        <w:autoSpaceDN w:val="0"/>
        <w:adjustRightInd w:val="0"/>
        <w:ind w:left="360"/>
        <w:rPr>
          <w:rFonts w:ascii="Calibri" w:hAnsi="Calibri" w:cs="Calibri"/>
          <w:b/>
        </w:rPr>
      </w:pPr>
      <w:r w:rsidRPr="003F0D18">
        <w:rPr>
          <w:rFonts w:ascii="Calibri" w:hAnsi="Calibri" w:cs="Calibri"/>
          <w:b/>
        </w:rPr>
        <w:t>What information did the TMCH have but was not prepared to provide?</w:t>
      </w:r>
    </w:p>
    <w:p w14:paraId="14CAF61E" w14:textId="6B2ADC36" w:rsidR="00136ADF" w:rsidRPr="003F0D18" w:rsidRDefault="00136ADF" w:rsidP="00F25206">
      <w:pPr>
        <w:pStyle w:val="ListParagraph"/>
        <w:widowControl w:val="0"/>
        <w:numPr>
          <w:ilvl w:val="0"/>
          <w:numId w:val="3"/>
        </w:numPr>
        <w:autoSpaceDE w:val="0"/>
        <w:autoSpaceDN w:val="0"/>
        <w:adjustRightInd w:val="0"/>
        <w:ind w:left="720"/>
        <w:rPr>
          <w:rFonts w:ascii="Calibri" w:hAnsi="Calibri" w:cs="Calibri"/>
        </w:rPr>
      </w:pPr>
      <w:r w:rsidRPr="003F0D18">
        <w:rPr>
          <w:rFonts w:ascii="Calibri" w:hAnsi="Calibri" w:cs="Calibri"/>
        </w:rPr>
        <w:t>Essentially, all the data that was needed for the study was provided. There were essentially two types of data (from Deloitte, e.g. the verified TM records; and from IBM – from whose data the Analysis Group was primarily interested in whether registrars pinged the TMCH to see if potential registrations matched TMCH records)</w:t>
      </w:r>
      <w:r w:rsidR="00594600" w:rsidRPr="003F0D18">
        <w:rPr>
          <w:rFonts w:ascii="Calibri" w:hAnsi="Calibri" w:cs="Calibri"/>
        </w:rPr>
        <w:t>.</w:t>
      </w:r>
    </w:p>
    <w:p w14:paraId="05CFE90D" w14:textId="77777777" w:rsidR="00136ADF" w:rsidRPr="003F0D18" w:rsidRDefault="00136ADF" w:rsidP="00F25206">
      <w:pPr>
        <w:widowControl w:val="0"/>
        <w:autoSpaceDE w:val="0"/>
        <w:autoSpaceDN w:val="0"/>
        <w:adjustRightInd w:val="0"/>
        <w:ind w:left="360"/>
        <w:rPr>
          <w:rFonts w:ascii="Calibri" w:hAnsi="Calibri" w:cs="Calibri"/>
        </w:rPr>
      </w:pPr>
    </w:p>
    <w:p w14:paraId="08A40AE5" w14:textId="77777777" w:rsidR="007D3F1F" w:rsidRPr="003F0D18" w:rsidRDefault="007D3F1F" w:rsidP="00F25206">
      <w:pPr>
        <w:pStyle w:val="ListParagraph"/>
        <w:widowControl w:val="0"/>
        <w:numPr>
          <w:ilvl w:val="0"/>
          <w:numId w:val="1"/>
        </w:numPr>
        <w:autoSpaceDE w:val="0"/>
        <w:autoSpaceDN w:val="0"/>
        <w:adjustRightInd w:val="0"/>
        <w:ind w:left="360"/>
        <w:rPr>
          <w:rFonts w:ascii="Calibri" w:hAnsi="Calibri" w:cs="Calibri"/>
          <w:b/>
        </w:rPr>
      </w:pPr>
      <w:r w:rsidRPr="003F0D18">
        <w:rPr>
          <w:rFonts w:ascii="Calibri" w:hAnsi="Calibri" w:cs="Calibri"/>
          <w:b/>
        </w:rPr>
        <w:t>What, if anything, did the TMCH say they did not have?</w:t>
      </w:r>
    </w:p>
    <w:p w14:paraId="00C9064A" w14:textId="664F046B" w:rsidR="00136ADF" w:rsidRPr="003F0D18" w:rsidRDefault="00136ADF" w:rsidP="00F25206">
      <w:pPr>
        <w:pStyle w:val="ListParagraph"/>
        <w:widowControl w:val="0"/>
        <w:numPr>
          <w:ilvl w:val="0"/>
          <w:numId w:val="3"/>
        </w:numPr>
        <w:autoSpaceDE w:val="0"/>
        <w:autoSpaceDN w:val="0"/>
        <w:adjustRightInd w:val="0"/>
        <w:ind w:left="720"/>
        <w:rPr>
          <w:rFonts w:ascii="Calibri" w:hAnsi="Calibri" w:cs="Calibri"/>
        </w:rPr>
      </w:pPr>
      <w:r w:rsidRPr="003F0D18">
        <w:rPr>
          <w:rFonts w:ascii="Calibri" w:hAnsi="Calibri" w:cs="Calibri"/>
        </w:rPr>
        <w:t>From the data, it was not possible to distinguish between whether a registrar pinged the TMCH because there were attempted registrations or for some other reason; the WG may need to get that data from registrars themselves (if needed)</w:t>
      </w:r>
      <w:r w:rsidR="00594600" w:rsidRPr="003F0D18">
        <w:rPr>
          <w:rFonts w:ascii="Calibri" w:hAnsi="Calibri" w:cs="Calibri"/>
        </w:rPr>
        <w:t>.</w:t>
      </w:r>
    </w:p>
    <w:p w14:paraId="0E00089F" w14:textId="77777777" w:rsidR="00136ADF" w:rsidRPr="003F0D18" w:rsidRDefault="00136ADF" w:rsidP="00F25206">
      <w:pPr>
        <w:widowControl w:val="0"/>
        <w:autoSpaceDE w:val="0"/>
        <w:autoSpaceDN w:val="0"/>
        <w:adjustRightInd w:val="0"/>
        <w:rPr>
          <w:rFonts w:ascii="Calibri" w:hAnsi="Calibri" w:cs="Calibri"/>
        </w:rPr>
      </w:pPr>
    </w:p>
    <w:p w14:paraId="7ED3C0E3" w14:textId="1D41E9D2" w:rsidR="00136ADF" w:rsidRPr="003F0D18" w:rsidRDefault="00136ADF" w:rsidP="00F25206">
      <w:pPr>
        <w:pStyle w:val="ListParagraph"/>
        <w:widowControl w:val="0"/>
        <w:numPr>
          <w:ilvl w:val="0"/>
          <w:numId w:val="3"/>
        </w:numPr>
        <w:autoSpaceDE w:val="0"/>
        <w:autoSpaceDN w:val="0"/>
        <w:adjustRightInd w:val="0"/>
        <w:ind w:left="720"/>
        <w:rPr>
          <w:rFonts w:ascii="Calibri" w:hAnsi="Calibri" w:cs="Calibri"/>
        </w:rPr>
      </w:pPr>
      <w:r w:rsidRPr="003F0D18">
        <w:rPr>
          <w:rFonts w:ascii="Calibri" w:hAnsi="Calibri" w:cs="Calibri"/>
        </w:rPr>
        <w:t>The data was not maintained at a more detailed level that could have allowed for more in-depth analysis of cybersquatting trends, e.g. whether it is more prevalent amongst certain types of goods or services offered by particular brands. Deloitte</w:t>
      </w:r>
      <w:r w:rsidR="00BF392E" w:rsidRPr="003F0D18">
        <w:rPr>
          <w:rFonts w:ascii="Calibri" w:hAnsi="Calibri" w:cs="Calibri"/>
        </w:rPr>
        <w:t>’s</w:t>
      </w:r>
      <w:r w:rsidRPr="003F0D18">
        <w:rPr>
          <w:rFonts w:ascii="Calibri" w:hAnsi="Calibri" w:cs="Calibri"/>
        </w:rPr>
        <w:t xml:space="preserve"> 2-digit industry code is </w:t>
      </w:r>
      <w:r w:rsidR="00FB46F2" w:rsidRPr="003F0D18">
        <w:rPr>
          <w:rFonts w:ascii="Calibri" w:hAnsi="Calibri" w:cs="Calibri"/>
        </w:rPr>
        <w:t xml:space="preserve">at a </w:t>
      </w:r>
      <w:r w:rsidRPr="003F0D18">
        <w:rPr>
          <w:rFonts w:ascii="Calibri" w:hAnsi="Calibri" w:cs="Calibri"/>
        </w:rPr>
        <w:t>high level</w:t>
      </w:r>
      <w:r w:rsidR="00FB46F2" w:rsidRPr="003F0D18">
        <w:rPr>
          <w:rFonts w:ascii="Calibri" w:hAnsi="Calibri" w:cs="Calibri"/>
        </w:rPr>
        <w:t xml:space="preserve"> and</w:t>
      </w:r>
      <w:r w:rsidRPr="003F0D18">
        <w:rPr>
          <w:rFonts w:ascii="Calibri" w:hAnsi="Calibri" w:cs="Calibri"/>
        </w:rPr>
        <w:t xml:space="preserve"> </w:t>
      </w:r>
      <w:r w:rsidR="00FB46F2" w:rsidRPr="003F0D18">
        <w:rPr>
          <w:rFonts w:ascii="Calibri" w:hAnsi="Calibri" w:cs="Calibri"/>
        </w:rPr>
        <w:t>thus</w:t>
      </w:r>
      <w:r w:rsidRPr="003F0D18">
        <w:rPr>
          <w:rFonts w:ascii="Calibri" w:hAnsi="Calibri" w:cs="Calibri"/>
        </w:rPr>
        <w:t xml:space="preserve"> not very informative as to specific goods or services of a specific TM holder</w:t>
      </w:r>
      <w:r w:rsidR="00FB46F2" w:rsidRPr="003F0D18">
        <w:rPr>
          <w:rFonts w:ascii="Calibri" w:hAnsi="Calibri" w:cs="Calibri"/>
        </w:rPr>
        <w:t xml:space="preserve"> (e.g. the Nice Classification System for Goods &amp; Services has fewer classes than SIC codes might).</w:t>
      </w:r>
    </w:p>
    <w:p w14:paraId="2E6C0358" w14:textId="77777777" w:rsidR="00136ADF" w:rsidRPr="003F0D18" w:rsidRDefault="00136ADF" w:rsidP="00F25206">
      <w:pPr>
        <w:widowControl w:val="0"/>
        <w:autoSpaceDE w:val="0"/>
        <w:autoSpaceDN w:val="0"/>
        <w:adjustRightInd w:val="0"/>
        <w:rPr>
          <w:rFonts w:ascii="Calibri" w:hAnsi="Calibri" w:cs="Calibri"/>
        </w:rPr>
      </w:pPr>
    </w:p>
    <w:p w14:paraId="1842974F" w14:textId="77777777" w:rsidR="007D3F1F" w:rsidRPr="003F0D18" w:rsidRDefault="007D3F1F" w:rsidP="00F25206">
      <w:pPr>
        <w:pStyle w:val="ListParagraph"/>
        <w:widowControl w:val="0"/>
        <w:numPr>
          <w:ilvl w:val="0"/>
          <w:numId w:val="1"/>
        </w:numPr>
        <w:autoSpaceDE w:val="0"/>
        <w:autoSpaceDN w:val="0"/>
        <w:adjustRightInd w:val="0"/>
        <w:ind w:left="360"/>
        <w:rPr>
          <w:rFonts w:ascii="Calibri" w:hAnsi="Calibri" w:cs="Calibri"/>
          <w:b/>
        </w:rPr>
      </w:pPr>
      <w:r w:rsidRPr="003F0D18">
        <w:rPr>
          <w:rFonts w:ascii="Calibri" w:hAnsi="Calibri" w:cs="Calibri"/>
          <w:b/>
        </w:rPr>
        <w:t>Are you able to provide to us the raw data you gathered, if we think it will be useful to our task?  Are there any constraints on this?</w:t>
      </w:r>
    </w:p>
    <w:p w14:paraId="769F2BFF" w14:textId="00696001" w:rsidR="00FB46F2" w:rsidRPr="003F0D18" w:rsidRDefault="00FB46F2" w:rsidP="00F25206">
      <w:pPr>
        <w:pStyle w:val="ListParagraph"/>
        <w:widowControl w:val="0"/>
        <w:numPr>
          <w:ilvl w:val="0"/>
          <w:numId w:val="2"/>
        </w:numPr>
        <w:autoSpaceDE w:val="0"/>
        <w:autoSpaceDN w:val="0"/>
        <w:adjustRightInd w:val="0"/>
        <w:ind w:left="720"/>
        <w:rPr>
          <w:rFonts w:ascii="Calibri" w:hAnsi="Calibri" w:cs="Calibri"/>
        </w:rPr>
      </w:pPr>
      <w:r w:rsidRPr="003F0D18">
        <w:rPr>
          <w:rFonts w:ascii="Calibri" w:hAnsi="Calibri" w:cs="Calibri"/>
        </w:rPr>
        <w:t>Greg and Stacey will consult with Deloitte and IBM as well as ICANN staff to determine what can be shared with the WG (there may be possible constraints because of non-disclosure agreements)</w:t>
      </w:r>
      <w:r w:rsidR="00594600" w:rsidRPr="003F0D18">
        <w:rPr>
          <w:rFonts w:ascii="Calibri" w:hAnsi="Calibri" w:cs="Calibri"/>
        </w:rPr>
        <w:t>.</w:t>
      </w:r>
    </w:p>
    <w:p w14:paraId="3A6A1784" w14:textId="77777777" w:rsidR="00FB46F2" w:rsidRPr="003F0D18" w:rsidRDefault="00FB46F2" w:rsidP="00F25206">
      <w:pPr>
        <w:widowControl w:val="0"/>
        <w:autoSpaceDE w:val="0"/>
        <w:autoSpaceDN w:val="0"/>
        <w:adjustRightInd w:val="0"/>
        <w:rPr>
          <w:rFonts w:ascii="Calibri" w:hAnsi="Calibri" w:cs="Calibri"/>
        </w:rPr>
      </w:pPr>
    </w:p>
    <w:p w14:paraId="4DB37A4E" w14:textId="77777777" w:rsidR="007D3F1F" w:rsidRPr="003F0D18" w:rsidRDefault="007D3F1F" w:rsidP="00F25206">
      <w:pPr>
        <w:pStyle w:val="ListParagraph"/>
        <w:numPr>
          <w:ilvl w:val="0"/>
          <w:numId w:val="1"/>
        </w:numPr>
        <w:ind w:left="360"/>
        <w:rPr>
          <w:rFonts w:ascii="Calibri" w:hAnsi="Calibri" w:cs="Calibri"/>
          <w:b/>
        </w:rPr>
      </w:pPr>
      <w:r w:rsidRPr="003F0D18">
        <w:rPr>
          <w:rFonts w:ascii="Calibri" w:hAnsi="Calibri" w:cs="Calibri"/>
          <w:b/>
        </w:rPr>
        <w:t>Was there any information that you collected in the course of your review which did not go to the issues you focused on and so was not used?  If so, can you provide it to us if we think it would be helpful to our work?</w:t>
      </w:r>
    </w:p>
    <w:p w14:paraId="6584DA52" w14:textId="3EA53917" w:rsidR="00FB46F2" w:rsidRPr="003F0D18" w:rsidRDefault="00FB46F2" w:rsidP="00F25206">
      <w:pPr>
        <w:pStyle w:val="ListParagraph"/>
        <w:numPr>
          <w:ilvl w:val="0"/>
          <w:numId w:val="2"/>
        </w:numPr>
        <w:ind w:left="720"/>
        <w:rPr>
          <w:rFonts w:ascii="Calibri" w:hAnsi="Calibri" w:cs="Calibri"/>
        </w:rPr>
      </w:pPr>
      <w:r w:rsidRPr="003F0D18">
        <w:rPr>
          <w:rFonts w:ascii="Calibri" w:hAnsi="Calibri" w:cs="Calibri"/>
        </w:rPr>
        <w:t>All the data they received was used as described in the Draft Report.</w:t>
      </w:r>
    </w:p>
    <w:p w14:paraId="17D0C1BD" w14:textId="77777777" w:rsidR="00FB46F2" w:rsidRPr="003F0D18" w:rsidRDefault="00FB46F2" w:rsidP="00F25206">
      <w:pPr>
        <w:rPr>
          <w:rFonts w:ascii="Calibri" w:hAnsi="Calibri" w:cs="Calibri"/>
        </w:rPr>
      </w:pPr>
    </w:p>
    <w:p w14:paraId="52783FF5" w14:textId="06D04CC0" w:rsidR="00136ADF" w:rsidRPr="003F0D18" w:rsidRDefault="00136ADF" w:rsidP="00F25206">
      <w:pPr>
        <w:pStyle w:val="ListParagraph"/>
        <w:numPr>
          <w:ilvl w:val="0"/>
          <w:numId w:val="1"/>
        </w:numPr>
        <w:ind w:left="360"/>
        <w:rPr>
          <w:rFonts w:ascii="Calibri" w:hAnsi="Calibri" w:cs="Calibri"/>
          <w:b/>
        </w:rPr>
      </w:pPr>
      <w:r w:rsidRPr="003F0D18">
        <w:rPr>
          <w:rFonts w:ascii="Calibri" w:hAnsi="Calibri" w:cs="Calibri"/>
          <w:b/>
        </w:rPr>
        <w:t>What data available to registrars and registries would have aided your investigation?</w:t>
      </w:r>
    </w:p>
    <w:p w14:paraId="78679A1A" w14:textId="77777777" w:rsidR="00F25206" w:rsidRPr="003F0D18" w:rsidRDefault="00FB46F2" w:rsidP="00F25206">
      <w:pPr>
        <w:pStyle w:val="ListParagraph"/>
        <w:numPr>
          <w:ilvl w:val="0"/>
          <w:numId w:val="2"/>
        </w:numPr>
        <w:ind w:left="720"/>
        <w:rPr>
          <w:rFonts w:ascii="Calibri" w:hAnsi="Calibri" w:cs="Calibri"/>
        </w:rPr>
      </w:pPr>
      <w:r w:rsidRPr="003F0D18">
        <w:rPr>
          <w:rFonts w:ascii="Calibri" w:hAnsi="Calibri" w:cs="Calibri"/>
        </w:rPr>
        <w:t xml:space="preserve">QUESTION: Did registries do downloads to see what eligible TMs could be selected for premium pricing during Sunrise? </w:t>
      </w:r>
    </w:p>
    <w:p w14:paraId="03164209" w14:textId="398FBDA6" w:rsidR="00FB46F2" w:rsidRPr="003F0D18" w:rsidRDefault="00FB46F2" w:rsidP="00F25206">
      <w:pPr>
        <w:pStyle w:val="ListParagraph"/>
        <w:numPr>
          <w:ilvl w:val="0"/>
          <w:numId w:val="2"/>
        </w:numPr>
        <w:ind w:left="720"/>
        <w:rPr>
          <w:rFonts w:ascii="Calibri" w:hAnsi="Calibri" w:cs="Calibri"/>
        </w:rPr>
      </w:pPr>
      <w:r w:rsidRPr="003F0D18">
        <w:rPr>
          <w:rFonts w:ascii="Calibri" w:hAnsi="Calibri" w:cs="Calibri"/>
        </w:rPr>
        <w:lastRenderedPageBreak/>
        <w:t>ANSWER: This data was not available for assessment; from the data they had, they couldn’t see that registries made downloads (NOTE: they had asked for data for every single ping to the TMCH, so registry download behavior should have come up).</w:t>
      </w:r>
    </w:p>
    <w:p w14:paraId="52C0ACBE" w14:textId="1A3F2126" w:rsidR="00FB46F2" w:rsidRPr="003F0D18" w:rsidRDefault="00FB46F2" w:rsidP="00F25206">
      <w:pPr>
        <w:pStyle w:val="ListParagraph"/>
        <w:numPr>
          <w:ilvl w:val="1"/>
          <w:numId w:val="2"/>
        </w:numPr>
        <w:ind w:left="1440"/>
        <w:rPr>
          <w:rFonts w:ascii="Calibri" w:hAnsi="Calibri" w:cs="Calibri"/>
        </w:rPr>
      </w:pPr>
      <w:r w:rsidRPr="003F0D18">
        <w:rPr>
          <w:rFonts w:ascii="Calibri" w:hAnsi="Calibri" w:cs="Calibri"/>
        </w:rPr>
        <w:t xml:space="preserve">For registries, </w:t>
      </w:r>
      <w:r w:rsidR="003C5F82" w:rsidRPr="003F0D18">
        <w:rPr>
          <w:rFonts w:ascii="Calibri" w:hAnsi="Calibri" w:cs="Calibri"/>
        </w:rPr>
        <w:t xml:space="preserve">it may therefore </w:t>
      </w:r>
      <w:r w:rsidRPr="003F0D18">
        <w:rPr>
          <w:rFonts w:ascii="Calibri" w:hAnsi="Calibri" w:cs="Calibri"/>
        </w:rPr>
        <w:t xml:space="preserve">be helpful to find out if any have pinged the TMCH to see what strings might be delineated for Sunrise. </w:t>
      </w:r>
    </w:p>
    <w:p w14:paraId="63D76B7B" w14:textId="77777777" w:rsidR="00F25206" w:rsidRPr="003F0D18" w:rsidRDefault="003C5F82" w:rsidP="00F25206">
      <w:pPr>
        <w:pStyle w:val="ListParagraph"/>
        <w:numPr>
          <w:ilvl w:val="0"/>
          <w:numId w:val="2"/>
        </w:numPr>
        <w:ind w:left="720"/>
        <w:rPr>
          <w:rFonts w:ascii="Calibri" w:hAnsi="Calibri" w:cs="Calibri"/>
        </w:rPr>
      </w:pPr>
      <w:r w:rsidRPr="003F0D18">
        <w:rPr>
          <w:rFonts w:ascii="Calibri" w:hAnsi="Calibri" w:cs="Calibri"/>
        </w:rPr>
        <w:t>For registrars, to the exten</w:t>
      </w:r>
      <w:r w:rsidR="00F25206" w:rsidRPr="003F0D18">
        <w:rPr>
          <w:rFonts w:ascii="Calibri" w:hAnsi="Calibri" w:cs="Calibri"/>
        </w:rPr>
        <w:t>t this data is</w:t>
      </w:r>
      <w:r w:rsidRPr="003F0D18">
        <w:rPr>
          <w:rFonts w:ascii="Calibri" w:hAnsi="Calibri" w:cs="Calibri"/>
        </w:rPr>
        <w:t xml:space="preserve"> maintained, it may be helpful to get data on the numbers relating to notifications that were shown to potential registrants who then nevertheless proceeded with registration.</w:t>
      </w:r>
      <w:r w:rsidRPr="003F0D18">
        <w:rPr>
          <w:rFonts w:ascii="Calibri" w:hAnsi="Calibri" w:cs="Calibri"/>
        </w:rPr>
        <w:t xml:space="preserve"> </w:t>
      </w:r>
    </w:p>
    <w:p w14:paraId="02E77577" w14:textId="5A433A2E" w:rsidR="003C5F82" w:rsidRPr="003F0D18" w:rsidRDefault="003C5F82" w:rsidP="00F25206">
      <w:pPr>
        <w:pStyle w:val="ListParagraph"/>
        <w:numPr>
          <w:ilvl w:val="0"/>
          <w:numId w:val="2"/>
        </w:numPr>
        <w:ind w:left="720"/>
        <w:rPr>
          <w:rFonts w:ascii="Calibri" w:hAnsi="Calibri" w:cs="Calibri"/>
        </w:rPr>
      </w:pPr>
      <w:r w:rsidRPr="003F0D18">
        <w:rPr>
          <w:rFonts w:ascii="Calibri" w:hAnsi="Calibri" w:cs="Calibri"/>
        </w:rPr>
        <w:t>From the data they had, the Analysis Group used could not discern the specific extent to which infringing as well as non-infringing registrations were deterred. They did not request data from registrars as they discovered deficiencies in the Deloitte and IBM data only very late in the process.</w:t>
      </w:r>
    </w:p>
    <w:p w14:paraId="7A6ED3EB" w14:textId="77777777" w:rsidR="00FB46F2" w:rsidRPr="003F0D18" w:rsidRDefault="00FB46F2" w:rsidP="00F25206">
      <w:pPr>
        <w:rPr>
          <w:rFonts w:ascii="Calibri" w:hAnsi="Calibri" w:cs="Calibri"/>
        </w:rPr>
      </w:pPr>
    </w:p>
    <w:p w14:paraId="2A2116E6" w14:textId="588A7E15" w:rsidR="00136ADF" w:rsidRPr="003F0D18" w:rsidRDefault="00136ADF" w:rsidP="00F25206">
      <w:pPr>
        <w:pStyle w:val="ListParagraph"/>
        <w:numPr>
          <w:ilvl w:val="0"/>
          <w:numId w:val="1"/>
        </w:numPr>
        <w:ind w:left="360"/>
        <w:rPr>
          <w:rFonts w:ascii="Calibri" w:hAnsi="Calibri" w:cs="Calibri"/>
          <w:b/>
        </w:rPr>
      </w:pPr>
      <w:r w:rsidRPr="003F0D18">
        <w:rPr>
          <w:rFonts w:ascii="Calibri" w:hAnsi="Calibri" w:cs="Calibri"/>
          <w:b/>
        </w:rPr>
        <w:t>What data could be collected from trademark owners to understand the effectiveness of the TMCH Sunrise and Claims?</w:t>
      </w:r>
    </w:p>
    <w:p w14:paraId="2E90EC40" w14:textId="20121B5E" w:rsidR="003C5F82" w:rsidRPr="003F0D18" w:rsidRDefault="003C5F82" w:rsidP="00F25206">
      <w:pPr>
        <w:pStyle w:val="ListParagraph"/>
        <w:numPr>
          <w:ilvl w:val="0"/>
          <w:numId w:val="4"/>
        </w:numPr>
        <w:ind w:left="720"/>
        <w:rPr>
          <w:rFonts w:ascii="Calibri" w:hAnsi="Calibri" w:cs="Calibri"/>
        </w:rPr>
      </w:pPr>
      <w:r w:rsidRPr="003F0D18">
        <w:rPr>
          <w:rFonts w:ascii="Calibri" w:hAnsi="Calibri" w:cs="Calibri"/>
        </w:rPr>
        <w:t>The Working Group could consider finding out how often trademark owners are using other monitoring services, and what permutations on their strings are they monitoring (Analysis Group could not draw strong conclusions about this from the data they had).</w:t>
      </w:r>
    </w:p>
    <w:p w14:paraId="7967DC8C" w14:textId="77777777" w:rsidR="007D3F1F" w:rsidRPr="003F0D18" w:rsidRDefault="007D3F1F" w:rsidP="00F25206">
      <w:pPr>
        <w:rPr>
          <w:rFonts w:ascii="Calibri" w:hAnsi="Calibri" w:cs="Calibri"/>
        </w:rPr>
      </w:pPr>
    </w:p>
    <w:p w14:paraId="23E0B6BC" w14:textId="603E0C1A" w:rsidR="007D3F1F" w:rsidRPr="003F0D18" w:rsidRDefault="007D3F1F" w:rsidP="00F25206">
      <w:pPr>
        <w:pStyle w:val="ListParagraph"/>
        <w:numPr>
          <w:ilvl w:val="0"/>
          <w:numId w:val="1"/>
        </w:numPr>
        <w:ind w:left="360"/>
        <w:rPr>
          <w:rFonts w:ascii="Calibri" w:hAnsi="Calibri" w:cs="Calibri"/>
          <w:b/>
        </w:rPr>
      </w:pPr>
      <w:r w:rsidRPr="003F0D18">
        <w:rPr>
          <w:rFonts w:ascii="Calibri" w:hAnsi="Calibri" w:cs="Calibri"/>
          <w:b/>
        </w:rPr>
        <w:t xml:space="preserve">What documents/sources did the Analysis Group find most useful and what (if any) would they recommend that the Sub Team look at? </w:t>
      </w:r>
      <w:r w:rsidR="003C5F82" w:rsidRPr="003F0D18">
        <w:rPr>
          <w:rFonts w:ascii="Calibri" w:hAnsi="Calibri" w:cs="Calibri"/>
          <w:b/>
        </w:rPr>
        <w:t>(</w:t>
      </w:r>
      <w:r w:rsidRPr="003F0D18">
        <w:rPr>
          <w:rFonts w:ascii="Calibri" w:hAnsi="Calibri" w:cs="Calibri"/>
          <w:b/>
        </w:rPr>
        <w:t>NOTE: This can include documents that are not included either in the report (including the bibliography and footnotes) and materials consulted in the c</w:t>
      </w:r>
      <w:r w:rsidR="007D749B" w:rsidRPr="003F0D18">
        <w:rPr>
          <w:rFonts w:ascii="Calibri" w:hAnsi="Calibri" w:cs="Calibri"/>
          <w:b/>
        </w:rPr>
        <w:t>ourse of researching the report</w:t>
      </w:r>
      <w:r w:rsidR="003C5F82" w:rsidRPr="003F0D18">
        <w:rPr>
          <w:rFonts w:ascii="Calibri" w:hAnsi="Calibri" w:cs="Calibri"/>
          <w:b/>
        </w:rPr>
        <w:t>)</w:t>
      </w:r>
    </w:p>
    <w:p w14:paraId="2DAA047A" w14:textId="6B4DBB2A" w:rsidR="003C5F82" w:rsidRPr="003F0D18" w:rsidRDefault="003C5F82" w:rsidP="00F25206">
      <w:pPr>
        <w:pStyle w:val="ListParagraph"/>
        <w:numPr>
          <w:ilvl w:val="0"/>
          <w:numId w:val="4"/>
        </w:numPr>
        <w:ind w:left="720"/>
        <w:rPr>
          <w:rFonts w:ascii="Calibri" w:hAnsi="Calibri" w:cs="Calibri"/>
        </w:rPr>
      </w:pPr>
      <w:r w:rsidRPr="003F0D18">
        <w:rPr>
          <w:rFonts w:ascii="Calibri" w:hAnsi="Calibri" w:cs="Calibri"/>
        </w:rPr>
        <w:t>They will review the question and follow up with the Working Group.</w:t>
      </w:r>
    </w:p>
    <w:p w14:paraId="7ECF215C" w14:textId="77777777" w:rsidR="007D3F1F" w:rsidRPr="003F0D18" w:rsidRDefault="007D3F1F" w:rsidP="00F25206">
      <w:pPr>
        <w:rPr>
          <w:rFonts w:ascii="Calibri" w:hAnsi="Calibri" w:cs="Calibri"/>
        </w:rPr>
      </w:pPr>
    </w:p>
    <w:p w14:paraId="6B3FC92B" w14:textId="6A4BC749" w:rsidR="007D3F1F" w:rsidRPr="003F0D18" w:rsidRDefault="007D3F1F" w:rsidP="00F25206">
      <w:pPr>
        <w:pStyle w:val="ListParagraph"/>
        <w:numPr>
          <w:ilvl w:val="0"/>
          <w:numId w:val="1"/>
        </w:numPr>
        <w:ind w:left="360"/>
        <w:rPr>
          <w:rFonts w:ascii="Calibri" w:hAnsi="Calibri" w:cs="Calibri"/>
          <w:b/>
        </w:rPr>
      </w:pPr>
      <w:r w:rsidRPr="003F0D18">
        <w:rPr>
          <w:rFonts w:ascii="Calibri" w:hAnsi="Calibri" w:cs="Calibri"/>
          <w:b/>
        </w:rPr>
        <w:t>What other data should be collected and from whom (TMCH database, TMCH validator, registrars, registries, others)?</w:t>
      </w:r>
    </w:p>
    <w:p w14:paraId="71B0A835" w14:textId="722E2EE6" w:rsidR="003C5F82" w:rsidRPr="003F0D18" w:rsidRDefault="003C5F82" w:rsidP="00F25206">
      <w:pPr>
        <w:pStyle w:val="ListParagraph"/>
        <w:numPr>
          <w:ilvl w:val="0"/>
          <w:numId w:val="4"/>
        </w:numPr>
        <w:ind w:left="720"/>
      </w:pPr>
      <w:r w:rsidRPr="003F0D18">
        <w:t>As noted, registrars and possibly also registries.</w:t>
      </w:r>
    </w:p>
    <w:p w14:paraId="23724783" w14:textId="77777777" w:rsidR="003C5F82" w:rsidRPr="003F0D18" w:rsidRDefault="003C5F82" w:rsidP="00F25206"/>
    <w:p w14:paraId="3A0B0C13" w14:textId="007BFF8D" w:rsidR="003C5F82" w:rsidRPr="003F0D18" w:rsidRDefault="003C5F82" w:rsidP="00F25206">
      <w:pPr>
        <w:pStyle w:val="ListParagraph"/>
        <w:numPr>
          <w:ilvl w:val="0"/>
          <w:numId w:val="1"/>
        </w:numPr>
        <w:ind w:left="360"/>
        <w:rPr>
          <w:b/>
        </w:rPr>
      </w:pPr>
      <w:r w:rsidRPr="003F0D18">
        <w:rPr>
          <w:b/>
        </w:rPr>
        <w:t>Do they have any data on why the abandonment rate seems so high? Are registrars downloading records without corresponding registrations (thus skewing the numbers)? This may be helpful to truly understand what is happening in the Claims and Sunrise periods. Was there data that they didn't consider useful (e.g. abandoned shopping carts)?</w:t>
      </w:r>
    </w:p>
    <w:p w14:paraId="7F3A7136" w14:textId="6A749BE8" w:rsidR="003C5F82" w:rsidRPr="003F0D18" w:rsidRDefault="003C5F82" w:rsidP="00F25206">
      <w:pPr>
        <w:pStyle w:val="ListParagraph"/>
        <w:numPr>
          <w:ilvl w:val="0"/>
          <w:numId w:val="4"/>
        </w:numPr>
        <w:ind w:left="720"/>
      </w:pPr>
      <w:r w:rsidRPr="003F0D18">
        <w:t>This goes back to the lack of data on this point, which conceivably might only be data that registrars can provide.</w:t>
      </w:r>
    </w:p>
    <w:p w14:paraId="54DAF8DD" w14:textId="77777777" w:rsidR="003C5F82" w:rsidRPr="003F0D18" w:rsidRDefault="003C5F82" w:rsidP="00F25206"/>
    <w:p w14:paraId="6F8A0675" w14:textId="4F893D61" w:rsidR="003C5F82" w:rsidRPr="003F0D18" w:rsidRDefault="003C5F82" w:rsidP="00F25206">
      <w:pPr>
        <w:pStyle w:val="ListParagraph"/>
        <w:numPr>
          <w:ilvl w:val="0"/>
          <w:numId w:val="1"/>
        </w:numPr>
        <w:ind w:left="360"/>
        <w:rPr>
          <w:b/>
        </w:rPr>
      </w:pPr>
      <w:r w:rsidRPr="003F0D18">
        <w:rPr>
          <w:b/>
        </w:rPr>
        <w:t>Will it be difficult for Analysis Group to share underlying data (vs aggregate information), due to NDAs etc.? If so, Sub Team may want to go directly to TMCH Provider</w:t>
      </w:r>
    </w:p>
    <w:p w14:paraId="5D33248B" w14:textId="5367C35A" w:rsidR="00FF447E" w:rsidRPr="003F0D18" w:rsidRDefault="00FF447E" w:rsidP="00F25206">
      <w:pPr>
        <w:pStyle w:val="ListParagraph"/>
        <w:numPr>
          <w:ilvl w:val="0"/>
          <w:numId w:val="4"/>
        </w:numPr>
        <w:ind w:left="720"/>
      </w:pPr>
      <w:r w:rsidRPr="003F0D18">
        <w:t>See response to Question 3 (above).</w:t>
      </w:r>
    </w:p>
    <w:p w14:paraId="1D269DFB" w14:textId="77777777" w:rsidR="003C5F82" w:rsidRPr="003F0D18" w:rsidRDefault="003C5F82" w:rsidP="00F25206"/>
    <w:p w14:paraId="67C23C1C" w14:textId="5E081808" w:rsidR="003C5F82" w:rsidRPr="003F0D18" w:rsidRDefault="00FF447E" w:rsidP="00F25206">
      <w:pPr>
        <w:pStyle w:val="ListParagraph"/>
        <w:numPr>
          <w:ilvl w:val="0"/>
          <w:numId w:val="1"/>
        </w:numPr>
        <w:ind w:left="360"/>
        <w:rPr>
          <w:b/>
        </w:rPr>
      </w:pPr>
      <w:r w:rsidRPr="003F0D18">
        <w:rPr>
          <w:b/>
        </w:rPr>
        <w:t>From the report (</w:t>
      </w:r>
      <w:r w:rsidR="003C5F82" w:rsidRPr="003F0D18">
        <w:rPr>
          <w:b/>
        </w:rPr>
        <w:t>Pg 17, Table 4</w:t>
      </w:r>
      <w:r w:rsidRPr="003F0D18">
        <w:rPr>
          <w:b/>
        </w:rPr>
        <w:t>) there were</w:t>
      </w:r>
      <w:r w:rsidR="003C5F82" w:rsidRPr="003F0D18">
        <w:rPr>
          <w:b/>
        </w:rPr>
        <w:t xml:space="preserve"> almost 1.7 million abandoned registrations </w:t>
      </w:r>
      <w:r w:rsidRPr="003F0D18">
        <w:rPr>
          <w:b/>
        </w:rPr>
        <w:t>–</w:t>
      </w:r>
      <w:r w:rsidR="003C5F82" w:rsidRPr="003F0D18">
        <w:rPr>
          <w:b/>
        </w:rPr>
        <w:t xml:space="preserve"> </w:t>
      </w:r>
      <w:r w:rsidRPr="003F0D18">
        <w:rPr>
          <w:b/>
        </w:rPr>
        <w:t xml:space="preserve">what is the </w:t>
      </w:r>
      <w:r w:rsidR="003C5F82" w:rsidRPr="003F0D18">
        <w:rPr>
          <w:b/>
        </w:rPr>
        <w:t>relationsh</w:t>
      </w:r>
      <w:r w:rsidRPr="003F0D18">
        <w:rPr>
          <w:b/>
        </w:rPr>
        <w:t>i</w:t>
      </w:r>
      <w:r w:rsidR="003C5F82" w:rsidRPr="003F0D18">
        <w:rPr>
          <w:b/>
        </w:rPr>
        <w:t xml:space="preserve">p of this number with </w:t>
      </w:r>
      <w:r w:rsidRPr="003F0D18">
        <w:rPr>
          <w:b/>
        </w:rPr>
        <w:t>the numbers on</w:t>
      </w:r>
      <w:r w:rsidR="003C5F82" w:rsidRPr="003F0D18">
        <w:rPr>
          <w:b/>
        </w:rPr>
        <w:t xml:space="preserve"> Pg 7 (125.8 million claims service downloads)? </w:t>
      </w:r>
      <w:r w:rsidRPr="003F0D18">
        <w:rPr>
          <w:b/>
        </w:rPr>
        <w:t>Also, t</w:t>
      </w:r>
      <w:r w:rsidR="003C5F82" w:rsidRPr="003F0D18">
        <w:rPr>
          <w:b/>
        </w:rPr>
        <w:t>wo registrars were apparently misusing TMCH data (</w:t>
      </w:r>
      <w:r w:rsidRPr="003F0D18">
        <w:rPr>
          <w:b/>
        </w:rPr>
        <w:t xml:space="preserve">by </w:t>
      </w:r>
      <w:r w:rsidR="003C5F82" w:rsidRPr="003F0D18">
        <w:rPr>
          <w:b/>
        </w:rPr>
        <w:t xml:space="preserve">downloading in bulk) so </w:t>
      </w:r>
      <w:r w:rsidRPr="003F0D18">
        <w:rPr>
          <w:b/>
        </w:rPr>
        <w:t xml:space="preserve">they </w:t>
      </w:r>
      <w:r w:rsidR="003C5F82" w:rsidRPr="003F0D18">
        <w:rPr>
          <w:b/>
        </w:rPr>
        <w:t>were exclu</w:t>
      </w:r>
      <w:r w:rsidRPr="003F0D18">
        <w:rPr>
          <w:b/>
        </w:rPr>
        <w:t xml:space="preserve">ded from some analysis – did Analysis Group </w:t>
      </w:r>
      <w:r w:rsidR="003C5F82" w:rsidRPr="003F0D18">
        <w:rPr>
          <w:b/>
        </w:rPr>
        <w:t>conclude</w:t>
      </w:r>
      <w:r w:rsidRPr="003F0D18">
        <w:rPr>
          <w:b/>
        </w:rPr>
        <w:t xml:space="preserve"> that</w:t>
      </w:r>
      <w:r w:rsidR="003C5F82" w:rsidRPr="003F0D18">
        <w:rPr>
          <w:b/>
        </w:rPr>
        <w:t xml:space="preserve"> misuse of data is outside the study scope?</w:t>
      </w:r>
    </w:p>
    <w:p w14:paraId="3C87859E" w14:textId="1A0442AC" w:rsidR="003C5F82" w:rsidRPr="003F0D18" w:rsidRDefault="003C5F82" w:rsidP="00F25206">
      <w:pPr>
        <w:pStyle w:val="ListParagraph"/>
        <w:numPr>
          <w:ilvl w:val="0"/>
          <w:numId w:val="4"/>
        </w:numPr>
        <w:ind w:left="720"/>
      </w:pPr>
      <w:r w:rsidRPr="003F0D18">
        <w:t>There are some registrars that</w:t>
      </w:r>
      <w:r w:rsidR="00FF447E" w:rsidRPr="003F0D18">
        <w:t xml:space="preserve"> download a large number of records</w:t>
      </w:r>
      <w:r w:rsidRPr="003F0D18">
        <w:t xml:space="preserve"> almost every time </w:t>
      </w:r>
      <w:r w:rsidR="00FF447E" w:rsidRPr="003F0D18">
        <w:t>from the TMCH</w:t>
      </w:r>
      <w:r w:rsidRPr="003F0D18">
        <w:t xml:space="preserve">. There’s also an internal ICANN monitoring system that pings the TMCH </w:t>
      </w:r>
      <w:r w:rsidR="00FF447E" w:rsidRPr="003F0D18">
        <w:t xml:space="preserve">regularly </w:t>
      </w:r>
      <w:r w:rsidRPr="003F0D18">
        <w:t xml:space="preserve">to ensure system is working. </w:t>
      </w:r>
      <w:r w:rsidR="00FF447E" w:rsidRPr="003F0D18">
        <w:t>Note that Table 4 exclude the</w:t>
      </w:r>
      <w:r w:rsidRPr="003F0D18">
        <w:t xml:space="preserve"> two registrars that downloaded large numbers of records at a given time relative to other registrars</w:t>
      </w:r>
      <w:r w:rsidR="00FF447E" w:rsidRPr="003F0D18">
        <w:t xml:space="preserve"> (this was discernible from the data)</w:t>
      </w:r>
      <w:r w:rsidRPr="003F0D18">
        <w:t>.</w:t>
      </w:r>
    </w:p>
    <w:p w14:paraId="2188FBE8" w14:textId="00611CF4" w:rsidR="003C5F82" w:rsidRPr="003F0D18" w:rsidRDefault="00FF447E" w:rsidP="00F25206">
      <w:pPr>
        <w:pStyle w:val="ListParagraph"/>
        <w:numPr>
          <w:ilvl w:val="0"/>
          <w:numId w:val="4"/>
        </w:numPr>
        <w:ind w:left="720"/>
      </w:pPr>
      <w:r w:rsidRPr="003F0D18">
        <w:t>QUESTION FOR ICANN: Is this something Compliance should be looking at?</w:t>
      </w:r>
    </w:p>
    <w:p w14:paraId="61524774" w14:textId="77777777" w:rsidR="003C5F82" w:rsidRPr="003F0D18" w:rsidRDefault="003C5F82" w:rsidP="00F25206"/>
    <w:p w14:paraId="1F34AA48" w14:textId="4EBE2B5C" w:rsidR="003C5F82" w:rsidRPr="003F0D18" w:rsidRDefault="00FF447E" w:rsidP="00F25206">
      <w:pPr>
        <w:pStyle w:val="ListParagraph"/>
        <w:numPr>
          <w:ilvl w:val="0"/>
          <w:numId w:val="1"/>
        </w:numPr>
        <w:ind w:left="360"/>
        <w:rPr>
          <w:b/>
        </w:rPr>
      </w:pPr>
      <w:r w:rsidRPr="003F0D18">
        <w:rPr>
          <w:b/>
        </w:rPr>
        <w:t xml:space="preserve">On the report that only </w:t>
      </w:r>
      <w:r w:rsidR="003C5F82" w:rsidRPr="003F0D18">
        <w:rPr>
          <w:b/>
        </w:rPr>
        <w:t xml:space="preserve">6.3% of Claims </w:t>
      </w:r>
      <w:r w:rsidRPr="003F0D18">
        <w:rPr>
          <w:b/>
        </w:rPr>
        <w:t>Notices would trigger</w:t>
      </w:r>
      <w:r w:rsidR="003C5F82" w:rsidRPr="003F0D18">
        <w:rPr>
          <w:b/>
        </w:rPr>
        <w:t xml:space="preserve"> registrations </w:t>
      </w:r>
      <w:r w:rsidRPr="003F0D18">
        <w:rPr>
          <w:b/>
        </w:rPr>
        <w:t>–</w:t>
      </w:r>
      <w:r w:rsidR="003C5F82" w:rsidRPr="003F0D18">
        <w:rPr>
          <w:b/>
        </w:rPr>
        <w:t xml:space="preserve"> </w:t>
      </w:r>
      <w:r w:rsidRPr="003F0D18">
        <w:rPr>
          <w:b/>
        </w:rPr>
        <w:t xml:space="preserve">doesn’t this seem </w:t>
      </w:r>
      <w:r w:rsidR="003C5F82" w:rsidRPr="003F0D18">
        <w:rPr>
          <w:b/>
        </w:rPr>
        <w:t>very low</w:t>
      </w:r>
      <w:r w:rsidRPr="003F0D18">
        <w:rPr>
          <w:b/>
        </w:rPr>
        <w:t xml:space="preserve"> (and, correspondingly, 93% very high)</w:t>
      </w:r>
      <w:r w:rsidR="003C5F82" w:rsidRPr="003F0D18">
        <w:rPr>
          <w:b/>
        </w:rPr>
        <w:t>?</w:t>
      </w:r>
      <w:r w:rsidRPr="003F0D18">
        <w:rPr>
          <w:b/>
        </w:rPr>
        <w:t xml:space="preserve"> </w:t>
      </w:r>
    </w:p>
    <w:p w14:paraId="267A66B0" w14:textId="6E3FF7F8" w:rsidR="00FF447E" w:rsidRPr="003F0D18" w:rsidRDefault="00FF447E" w:rsidP="00F25206">
      <w:pPr>
        <w:pStyle w:val="ListParagraph"/>
        <w:numPr>
          <w:ilvl w:val="0"/>
          <w:numId w:val="6"/>
        </w:numPr>
        <w:ind w:left="720"/>
      </w:pPr>
      <w:r w:rsidRPr="003F0D18">
        <w:t>They did not mean to provide that conclusion, and may amend Final Report to reflect this. They will also consider including an Appendix to the Final Report describing the data sources and metrics used.</w:t>
      </w:r>
    </w:p>
    <w:p w14:paraId="46E7A9ED" w14:textId="77777777" w:rsidR="00FF447E" w:rsidRPr="003F0D18" w:rsidRDefault="00FF447E" w:rsidP="00F25206"/>
    <w:p w14:paraId="3C4CFFC8" w14:textId="6773C1C2" w:rsidR="00FF447E" w:rsidRPr="003F0D18" w:rsidRDefault="00FF447E" w:rsidP="00F25206">
      <w:pPr>
        <w:pStyle w:val="ListParagraph"/>
        <w:numPr>
          <w:ilvl w:val="0"/>
          <w:numId w:val="1"/>
        </w:numPr>
        <w:ind w:left="360"/>
        <w:rPr>
          <w:b/>
        </w:rPr>
      </w:pPr>
      <w:r w:rsidRPr="003F0D18">
        <w:rPr>
          <w:b/>
        </w:rPr>
        <w:t xml:space="preserve">What data </w:t>
      </w:r>
      <w:r w:rsidR="00594600" w:rsidRPr="003F0D18">
        <w:rPr>
          <w:b/>
        </w:rPr>
        <w:t>was</w:t>
      </w:r>
      <w:r w:rsidRPr="003F0D18">
        <w:rPr>
          <w:b/>
        </w:rPr>
        <w:t xml:space="preserve"> use</w:t>
      </w:r>
      <w:r w:rsidR="00594600" w:rsidRPr="003F0D18">
        <w:rPr>
          <w:b/>
        </w:rPr>
        <w:t>d</w:t>
      </w:r>
      <w:r w:rsidRPr="003F0D18">
        <w:rPr>
          <w:b/>
        </w:rPr>
        <w:t xml:space="preserve"> to conclude that expanding matching rules would not be useful? </w:t>
      </w:r>
    </w:p>
    <w:p w14:paraId="475AB64A" w14:textId="77777777" w:rsidR="00FF447E" w:rsidRPr="003F0D18" w:rsidRDefault="00FF447E" w:rsidP="00F25206">
      <w:pPr>
        <w:pStyle w:val="ListParagraph"/>
        <w:numPr>
          <w:ilvl w:val="0"/>
          <w:numId w:val="6"/>
        </w:numPr>
        <w:ind w:left="720"/>
      </w:pPr>
      <w:r w:rsidRPr="003F0D18">
        <w:t>Variations were developed based on TMCH data they had, e.g. plurals, number of characters, typos. They then looked at registration activities for these variations based on WHOIS data to see, e.g. how many recurring registrations were there for each string variation, were exact match</w:t>
      </w:r>
      <w:bookmarkStart w:id="0" w:name="_GoBack"/>
      <w:bookmarkEnd w:id="0"/>
      <w:r w:rsidRPr="003F0D18">
        <w:t xml:space="preserve">es or other more common? </w:t>
      </w:r>
    </w:p>
    <w:p w14:paraId="45C997AC" w14:textId="11697931" w:rsidR="00FF447E" w:rsidRPr="003F0D18" w:rsidRDefault="00FF447E" w:rsidP="00F25206">
      <w:pPr>
        <w:pStyle w:val="ListParagraph"/>
        <w:numPr>
          <w:ilvl w:val="0"/>
          <w:numId w:val="6"/>
        </w:numPr>
        <w:ind w:left="720"/>
      </w:pPr>
      <w:r w:rsidRPr="003F0D18">
        <w:t xml:space="preserve">However, they did </w:t>
      </w:r>
      <w:r w:rsidRPr="003F0D18">
        <w:rPr>
          <w:u w:val="single"/>
        </w:rPr>
        <w:t>not</w:t>
      </w:r>
      <w:r w:rsidRPr="003F0D18">
        <w:t xml:space="preserve"> look at “mark+generic word”, as they thought that could be discerned from the Deloitte industry codes</w:t>
      </w:r>
      <w:r w:rsidR="00594600" w:rsidRPr="003F0D18">
        <w:t xml:space="preserve"> (but this did not happen given the limitations of the codes).</w:t>
      </w:r>
    </w:p>
    <w:p w14:paraId="61CC78A0" w14:textId="77777777" w:rsidR="00FF447E" w:rsidRPr="003F0D18" w:rsidRDefault="00FF447E" w:rsidP="00F25206"/>
    <w:p w14:paraId="7C3C757A" w14:textId="2C0DF429" w:rsidR="00FF447E" w:rsidRPr="003F0D18" w:rsidRDefault="00594600" w:rsidP="00F25206">
      <w:pPr>
        <w:pStyle w:val="ListParagraph"/>
        <w:numPr>
          <w:ilvl w:val="0"/>
          <w:numId w:val="1"/>
        </w:numPr>
        <w:ind w:left="360"/>
        <w:rPr>
          <w:b/>
        </w:rPr>
      </w:pPr>
      <w:r w:rsidRPr="003F0D18">
        <w:rPr>
          <w:b/>
        </w:rPr>
        <w:t xml:space="preserve">Has there been </w:t>
      </w:r>
      <w:r w:rsidR="00FF447E" w:rsidRPr="003F0D18">
        <w:rPr>
          <w:b/>
        </w:rPr>
        <w:t>follow up research on completed registrations vs Claims Notices issued vs UDRP/URS claims filed</w:t>
      </w:r>
    </w:p>
    <w:p w14:paraId="2E5C9E50" w14:textId="35E3F740" w:rsidR="00594600" w:rsidRPr="003F0D18" w:rsidRDefault="00594600" w:rsidP="00F25206">
      <w:pPr>
        <w:pStyle w:val="ListParagraph"/>
        <w:numPr>
          <w:ilvl w:val="0"/>
          <w:numId w:val="7"/>
        </w:numPr>
        <w:ind w:left="720"/>
      </w:pPr>
      <w:r w:rsidRPr="003F0D18">
        <w:t xml:space="preserve">Not aware of any, but </w:t>
      </w:r>
      <w:r w:rsidR="003F0D18" w:rsidRPr="003F0D18">
        <w:t xml:space="preserve">this is </w:t>
      </w:r>
      <w:r w:rsidRPr="003F0D18">
        <w:t>a good suggestion.</w:t>
      </w:r>
    </w:p>
    <w:p w14:paraId="3673C3FB" w14:textId="77777777" w:rsidR="00FF447E" w:rsidRPr="003F0D18" w:rsidRDefault="00FF447E" w:rsidP="00F25206"/>
    <w:p w14:paraId="64F0E3F1" w14:textId="77777777" w:rsidR="00594600" w:rsidRPr="003F0D18" w:rsidRDefault="00594600" w:rsidP="00F25206">
      <w:pPr>
        <w:pStyle w:val="ListParagraph"/>
        <w:numPr>
          <w:ilvl w:val="0"/>
          <w:numId w:val="1"/>
        </w:numPr>
        <w:ind w:left="360"/>
        <w:rPr>
          <w:b/>
        </w:rPr>
      </w:pPr>
      <w:r w:rsidRPr="003F0D18">
        <w:rPr>
          <w:b/>
        </w:rPr>
        <w:t xml:space="preserve">Will it </w:t>
      </w:r>
      <w:r w:rsidR="00FF447E" w:rsidRPr="003F0D18">
        <w:rPr>
          <w:b/>
        </w:rPr>
        <w:t>be useful to have competition for the TMCH</w:t>
      </w:r>
      <w:r w:rsidRPr="003F0D18">
        <w:rPr>
          <w:b/>
        </w:rPr>
        <w:t>?</w:t>
      </w:r>
    </w:p>
    <w:p w14:paraId="6B1EFBEF" w14:textId="6D7C0410" w:rsidR="00594600" w:rsidRPr="003F0D18" w:rsidRDefault="00594600" w:rsidP="00F25206">
      <w:pPr>
        <w:pStyle w:val="ListParagraph"/>
        <w:numPr>
          <w:ilvl w:val="0"/>
          <w:numId w:val="7"/>
        </w:numPr>
        <w:ind w:left="720"/>
      </w:pPr>
      <w:r w:rsidRPr="003F0D18">
        <w:t>They</w:t>
      </w:r>
      <w:r w:rsidR="00FF447E" w:rsidRPr="003F0D18">
        <w:t xml:space="preserve"> </w:t>
      </w:r>
      <w:r w:rsidRPr="003F0D18">
        <w:t>will</w:t>
      </w:r>
      <w:r w:rsidR="00FF447E" w:rsidRPr="003F0D18">
        <w:t xml:space="preserve"> take a look at</w:t>
      </w:r>
      <w:r w:rsidRPr="003F0D18">
        <w:t xml:space="preserve"> the</w:t>
      </w:r>
      <w:r w:rsidR="00FF447E" w:rsidRPr="003F0D18">
        <w:t xml:space="preserve"> survey responses to see if </w:t>
      </w:r>
      <w:r w:rsidRPr="003F0D18">
        <w:t xml:space="preserve">there is </w:t>
      </w:r>
      <w:r w:rsidR="00FF447E" w:rsidRPr="003F0D18">
        <w:t xml:space="preserve">anything there </w:t>
      </w:r>
      <w:r w:rsidRPr="003F0D18">
        <w:t xml:space="preserve">that </w:t>
      </w:r>
      <w:r w:rsidR="00FF447E" w:rsidRPr="003F0D18">
        <w:t>might be useful to the W</w:t>
      </w:r>
      <w:r w:rsidRPr="003F0D18">
        <w:t xml:space="preserve">orking </w:t>
      </w:r>
      <w:r w:rsidR="00FF447E" w:rsidRPr="003F0D18">
        <w:t>G</w:t>
      </w:r>
      <w:r w:rsidRPr="003F0D18">
        <w:t>roup’s deliberations on this point.</w:t>
      </w:r>
    </w:p>
    <w:p w14:paraId="5C05D7A1" w14:textId="77777777" w:rsidR="00594600" w:rsidRPr="003F0D18" w:rsidRDefault="00594600" w:rsidP="00F25206"/>
    <w:p w14:paraId="59C248AC" w14:textId="77777777" w:rsidR="00594600" w:rsidRPr="003F0D18" w:rsidRDefault="00594600" w:rsidP="00F25206">
      <w:pPr>
        <w:pStyle w:val="ListParagraph"/>
        <w:numPr>
          <w:ilvl w:val="0"/>
          <w:numId w:val="1"/>
        </w:numPr>
        <w:ind w:left="360"/>
        <w:rPr>
          <w:b/>
        </w:rPr>
      </w:pPr>
      <w:r w:rsidRPr="003F0D18">
        <w:rPr>
          <w:b/>
        </w:rPr>
        <w:t xml:space="preserve">Who was interviewed for the report? </w:t>
      </w:r>
    </w:p>
    <w:p w14:paraId="6E72C63B" w14:textId="5D504318" w:rsidR="00594600" w:rsidRPr="003F0D18" w:rsidRDefault="00594600" w:rsidP="00F25206">
      <w:pPr>
        <w:pStyle w:val="ListParagraph"/>
        <w:numPr>
          <w:ilvl w:val="0"/>
          <w:numId w:val="7"/>
        </w:numPr>
        <w:ind w:left="720"/>
      </w:pPr>
      <w:r w:rsidRPr="003F0D18">
        <w:t xml:space="preserve">They cannot disclose the identities of individual respondents. Basically, interviewees were selected based on a number of criteria to ensure diversity of respondents (e.g. geographical distribution, size of trademark portfolio/strings registered in TMCH). </w:t>
      </w:r>
    </w:p>
    <w:p w14:paraId="406499F3" w14:textId="77777777" w:rsidR="00594600" w:rsidRPr="003F0D18" w:rsidRDefault="00594600" w:rsidP="00F25206"/>
    <w:p w14:paraId="22FDD176" w14:textId="7E596020" w:rsidR="00FF447E" w:rsidRPr="003F0D18" w:rsidRDefault="00FF447E" w:rsidP="00F25206"/>
    <w:p w14:paraId="42754C12" w14:textId="77777777" w:rsidR="003C5F82" w:rsidRPr="003F0D18" w:rsidRDefault="003C5F82" w:rsidP="00F25206"/>
    <w:p w14:paraId="368FE8B1" w14:textId="77777777" w:rsidR="003C5F82" w:rsidRPr="003F0D18" w:rsidRDefault="003C5F82" w:rsidP="00F25206"/>
    <w:p w14:paraId="0915757A" w14:textId="77777777" w:rsidR="007D3F1F" w:rsidRPr="003F0D18" w:rsidRDefault="007D3F1F" w:rsidP="00F25206"/>
    <w:sectPr w:rsidR="007D3F1F" w:rsidRPr="003F0D18" w:rsidSect="0032651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972E9" w14:textId="77777777" w:rsidR="005E7D45" w:rsidRDefault="005E7D45" w:rsidP="003F0D18">
      <w:r>
        <w:separator/>
      </w:r>
    </w:p>
  </w:endnote>
  <w:endnote w:type="continuationSeparator" w:id="0">
    <w:p w14:paraId="1576991A" w14:textId="77777777" w:rsidR="005E7D45" w:rsidRDefault="005E7D45" w:rsidP="003F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AC78B" w14:textId="77777777" w:rsidR="003F0D18" w:rsidRDefault="003F0D18" w:rsidP="00316A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430A4" w14:textId="77777777" w:rsidR="003F0D18" w:rsidRDefault="003F0D18" w:rsidP="003F0D1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AB7C" w14:textId="77777777" w:rsidR="003F0D18" w:rsidRDefault="003F0D18" w:rsidP="00316A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7D45">
      <w:rPr>
        <w:rStyle w:val="PageNumber"/>
        <w:noProof/>
      </w:rPr>
      <w:t>1</w:t>
    </w:r>
    <w:r>
      <w:rPr>
        <w:rStyle w:val="PageNumber"/>
      </w:rPr>
      <w:fldChar w:fldCharType="end"/>
    </w:r>
  </w:p>
  <w:p w14:paraId="19389CD1" w14:textId="77777777" w:rsidR="003F0D18" w:rsidRDefault="003F0D18" w:rsidP="003F0D1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EE59D" w14:textId="77777777" w:rsidR="005E7D45" w:rsidRDefault="005E7D45" w:rsidP="003F0D18">
      <w:r>
        <w:separator/>
      </w:r>
    </w:p>
  </w:footnote>
  <w:footnote w:type="continuationSeparator" w:id="0">
    <w:p w14:paraId="362525C6" w14:textId="77777777" w:rsidR="005E7D45" w:rsidRDefault="005E7D45" w:rsidP="003F0D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87E7D"/>
    <w:multiLevelType w:val="multilevel"/>
    <w:tmpl w:val="8A4C2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1C25F0"/>
    <w:multiLevelType w:val="hybridMultilevel"/>
    <w:tmpl w:val="CE5A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17802"/>
    <w:multiLevelType w:val="hybridMultilevel"/>
    <w:tmpl w:val="040EFCC8"/>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013062"/>
    <w:multiLevelType w:val="hybridMultilevel"/>
    <w:tmpl w:val="510A6154"/>
    <w:lvl w:ilvl="0" w:tplc="2710FB34">
      <w:start w:val="1"/>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5153242"/>
    <w:multiLevelType w:val="hybridMultilevel"/>
    <w:tmpl w:val="09660268"/>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87D6370"/>
    <w:multiLevelType w:val="hybridMultilevel"/>
    <w:tmpl w:val="1C1A87D2"/>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4FA6B23"/>
    <w:multiLevelType w:val="hybridMultilevel"/>
    <w:tmpl w:val="C3C60D42"/>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1F"/>
    <w:rsid w:val="000A2AAC"/>
    <w:rsid w:val="00136ADF"/>
    <w:rsid w:val="00273856"/>
    <w:rsid w:val="002B1E2E"/>
    <w:rsid w:val="00326516"/>
    <w:rsid w:val="003C5F82"/>
    <w:rsid w:val="003F0D18"/>
    <w:rsid w:val="00435BDF"/>
    <w:rsid w:val="00594600"/>
    <w:rsid w:val="005E7D45"/>
    <w:rsid w:val="007D3F1F"/>
    <w:rsid w:val="007D749B"/>
    <w:rsid w:val="00BF392E"/>
    <w:rsid w:val="00F25206"/>
    <w:rsid w:val="00FB2D09"/>
    <w:rsid w:val="00FB46F2"/>
    <w:rsid w:val="00FF4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417B7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49B"/>
    <w:pPr>
      <w:ind w:left="720"/>
      <w:contextualSpacing/>
    </w:pPr>
  </w:style>
  <w:style w:type="paragraph" w:styleId="Footer">
    <w:name w:val="footer"/>
    <w:basedOn w:val="Normal"/>
    <w:link w:val="FooterChar"/>
    <w:uiPriority w:val="99"/>
    <w:unhideWhenUsed/>
    <w:rsid w:val="003F0D18"/>
    <w:pPr>
      <w:tabs>
        <w:tab w:val="center" w:pos="4680"/>
        <w:tab w:val="right" w:pos="9360"/>
      </w:tabs>
    </w:pPr>
  </w:style>
  <w:style w:type="character" w:customStyle="1" w:styleId="FooterChar">
    <w:name w:val="Footer Char"/>
    <w:basedOn w:val="DefaultParagraphFont"/>
    <w:link w:val="Footer"/>
    <w:uiPriority w:val="99"/>
    <w:rsid w:val="003F0D18"/>
  </w:style>
  <w:style w:type="character" w:styleId="PageNumber">
    <w:name w:val="page number"/>
    <w:basedOn w:val="DefaultParagraphFont"/>
    <w:uiPriority w:val="99"/>
    <w:semiHidden/>
    <w:unhideWhenUsed/>
    <w:rsid w:val="003F0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1108</Words>
  <Characters>6317</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3</cp:revision>
  <dcterms:created xsi:type="dcterms:W3CDTF">2016-07-29T22:12:00Z</dcterms:created>
  <dcterms:modified xsi:type="dcterms:W3CDTF">2016-07-29T22:13:00Z</dcterms:modified>
</cp:coreProperties>
</file>