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346C8" w14:textId="51319383" w:rsidR="00E353B1" w:rsidRDefault="00E353B1" w:rsidP="00E86590">
      <w:pPr>
        <w:jc w:val="center"/>
        <w:rPr>
          <w:rFonts w:asciiTheme="minorHAnsi" w:hAnsiTheme="minorHAnsi"/>
          <w:b/>
          <w:sz w:val="22"/>
          <w:szCs w:val="22"/>
        </w:rPr>
      </w:pPr>
      <w:r>
        <w:rPr>
          <w:rFonts w:asciiTheme="minorHAnsi" w:hAnsiTheme="minorHAnsi"/>
          <w:b/>
          <w:sz w:val="22"/>
          <w:szCs w:val="22"/>
        </w:rPr>
        <w:t xml:space="preserve">INFORMATION ON SOME QUESTIONS </w:t>
      </w:r>
      <w:r w:rsidR="00E86590">
        <w:rPr>
          <w:rFonts w:asciiTheme="minorHAnsi" w:hAnsiTheme="minorHAnsi"/>
          <w:b/>
          <w:sz w:val="22"/>
          <w:szCs w:val="22"/>
        </w:rPr>
        <w:t>ON EXISTING TMCH RULES &amp; REQUIREMENTS</w:t>
      </w:r>
    </w:p>
    <w:p w14:paraId="237DB98C" w14:textId="433395E2" w:rsidR="00E353B1" w:rsidRDefault="00E353B1" w:rsidP="00E86590">
      <w:pPr>
        <w:jc w:val="center"/>
        <w:rPr>
          <w:rFonts w:asciiTheme="minorHAnsi" w:hAnsiTheme="minorHAnsi"/>
          <w:b/>
          <w:sz w:val="22"/>
          <w:szCs w:val="22"/>
        </w:rPr>
      </w:pPr>
      <w:r>
        <w:rPr>
          <w:rFonts w:asciiTheme="minorHAnsi" w:hAnsiTheme="minorHAnsi"/>
          <w:b/>
          <w:sz w:val="22"/>
          <w:szCs w:val="22"/>
        </w:rPr>
        <w:t>12 April 2017</w:t>
      </w:r>
    </w:p>
    <w:p w14:paraId="03FAAFB6" w14:textId="77777777" w:rsidR="00E353B1" w:rsidRDefault="00E353B1" w:rsidP="0014409E">
      <w:pPr>
        <w:rPr>
          <w:rFonts w:asciiTheme="minorHAnsi" w:hAnsiTheme="minorHAnsi"/>
          <w:b/>
          <w:sz w:val="22"/>
          <w:szCs w:val="22"/>
        </w:rPr>
      </w:pPr>
    </w:p>
    <w:p w14:paraId="6F621F48" w14:textId="5499A1B0" w:rsidR="00A94AE1" w:rsidRPr="00E353B1" w:rsidRDefault="00873ADA" w:rsidP="00E353B1">
      <w:pPr>
        <w:pStyle w:val="ListParagraph"/>
        <w:numPr>
          <w:ilvl w:val="0"/>
          <w:numId w:val="3"/>
        </w:numPr>
        <w:rPr>
          <w:rFonts w:asciiTheme="minorHAnsi" w:hAnsiTheme="minorHAnsi"/>
          <w:b/>
          <w:sz w:val="22"/>
          <w:szCs w:val="22"/>
        </w:rPr>
      </w:pPr>
      <w:r w:rsidRPr="00E353B1">
        <w:rPr>
          <w:rFonts w:asciiTheme="minorHAnsi" w:hAnsiTheme="minorHAnsi"/>
          <w:b/>
          <w:sz w:val="22"/>
          <w:szCs w:val="22"/>
        </w:rPr>
        <w:t xml:space="preserve">What restrictions on Sunrise registrations are </w:t>
      </w:r>
      <w:r w:rsidR="00C95166">
        <w:rPr>
          <w:rFonts w:asciiTheme="minorHAnsi" w:hAnsiTheme="minorHAnsi"/>
          <w:b/>
          <w:sz w:val="22"/>
          <w:szCs w:val="22"/>
        </w:rPr>
        <w:t xml:space="preserve">registry operators </w:t>
      </w:r>
      <w:r w:rsidRPr="00E353B1">
        <w:rPr>
          <w:rFonts w:asciiTheme="minorHAnsi" w:hAnsiTheme="minorHAnsi"/>
          <w:b/>
          <w:sz w:val="22"/>
          <w:szCs w:val="22"/>
        </w:rPr>
        <w:t xml:space="preserve">permitted </w:t>
      </w:r>
      <w:r w:rsidR="00C95166">
        <w:rPr>
          <w:rFonts w:asciiTheme="minorHAnsi" w:hAnsiTheme="minorHAnsi"/>
          <w:b/>
          <w:sz w:val="22"/>
          <w:szCs w:val="22"/>
        </w:rPr>
        <w:t xml:space="preserve">to apply </w:t>
      </w:r>
      <w:r w:rsidRPr="00E353B1">
        <w:rPr>
          <w:rFonts w:asciiTheme="minorHAnsi" w:hAnsiTheme="minorHAnsi"/>
          <w:b/>
          <w:sz w:val="22"/>
          <w:szCs w:val="22"/>
        </w:rPr>
        <w:t>under the TMCH Requirements</w:t>
      </w:r>
      <w:r w:rsidR="00E75FDA" w:rsidRPr="00E353B1">
        <w:rPr>
          <w:rFonts w:asciiTheme="minorHAnsi" w:hAnsiTheme="minorHAnsi"/>
          <w:b/>
          <w:sz w:val="22"/>
          <w:szCs w:val="22"/>
        </w:rPr>
        <w:t xml:space="preserve"> (</w:t>
      </w:r>
      <w:hyperlink r:id="rId7" w:history="1">
        <w:r w:rsidR="00E75FDA" w:rsidRPr="00E353B1">
          <w:rPr>
            <w:rStyle w:val="Hyperlink"/>
            <w:rFonts w:asciiTheme="minorHAnsi" w:hAnsiTheme="minorHAnsi"/>
            <w:b/>
            <w:sz w:val="22"/>
            <w:szCs w:val="22"/>
          </w:rPr>
          <w:t>https://newgtlds.icann.org/en/about/trademark-clearinghouse/rpm-requirements-14may14-en.pdf)</w:t>
        </w:r>
      </w:hyperlink>
      <w:r w:rsidRPr="00E353B1">
        <w:rPr>
          <w:rFonts w:asciiTheme="minorHAnsi" w:hAnsiTheme="minorHAnsi"/>
          <w:b/>
          <w:sz w:val="22"/>
          <w:szCs w:val="22"/>
        </w:rPr>
        <w:t>?</w:t>
      </w:r>
      <w:r w:rsidR="00E75FDA" w:rsidRPr="00E353B1">
        <w:rPr>
          <w:rFonts w:asciiTheme="minorHAnsi" w:hAnsiTheme="minorHAnsi"/>
          <w:b/>
          <w:sz w:val="22"/>
          <w:szCs w:val="22"/>
        </w:rPr>
        <w:t xml:space="preserve"> </w:t>
      </w:r>
    </w:p>
    <w:p w14:paraId="2C63AA4B" w14:textId="77777777" w:rsidR="007069BD" w:rsidRDefault="007069BD" w:rsidP="0014409E">
      <w:pPr>
        <w:rPr>
          <w:rFonts w:asciiTheme="minorHAnsi" w:hAnsiTheme="minorHAnsi"/>
          <w:sz w:val="22"/>
          <w:szCs w:val="22"/>
        </w:rPr>
      </w:pPr>
    </w:p>
    <w:p w14:paraId="3FA275AB" w14:textId="77777777" w:rsidR="00873ADA" w:rsidRPr="00873ADA" w:rsidRDefault="00873ADA" w:rsidP="00E353B1">
      <w:pPr>
        <w:pStyle w:val="ListParagraph"/>
        <w:numPr>
          <w:ilvl w:val="0"/>
          <w:numId w:val="2"/>
        </w:numPr>
        <w:ind w:left="1080"/>
        <w:rPr>
          <w:rFonts w:asciiTheme="minorHAnsi" w:hAnsiTheme="minorHAnsi"/>
          <w:sz w:val="22"/>
          <w:szCs w:val="22"/>
        </w:rPr>
      </w:pPr>
      <w:r w:rsidRPr="00873ADA">
        <w:rPr>
          <w:rFonts w:asciiTheme="minorHAnsi" w:hAnsiTheme="minorHAnsi"/>
          <w:sz w:val="22"/>
          <w:szCs w:val="22"/>
        </w:rPr>
        <w:t xml:space="preserve">Section </w:t>
      </w:r>
      <w:r w:rsidR="007069BD" w:rsidRPr="00873ADA">
        <w:rPr>
          <w:rFonts w:asciiTheme="minorHAnsi" w:hAnsiTheme="minorHAnsi"/>
          <w:sz w:val="22"/>
          <w:szCs w:val="22"/>
        </w:rPr>
        <w:t>2.3.1.1</w:t>
      </w:r>
      <w:r w:rsidRPr="00873ADA">
        <w:rPr>
          <w:rFonts w:asciiTheme="minorHAnsi" w:hAnsiTheme="minorHAnsi"/>
          <w:sz w:val="22"/>
          <w:szCs w:val="22"/>
        </w:rPr>
        <w:t>:</w:t>
      </w:r>
      <w:r w:rsidR="007069BD" w:rsidRPr="00873ADA">
        <w:rPr>
          <w:rFonts w:asciiTheme="minorHAnsi" w:hAnsiTheme="minorHAnsi"/>
          <w:sz w:val="22"/>
          <w:szCs w:val="22"/>
        </w:rPr>
        <w:t xml:space="preserve"> Registry Operator MAY apply restrictions relating to the underlying rights of a Trademark Record related to the purpose of the TLD (e.g., restrictions on the class of goods or jurisdiction of the Trademark Record that are related to the TLD). </w:t>
      </w:r>
    </w:p>
    <w:p w14:paraId="5FE2831B" w14:textId="77777777" w:rsidR="00873ADA" w:rsidRDefault="00873ADA" w:rsidP="00E353B1">
      <w:pPr>
        <w:ind w:left="360"/>
        <w:rPr>
          <w:rFonts w:asciiTheme="minorHAnsi" w:hAnsiTheme="minorHAnsi"/>
          <w:sz w:val="22"/>
          <w:szCs w:val="22"/>
        </w:rPr>
      </w:pPr>
    </w:p>
    <w:p w14:paraId="62D4B5A1" w14:textId="77777777" w:rsidR="00873ADA" w:rsidRPr="00873ADA" w:rsidRDefault="00873ADA" w:rsidP="00E353B1">
      <w:pPr>
        <w:pStyle w:val="ListParagraph"/>
        <w:numPr>
          <w:ilvl w:val="0"/>
          <w:numId w:val="2"/>
        </w:numPr>
        <w:ind w:left="1080"/>
        <w:rPr>
          <w:rFonts w:asciiTheme="minorHAnsi" w:hAnsiTheme="minorHAnsi"/>
          <w:sz w:val="22"/>
          <w:szCs w:val="22"/>
        </w:rPr>
      </w:pPr>
      <w:r w:rsidRPr="00873ADA">
        <w:rPr>
          <w:rFonts w:asciiTheme="minorHAnsi" w:hAnsiTheme="minorHAnsi"/>
          <w:sz w:val="22"/>
          <w:szCs w:val="22"/>
        </w:rPr>
        <w:t xml:space="preserve">Section </w:t>
      </w:r>
      <w:r w:rsidR="007069BD" w:rsidRPr="00873ADA">
        <w:rPr>
          <w:rFonts w:asciiTheme="minorHAnsi" w:hAnsiTheme="minorHAnsi"/>
          <w:sz w:val="22"/>
          <w:szCs w:val="22"/>
        </w:rPr>
        <w:t xml:space="preserve">2.3.1.2 Registry Operator MAY specify requirements that are not related to the scope of mark rights (e.g., if the TLD has a nexus or local presence requirement for domain name registrants). </w:t>
      </w:r>
    </w:p>
    <w:p w14:paraId="239D67CD" w14:textId="77777777" w:rsidR="00873ADA" w:rsidRDefault="00873ADA" w:rsidP="00E353B1">
      <w:pPr>
        <w:ind w:left="360"/>
        <w:rPr>
          <w:rFonts w:asciiTheme="minorHAnsi" w:hAnsiTheme="minorHAnsi"/>
          <w:sz w:val="22"/>
          <w:szCs w:val="22"/>
        </w:rPr>
      </w:pPr>
    </w:p>
    <w:p w14:paraId="71A7CC5E" w14:textId="77777777" w:rsidR="00873ADA" w:rsidRPr="00873ADA" w:rsidRDefault="00873ADA" w:rsidP="00E353B1">
      <w:pPr>
        <w:pStyle w:val="ListParagraph"/>
        <w:numPr>
          <w:ilvl w:val="0"/>
          <w:numId w:val="2"/>
        </w:numPr>
        <w:ind w:left="1080"/>
        <w:rPr>
          <w:rFonts w:asciiTheme="minorHAnsi" w:hAnsiTheme="minorHAnsi"/>
          <w:sz w:val="22"/>
          <w:szCs w:val="22"/>
        </w:rPr>
      </w:pPr>
      <w:r w:rsidRPr="00873ADA">
        <w:rPr>
          <w:rFonts w:asciiTheme="minorHAnsi" w:hAnsiTheme="minorHAnsi"/>
          <w:sz w:val="22"/>
          <w:szCs w:val="22"/>
        </w:rPr>
        <w:t xml:space="preserve">Section </w:t>
      </w:r>
      <w:r w:rsidR="007069BD" w:rsidRPr="00873ADA">
        <w:rPr>
          <w:rFonts w:asciiTheme="minorHAnsi" w:hAnsiTheme="minorHAnsi"/>
          <w:sz w:val="22"/>
          <w:szCs w:val="22"/>
        </w:rPr>
        <w:t xml:space="preserve">2.3.1.3 Registry Operator MAY require that the information in a SMD file for a potential Sunrise Registration match the applicable Whois record for the registrant for the registered domain name. </w:t>
      </w:r>
    </w:p>
    <w:p w14:paraId="49E42BC9" w14:textId="77777777" w:rsidR="00873ADA" w:rsidRDefault="00873ADA" w:rsidP="00E353B1">
      <w:pPr>
        <w:ind w:left="360"/>
        <w:rPr>
          <w:rFonts w:asciiTheme="minorHAnsi" w:hAnsiTheme="minorHAnsi"/>
          <w:sz w:val="22"/>
          <w:szCs w:val="22"/>
        </w:rPr>
      </w:pPr>
    </w:p>
    <w:p w14:paraId="053FD093" w14:textId="698CACED" w:rsidR="007069BD" w:rsidRPr="00873ADA" w:rsidRDefault="00873ADA" w:rsidP="00E353B1">
      <w:pPr>
        <w:pStyle w:val="ListParagraph"/>
        <w:numPr>
          <w:ilvl w:val="0"/>
          <w:numId w:val="2"/>
        </w:numPr>
        <w:ind w:left="1080"/>
        <w:rPr>
          <w:rFonts w:asciiTheme="minorHAnsi" w:hAnsiTheme="minorHAnsi"/>
          <w:sz w:val="22"/>
          <w:szCs w:val="22"/>
        </w:rPr>
      </w:pPr>
      <w:r w:rsidRPr="00873ADA">
        <w:rPr>
          <w:rFonts w:asciiTheme="minorHAnsi" w:hAnsiTheme="minorHAnsi"/>
          <w:sz w:val="22"/>
          <w:szCs w:val="22"/>
        </w:rPr>
        <w:t xml:space="preserve">Section </w:t>
      </w:r>
      <w:r w:rsidR="007069BD" w:rsidRPr="00873ADA">
        <w:rPr>
          <w:rFonts w:asciiTheme="minorHAnsi" w:hAnsiTheme="minorHAnsi"/>
          <w:sz w:val="22"/>
          <w:szCs w:val="22"/>
        </w:rPr>
        <w:t>2.3.1.4 Registry Operator MAY impose reasonable date restrictions relating to the date that a trademark underlying a Trademark Record or other applicable record was registered, court validated or protected by statute or treaty to prevent gaming of Registry Operator’s Sunrise Period.</w:t>
      </w:r>
    </w:p>
    <w:p w14:paraId="0688C8AE" w14:textId="77777777" w:rsidR="007069BD" w:rsidRDefault="007069BD" w:rsidP="0014409E">
      <w:pPr>
        <w:rPr>
          <w:rFonts w:asciiTheme="minorHAnsi" w:hAnsiTheme="minorHAnsi"/>
          <w:sz w:val="22"/>
          <w:szCs w:val="22"/>
        </w:rPr>
      </w:pPr>
    </w:p>
    <w:p w14:paraId="45FE212B" w14:textId="66884C1F" w:rsidR="00CF13EE" w:rsidRDefault="00677D43" w:rsidP="00E353B1">
      <w:pPr>
        <w:pStyle w:val="ListParagraph"/>
        <w:numPr>
          <w:ilvl w:val="0"/>
          <w:numId w:val="3"/>
        </w:numPr>
        <w:rPr>
          <w:rFonts w:asciiTheme="minorHAnsi" w:hAnsiTheme="minorHAnsi"/>
          <w:b/>
          <w:sz w:val="22"/>
          <w:szCs w:val="22"/>
        </w:rPr>
      </w:pPr>
      <w:r>
        <w:rPr>
          <w:rFonts w:asciiTheme="minorHAnsi" w:hAnsiTheme="minorHAnsi"/>
          <w:b/>
          <w:sz w:val="22"/>
          <w:szCs w:val="22"/>
        </w:rPr>
        <w:t xml:space="preserve">What </w:t>
      </w:r>
      <w:r w:rsidR="00CF13EE">
        <w:rPr>
          <w:rFonts w:asciiTheme="minorHAnsi" w:hAnsiTheme="minorHAnsi"/>
          <w:b/>
          <w:sz w:val="22"/>
          <w:szCs w:val="22"/>
        </w:rPr>
        <w:t>other pre-General Availability registration processes</w:t>
      </w:r>
      <w:r>
        <w:rPr>
          <w:rFonts w:asciiTheme="minorHAnsi" w:hAnsiTheme="minorHAnsi"/>
          <w:b/>
          <w:sz w:val="22"/>
          <w:szCs w:val="22"/>
        </w:rPr>
        <w:t xml:space="preserve"> can registry operators run</w:t>
      </w:r>
      <w:r w:rsidR="00CF13EE">
        <w:rPr>
          <w:rFonts w:asciiTheme="minorHAnsi" w:hAnsiTheme="minorHAnsi"/>
          <w:b/>
          <w:sz w:val="22"/>
          <w:szCs w:val="22"/>
        </w:rPr>
        <w:t>?</w:t>
      </w:r>
    </w:p>
    <w:p w14:paraId="04FD1C61" w14:textId="77777777" w:rsidR="00CF13EE" w:rsidRDefault="00CF13EE" w:rsidP="00CF13EE">
      <w:pPr>
        <w:rPr>
          <w:rFonts w:asciiTheme="minorHAnsi" w:hAnsiTheme="minorHAnsi"/>
          <w:b/>
          <w:sz w:val="22"/>
          <w:szCs w:val="22"/>
        </w:rPr>
      </w:pPr>
    </w:p>
    <w:p w14:paraId="75F4F143" w14:textId="15C30E53" w:rsidR="00E86590" w:rsidRDefault="0022730E" w:rsidP="00CF13EE">
      <w:pPr>
        <w:rPr>
          <w:rFonts w:asciiTheme="minorHAnsi" w:hAnsiTheme="minorHAnsi"/>
          <w:sz w:val="22"/>
          <w:szCs w:val="22"/>
        </w:rPr>
      </w:pPr>
      <w:r w:rsidRPr="0022730E">
        <w:rPr>
          <w:rFonts w:asciiTheme="minorHAnsi" w:hAnsiTheme="minorHAnsi"/>
          <w:sz w:val="22"/>
          <w:szCs w:val="22"/>
        </w:rPr>
        <w:t xml:space="preserve">Other than as </w:t>
      </w:r>
      <w:r w:rsidR="00677D43">
        <w:rPr>
          <w:rFonts w:asciiTheme="minorHAnsi" w:hAnsiTheme="minorHAnsi"/>
          <w:sz w:val="22"/>
          <w:szCs w:val="22"/>
        </w:rPr>
        <w:t>specified</w:t>
      </w:r>
      <w:r w:rsidRPr="0022730E">
        <w:rPr>
          <w:rFonts w:asciiTheme="minorHAnsi" w:hAnsiTheme="minorHAnsi"/>
          <w:sz w:val="22"/>
          <w:szCs w:val="22"/>
        </w:rPr>
        <w:t xml:space="preserve"> in the TMCH Requirements, </w:t>
      </w:r>
      <w:r w:rsidR="00677D43">
        <w:rPr>
          <w:rFonts w:asciiTheme="minorHAnsi" w:hAnsiTheme="minorHAnsi"/>
          <w:sz w:val="22"/>
          <w:szCs w:val="22"/>
        </w:rPr>
        <w:t>registry operators may apply for</w:t>
      </w:r>
      <w:r w:rsidR="00910536">
        <w:rPr>
          <w:rFonts w:asciiTheme="minorHAnsi" w:hAnsiTheme="minorHAnsi"/>
          <w:sz w:val="22"/>
          <w:szCs w:val="22"/>
        </w:rPr>
        <w:t xml:space="preserve"> </w:t>
      </w:r>
      <w:r w:rsidR="00677D43">
        <w:rPr>
          <w:rFonts w:asciiTheme="minorHAnsi" w:hAnsiTheme="minorHAnsi"/>
          <w:sz w:val="22"/>
          <w:szCs w:val="22"/>
        </w:rPr>
        <w:t xml:space="preserve">ICANN </w:t>
      </w:r>
      <w:r w:rsidR="00CF13EE" w:rsidRPr="0022730E">
        <w:rPr>
          <w:rFonts w:asciiTheme="minorHAnsi" w:hAnsiTheme="minorHAnsi"/>
          <w:sz w:val="22"/>
          <w:szCs w:val="22"/>
        </w:rPr>
        <w:t>approv</w:t>
      </w:r>
      <w:r w:rsidR="00677D43">
        <w:rPr>
          <w:rFonts w:asciiTheme="minorHAnsi" w:hAnsiTheme="minorHAnsi"/>
          <w:sz w:val="22"/>
          <w:szCs w:val="22"/>
        </w:rPr>
        <w:t>al</w:t>
      </w:r>
      <w:r w:rsidR="00CF13EE" w:rsidRPr="0022730E">
        <w:rPr>
          <w:rFonts w:asciiTheme="minorHAnsi" w:hAnsiTheme="minorHAnsi"/>
          <w:sz w:val="22"/>
          <w:szCs w:val="22"/>
        </w:rPr>
        <w:t xml:space="preserve"> </w:t>
      </w:r>
      <w:r w:rsidR="00677D43">
        <w:rPr>
          <w:rFonts w:asciiTheme="minorHAnsi" w:hAnsiTheme="minorHAnsi"/>
          <w:sz w:val="22"/>
          <w:szCs w:val="22"/>
        </w:rPr>
        <w:t>to run</w:t>
      </w:r>
      <w:r w:rsidR="00CF13EE" w:rsidRPr="0022730E">
        <w:rPr>
          <w:rFonts w:asciiTheme="minorHAnsi" w:hAnsiTheme="minorHAnsi"/>
          <w:sz w:val="22"/>
          <w:szCs w:val="22"/>
        </w:rPr>
        <w:t xml:space="preserve"> </w:t>
      </w:r>
      <w:r w:rsidR="00677D43">
        <w:rPr>
          <w:rFonts w:asciiTheme="minorHAnsi" w:hAnsiTheme="minorHAnsi"/>
          <w:sz w:val="22"/>
          <w:szCs w:val="22"/>
        </w:rPr>
        <w:t>an</w:t>
      </w:r>
      <w:r w:rsidR="00CF13EE" w:rsidRPr="0022730E">
        <w:rPr>
          <w:rFonts w:asciiTheme="minorHAnsi" w:hAnsiTheme="minorHAnsi"/>
          <w:sz w:val="22"/>
          <w:szCs w:val="22"/>
        </w:rPr>
        <w:t xml:space="preserve"> </w:t>
      </w:r>
      <w:r w:rsidR="00CF13EE" w:rsidRPr="00910536">
        <w:rPr>
          <w:rFonts w:asciiTheme="minorHAnsi" w:hAnsiTheme="minorHAnsi"/>
          <w:sz w:val="22"/>
          <w:szCs w:val="22"/>
          <w:u w:val="single"/>
        </w:rPr>
        <w:t>Approved Launch Program</w:t>
      </w:r>
      <w:r w:rsidR="00677D43">
        <w:rPr>
          <w:rFonts w:asciiTheme="minorHAnsi" w:hAnsiTheme="minorHAnsi"/>
          <w:sz w:val="22"/>
          <w:szCs w:val="22"/>
        </w:rPr>
        <w:t xml:space="preserve"> (ALP)</w:t>
      </w:r>
      <w:r>
        <w:rPr>
          <w:rFonts w:asciiTheme="minorHAnsi" w:hAnsiTheme="minorHAnsi"/>
          <w:sz w:val="22"/>
          <w:szCs w:val="22"/>
        </w:rPr>
        <w:t>:</w:t>
      </w:r>
      <w:r w:rsidR="00CF13EE" w:rsidRPr="0022730E">
        <w:rPr>
          <w:rFonts w:asciiTheme="minorHAnsi" w:hAnsiTheme="minorHAnsi"/>
          <w:sz w:val="22"/>
          <w:szCs w:val="22"/>
        </w:rPr>
        <w:t xml:space="preserve"> </w:t>
      </w:r>
      <w:hyperlink r:id="rId8" w:history="1">
        <w:r w:rsidRPr="00E0696D">
          <w:rPr>
            <w:rStyle w:val="Hyperlink"/>
            <w:rFonts w:asciiTheme="minorHAnsi" w:hAnsiTheme="minorHAnsi"/>
            <w:sz w:val="22"/>
            <w:szCs w:val="22"/>
          </w:rPr>
          <w:t>https://newgtlds.icann.org/en/announcements-and-media/announcement-12nov13-en</w:t>
        </w:r>
      </w:hyperlink>
      <w:r w:rsidR="00910536">
        <w:rPr>
          <w:rFonts w:asciiTheme="minorHAnsi" w:hAnsiTheme="minorHAnsi"/>
          <w:sz w:val="22"/>
          <w:szCs w:val="22"/>
        </w:rPr>
        <w:t xml:space="preserve">. </w:t>
      </w:r>
    </w:p>
    <w:p w14:paraId="1ECD7198" w14:textId="77777777" w:rsidR="00E86590" w:rsidRDefault="00E86590" w:rsidP="00CF13EE">
      <w:pPr>
        <w:rPr>
          <w:rFonts w:asciiTheme="minorHAnsi" w:hAnsiTheme="minorHAnsi"/>
          <w:sz w:val="22"/>
          <w:szCs w:val="22"/>
        </w:rPr>
      </w:pPr>
    </w:p>
    <w:p w14:paraId="454885AC" w14:textId="21D6F9C8" w:rsidR="00CF13EE" w:rsidRPr="0022730E" w:rsidRDefault="00910536" w:rsidP="00CF13EE">
      <w:pPr>
        <w:rPr>
          <w:rFonts w:asciiTheme="minorHAnsi" w:hAnsiTheme="minorHAnsi"/>
          <w:sz w:val="22"/>
          <w:szCs w:val="22"/>
        </w:rPr>
      </w:pPr>
      <w:r>
        <w:rPr>
          <w:rFonts w:asciiTheme="minorHAnsi" w:hAnsiTheme="minorHAnsi"/>
          <w:sz w:val="22"/>
          <w:szCs w:val="22"/>
        </w:rPr>
        <w:t xml:space="preserve">Under a </w:t>
      </w:r>
      <w:r w:rsidRPr="00910536">
        <w:rPr>
          <w:rFonts w:asciiTheme="minorHAnsi" w:hAnsiTheme="minorHAnsi"/>
          <w:sz w:val="22"/>
          <w:szCs w:val="22"/>
          <w:u w:val="single"/>
        </w:rPr>
        <w:t>Qualified Launch Program</w:t>
      </w:r>
      <w:r w:rsidRPr="00910536">
        <w:rPr>
          <w:rFonts w:asciiTheme="minorHAnsi" w:hAnsiTheme="minorHAnsi"/>
          <w:sz w:val="22"/>
          <w:szCs w:val="22"/>
        </w:rPr>
        <w:t xml:space="preserve"> (QLP)</w:t>
      </w:r>
      <w:r>
        <w:rPr>
          <w:rFonts w:asciiTheme="minorHAnsi" w:hAnsiTheme="minorHAnsi"/>
          <w:sz w:val="22"/>
          <w:szCs w:val="22"/>
        </w:rPr>
        <w:t>, registry operators may also r</w:t>
      </w:r>
      <w:r w:rsidRPr="00910536">
        <w:rPr>
          <w:rFonts w:asciiTheme="minorHAnsi" w:hAnsiTheme="minorHAnsi"/>
          <w:sz w:val="22"/>
          <w:szCs w:val="22"/>
        </w:rPr>
        <w:t xml:space="preserve">egister a limited number of names </w:t>
      </w:r>
      <w:r>
        <w:rPr>
          <w:rFonts w:asciiTheme="minorHAnsi" w:hAnsiTheme="minorHAnsi"/>
          <w:sz w:val="22"/>
          <w:szCs w:val="22"/>
        </w:rPr>
        <w:t xml:space="preserve">(up to 100) </w:t>
      </w:r>
      <w:r w:rsidRPr="00910536">
        <w:rPr>
          <w:rFonts w:asciiTheme="minorHAnsi" w:hAnsiTheme="minorHAnsi"/>
          <w:sz w:val="22"/>
          <w:szCs w:val="22"/>
        </w:rPr>
        <w:t>to third parties to promote their TLDs prior to the Sunrise Period</w:t>
      </w:r>
      <w:r>
        <w:rPr>
          <w:rFonts w:asciiTheme="minorHAnsi" w:hAnsiTheme="minorHAnsi"/>
          <w:sz w:val="22"/>
          <w:szCs w:val="22"/>
        </w:rPr>
        <w:t xml:space="preserve"> (</w:t>
      </w:r>
      <w:hyperlink r:id="rId9" w:history="1">
        <w:r w:rsidRPr="00E0696D">
          <w:rPr>
            <w:rStyle w:val="Hyperlink"/>
            <w:rFonts w:asciiTheme="minorHAnsi" w:hAnsiTheme="minorHAnsi"/>
            <w:sz w:val="22"/>
            <w:szCs w:val="22"/>
          </w:rPr>
          <w:t>https://newgtlds.icann.org/en/announcements-and-media/announcement-10apr14-en)</w:t>
        </w:r>
      </w:hyperlink>
      <w:r w:rsidR="00677D43">
        <w:rPr>
          <w:rFonts w:asciiTheme="minorHAnsi" w:hAnsiTheme="minorHAnsi"/>
          <w:sz w:val="22"/>
          <w:szCs w:val="22"/>
        </w:rPr>
        <w:t>. N</w:t>
      </w:r>
      <w:r w:rsidR="00E86590">
        <w:rPr>
          <w:rFonts w:asciiTheme="minorHAnsi" w:hAnsiTheme="minorHAnsi"/>
          <w:sz w:val="22"/>
          <w:szCs w:val="22"/>
        </w:rPr>
        <w:t>ote that under</w:t>
      </w:r>
      <w:r w:rsidR="00E86590" w:rsidRPr="00E86590">
        <w:rPr>
          <w:rFonts w:asciiTheme="minorHAnsi" w:hAnsiTheme="minorHAnsi"/>
          <w:sz w:val="22"/>
          <w:szCs w:val="22"/>
        </w:rPr>
        <w:t xml:space="preserve"> the QLP Addendum, if a domain name matches a label in </w:t>
      </w:r>
      <w:r w:rsidR="00677D43">
        <w:rPr>
          <w:rFonts w:asciiTheme="minorHAnsi" w:hAnsiTheme="minorHAnsi"/>
          <w:sz w:val="22"/>
          <w:szCs w:val="22"/>
        </w:rPr>
        <w:t>TMCH</w:t>
      </w:r>
      <w:r w:rsidR="00E86590" w:rsidRPr="00E86590">
        <w:rPr>
          <w:rFonts w:asciiTheme="minorHAnsi" w:hAnsiTheme="minorHAnsi"/>
          <w:sz w:val="22"/>
          <w:szCs w:val="22"/>
        </w:rPr>
        <w:t xml:space="preserve"> the domain name may be registered to a </w:t>
      </w:r>
      <w:r w:rsidR="00677D43">
        <w:rPr>
          <w:rFonts w:asciiTheme="minorHAnsi" w:hAnsiTheme="minorHAnsi"/>
          <w:sz w:val="22"/>
          <w:szCs w:val="22"/>
        </w:rPr>
        <w:t>Sunrise-</w:t>
      </w:r>
      <w:r w:rsidR="00E86590" w:rsidRPr="00E86590">
        <w:rPr>
          <w:rFonts w:asciiTheme="minorHAnsi" w:hAnsiTheme="minorHAnsi"/>
          <w:sz w:val="22"/>
          <w:szCs w:val="22"/>
        </w:rPr>
        <w:t>Eligible Rights Holder</w:t>
      </w:r>
      <w:r w:rsidR="00677D43">
        <w:rPr>
          <w:rFonts w:asciiTheme="minorHAnsi" w:hAnsiTheme="minorHAnsi"/>
          <w:sz w:val="22"/>
          <w:szCs w:val="22"/>
        </w:rPr>
        <w:t xml:space="preserve"> (terms</w:t>
      </w:r>
      <w:r w:rsidR="00E86590" w:rsidRPr="00E86590">
        <w:rPr>
          <w:rFonts w:asciiTheme="minorHAnsi" w:hAnsiTheme="minorHAnsi"/>
          <w:sz w:val="22"/>
          <w:szCs w:val="22"/>
        </w:rPr>
        <w:t xml:space="preserve"> as d</w:t>
      </w:r>
      <w:r w:rsidR="00E86590">
        <w:rPr>
          <w:rFonts w:asciiTheme="minorHAnsi" w:hAnsiTheme="minorHAnsi"/>
          <w:sz w:val="22"/>
          <w:szCs w:val="22"/>
        </w:rPr>
        <w:t>efined in the TMCH Requirements</w:t>
      </w:r>
      <w:r w:rsidR="00677D43">
        <w:rPr>
          <w:rFonts w:asciiTheme="minorHAnsi" w:hAnsiTheme="minorHAnsi"/>
          <w:sz w:val="22"/>
          <w:szCs w:val="22"/>
        </w:rPr>
        <w:t>)</w:t>
      </w:r>
      <w:r>
        <w:rPr>
          <w:rFonts w:asciiTheme="minorHAnsi" w:hAnsiTheme="minorHAnsi"/>
          <w:sz w:val="22"/>
          <w:szCs w:val="22"/>
        </w:rPr>
        <w:t xml:space="preserve">. </w:t>
      </w:r>
    </w:p>
    <w:p w14:paraId="0A3CE0C5" w14:textId="77777777" w:rsidR="00CF13EE" w:rsidRPr="00CF13EE" w:rsidRDefault="00CF13EE" w:rsidP="00CF13EE">
      <w:pPr>
        <w:rPr>
          <w:rFonts w:asciiTheme="minorHAnsi" w:hAnsiTheme="minorHAnsi"/>
          <w:b/>
          <w:sz w:val="22"/>
          <w:szCs w:val="22"/>
        </w:rPr>
      </w:pPr>
    </w:p>
    <w:p w14:paraId="54D2E699" w14:textId="11A9AA35" w:rsidR="00873ADA" w:rsidRPr="00E353B1" w:rsidRDefault="00873ADA" w:rsidP="00E353B1">
      <w:pPr>
        <w:pStyle w:val="ListParagraph"/>
        <w:numPr>
          <w:ilvl w:val="0"/>
          <w:numId w:val="3"/>
        </w:numPr>
        <w:rPr>
          <w:rFonts w:asciiTheme="minorHAnsi" w:hAnsiTheme="minorHAnsi"/>
          <w:b/>
          <w:sz w:val="22"/>
          <w:szCs w:val="22"/>
        </w:rPr>
      </w:pPr>
      <w:r w:rsidRPr="00E353B1">
        <w:rPr>
          <w:rFonts w:asciiTheme="minorHAnsi" w:hAnsiTheme="minorHAnsi"/>
          <w:b/>
          <w:sz w:val="22"/>
          <w:szCs w:val="22"/>
        </w:rPr>
        <w:t>Is it mandatory for registry operators to have a Sunrise Dispute Resolution Policy?</w:t>
      </w:r>
    </w:p>
    <w:p w14:paraId="37E61B14" w14:textId="77777777" w:rsidR="00873ADA" w:rsidRPr="00873ADA" w:rsidRDefault="00873ADA" w:rsidP="00DB1076">
      <w:pPr>
        <w:rPr>
          <w:rFonts w:asciiTheme="minorHAnsi" w:hAnsiTheme="minorHAnsi"/>
          <w:b/>
          <w:sz w:val="22"/>
          <w:szCs w:val="22"/>
        </w:rPr>
      </w:pPr>
    </w:p>
    <w:p w14:paraId="24DCC11E" w14:textId="5E14E2E2" w:rsidR="00C95166" w:rsidRDefault="00873ADA" w:rsidP="0014409E">
      <w:pPr>
        <w:rPr>
          <w:rFonts w:asciiTheme="minorHAnsi" w:hAnsiTheme="minorHAnsi"/>
          <w:sz w:val="22"/>
          <w:szCs w:val="22"/>
        </w:rPr>
      </w:pPr>
      <w:r w:rsidRPr="00873ADA">
        <w:rPr>
          <w:rFonts w:asciiTheme="minorHAnsi" w:hAnsiTheme="minorHAnsi"/>
          <w:b/>
          <w:sz w:val="22"/>
          <w:szCs w:val="22"/>
        </w:rPr>
        <w:t>Yes</w:t>
      </w:r>
      <w:r>
        <w:rPr>
          <w:rFonts w:asciiTheme="minorHAnsi" w:hAnsiTheme="minorHAnsi"/>
          <w:sz w:val="22"/>
          <w:szCs w:val="22"/>
        </w:rPr>
        <w:t xml:space="preserve"> –</w:t>
      </w:r>
      <w:r w:rsidR="00677D43">
        <w:rPr>
          <w:rFonts w:asciiTheme="minorHAnsi" w:hAnsiTheme="minorHAnsi"/>
          <w:sz w:val="22"/>
          <w:szCs w:val="22"/>
        </w:rPr>
        <w:t xml:space="preserve"> under </w:t>
      </w:r>
      <w:r>
        <w:rPr>
          <w:rFonts w:asciiTheme="minorHAnsi" w:hAnsiTheme="minorHAnsi"/>
          <w:sz w:val="22"/>
          <w:szCs w:val="22"/>
        </w:rPr>
        <w:t xml:space="preserve">Section </w:t>
      </w:r>
      <w:r w:rsidR="00DB1076" w:rsidRPr="00DB1076">
        <w:rPr>
          <w:rFonts w:asciiTheme="minorHAnsi" w:hAnsiTheme="minorHAnsi"/>
          <w:sz w:val="22"/>
          <w:szCs w:val="22"/>
        </w:rPr>
        <w:t>2.3.6</w:t>
      </w:r>
      <w:r>
        <w:rPr>
          <w:rFonts w:asciiTheme="minorHAnsi" w:hAnsiTheme="minorHAnsi"/>
          <w:sz w:val="22"/>
          <w:szCs w:val="22"/>
        </w:rPr>
        <w:t xml:space="preserve"> of the TMCH Requirements:</w:t>
      </w:r>
      <w:r w:rsidR="00DB1076" w:rsidRPr="00DB1076">
        <w:rPr>
          <w:rFonts w:asciiTheme="minorHAnsi" w:hAnsiTheme="minorHAnsi"/>
          <w:sz w:val="22"/>
          <w:szCs w:val="22"/>
        </w:rPr>
        <w:t xml:space="preserve"> </w:t>
      </w:r>
    </w:p>
    <w:p w14:paraId="3B361C51" w14:textId="17EEBEAE" w:rsidR="00E86590" w:rsidRDefault="00DB1076" w:rsidP="00C95166">
      <w:pPr>
        <w:ind w:left="360"/>
        <w:rPr>
          <w:rFonts w:asciiTheme="minorHAnsi" w:hAnsiTheme="minorHAnsi"/>
          <w:sz w:val="22"/>
          <w:szCs w:val="22"/>
        </w:rPr>
      </w:pPr>
      <w:r w:rsidRPr="00DB1076">
        <w:rPr>
          <w:rFonts w:asciiTheme="minorHAnsi" w:hAnsiTheme="minorHAnsi"/>
          <w:sz w:val="22"/>
          <w:szCs w:val="22"/>
        </w:rPr>
        <w:t>Registry Operator MUST provide a mechanism to resolve disputes regarding its registration of Sunrise Registrations. Each Registry Operator MUST develop a Sunrise Disp</w:t>
      </w:r>
      <w:r w:rsidR="00677D43">
        <w:rPr>
          <w:rFonts w:asciiTheme="minorHAnsi" w:hAnsiTheme="minorHAnsi"/>
          <w:sz w:val="22"/>
          <w:szCs w:val="22"/>
        </w:rPr>
        <w:t xml:space="preserve">ute Resolution Policy </w:t>
      </w:r>
      <w:r w:rsidRPr="00DB1076">
        <w:rPr>
          <w:rFonts w:asciiTheme="minorHAnsi" w:hAnsiTheme="minorHAnsi"/>
          <w:sz w:val="22"/>
          <w:szCs w:val="22"/>
        </w:rPr>
        <w:t xml:space="preserve">which will allow challenges to Sunrise Registrations related to Registry Operator’s Allocation and registration policies, including on the grounds that the domain name that was registered does not match the Trademark Record on which the Sunrise-Eligible Rights Holder </w:t>
      </w:r>
      <w:r w:rsidR="00E86590">
        <w:rPr>
          <w:rFonts w:asciiTheme="minorHAnsi" w:hAnsiTheme="minorHAnsi"/>
          <w:sz w:val="22"/>
          <w:szCs w:val="22"/>
        </w:rPr>
        <w:t>based its Sunrise Registration</w:t>
      </w:r>
      <w:r w:rsidR="00B8293F">
        <w:rPr>
          <w:rFonts w:asciiTheme="minorHAnsi" w:hAnsiTheme="minorHAnsi"/>
          <w:sz w:val="22"/>
          <w:szCs w:val="22"/>
        </w:rPr>
        <w:t>.</w:t>
      </w:r>
    </w:p>
    <w:p w14:paraId="4292F68F" w14:textId="77777777" w:rsidR="00B8293F" w:rsidRDefault="00B8293F" w:rsidP="002433FB">
      <w:pPr>
        <w:rPr>
          <w:rFonts w:asciiTheme="minorHAnsi" w:hAnsiTheme="minorHAnsi"/>
          <w:sz w:val="22"/>
          <w:szCs w:val="22"/>
        </w:rPr>
      </w:pPr>
    </w:p>
    <w:p w14:paraId="1B09B48D" w14:textId="56BAE1A3" w:rsidR="00B8293F" w:rsidRDefault="002433FB" w:rsidP="002433FB">
      <w:pPr>
        <w:rPr>
          <w:rFonts w:asciiTheme="minorHAnsi" w:hAnsiTheme="minorHAnsi"/>
          <w:sz w:val="22"/>
          <w:szCs w:val="22"/>
        </w:rPr>
        <w:sectPr w:rsidR="00B8293F" w:rsidSect="00326516">
          <w:footerReference w:type="even" r:id="rId10"/>
          <w:footerReference w:type="default" r:id="rId11"/>
          <w:pgSz w:w="12240" w:h="15840"/>
          <w:pgMar w:top="1440" w:right="1440" w:bottom="1440" w:left="1440" w:header="720" w:footer="720" w:gutter="0"/>
          <w:cols w:space="720"/>
          <w:docGrid w:linePitch="360"/>
        </w:sectPr>
      </w:pPr>
      <w:r>
        <w:rPr>
          <w:rFonts w:asciiTheme="minorHAnsi" w:hAnsiTheme="minorHAnsi"/>
          <w:sz w:val="22"/>
          <w:szCs w:val="22"/>
        </w:rPr>
        <w:t xml:space="preserve">The </w:t>
      </w:r>
      <w:bookmarkStart w:id="0" w:name="_GoBack"/>
      <w:bookmarkEnd w:id="0"/>
      <w:r>
        <w:rPr>
          <w:rFonts w:asciiTheme="minorHAnsi" w:hAnsiTheme="minorHAnsi"/>
          <w:sz w:val="22"/>
          <w:szCs w:val="22"/>
        </w:rPr>
        <w:t xml:space="preserve">TMCH’s own Dispute Resolution Procedures may be informative: </w:t>
      </w:r>
      <w:hyperlink r:id="rId12" w:history="1">
        <w:r w:rsidRPr="00E0696D">
          <w:rPr>
            <w:rStyle w:val="Hyperlink"/>
            <w:rFonts w:asciiTheme="minorHAnsi" w:hAnsiTheme="minorHAnsi"/>
            <w:sz w:val="22"/>
            <w:szCs w:val="22"/>
          </w:rPr>
          <w:t>http://www.trademark-clearinghouse.com/dispute</w:t>
        </w:r>
      </w:hyperlink>
      <w:r>
        <w:rPr>
          <w:rFonts w:asciiTheme="minorHAnsi" w:hAnsiTheme="minorHAnsi"/>
          <w:sz w:val="22"/>
          <w:szCs w:val="22"/>
        </w:rPr>
        <w:t xml:space="preserve"> </w:t>
      </w:r>
    </w:p>
    <w:p w14:paraId="4A8B9FE5" w14:textId="6981FF90" w:rsidR="00E86590" w:rsidRPr="0014409E" w:rsidRDefault="00E86590" w:rsidP="0014409E">
      <w:pPr>
        <w:rPr>
          <w:rFonts w:asciiTheme="minorHAnsi" w:hAnsiTheme="minorHAnsi"/>
          <w:sz w:val="22"/>
          <w:szCs w:val="22"/>
        </w:rPr>
      </w:pPr>
    </w:p>
    <w:p w14:paraId="573E0970" w14:textId="6A16A7F2" w:rsidR="00873ADA" w:rsidRPr="00E353B1" w:rsidRDefault="00873ADA" w:rsidP="00E353B1">
      <w:pPr>
        <w:pStyle w:val="ListParagraph"/>
        <w:numPr>
          <w:ilvl w:val="0"/>
          <w:numId w:val="3"/>
        </w:numPr>
        <w:rPr>
          <w:rFonts w:asciiTheme="minorHAnsi" w:hAnsiTheme="minorHAnsi"/>
          <w:b/>
          <w:sz w:val="22"/>
          <w:szCs w:val="22"/>
        </w:rPr>
      </w:pPr>
      <w:r w:rsidRPr="00E353B1">
        <w:rPr>
          <w:rFonts w:asciiTheme="minorHAnsi" w:hAnsiTheme="minorHAnsi"/>
          <w:b/>
          <w:sz w:val="22"/>
          <w:szCs w:val="22"/>
        </w:rPr>
        <w:t>What are the restrictions on use of the TMCH Database by registries and registrars?</w:t>
      </w:r>
    </w:p>
    <w:p w14:paraId="532B79D2" w14:textId="77777777" w:rsidR="00873ADA" w:rsidRDefault="00873ADA">
      <w:pPr>
        <w:rPr>
          <w:rFonts w:asciiTheme="minorHAnsi" w:hAnsiTheme="minorHAnsi"/>
          <w:b/>
          <w:sz w:val="22"/>
          <w:szCs w:val="22"/>
        </w:rPr>
      </w:pPr>
    </w:p>
    <w:p w14:paraId="30ED2965" w14:textId="232AA6DA" w:rsidR="0014409E" w:rsidRPr="00873ADA" w:rsidRDefault="00873ADA">
      <w:pPr>
        <w:rPr>
          <w:rFonts w:asciiTheme="minorHAnsi" w:hAnsiTheme="minorHAnsi"/>
          <w:sz w:val="22"/>
          <w:szCs w:val="22"/>
        </w:rPr>
      </w:pPr>
      <w:r w:rsidRPr="00873ADA">
        <w:rPr>
          <w:rFonts w:asciiTheme="minorHAnsi" w:hAnsiTheme="minorHAnsi"/>
          <w:sz w:val="22"/>
          <w:szCs w:val="22"/>
        </w:rPr>
        <w:t xml:space="preserve">Generally, see the </w:t>
      </w:r>
      <w:r w:rsidR="004F1E5E" w:rsidRPr="00873ADA">
        <w:rPr>
          <w:rFonts w:asciiTheme="minorHAnsi" w:hAnsiTheme="minorHAnsi"/>
          <w:sz w:val="22"/>
          <w:szCs w:val="22"/>
        </w:rPr>
        <w:t>TMCH Terms of Service for Registries and Registrars</w:t>
      </w:r>
      <w:r w:rsidRPr="00873ADA">
        <w:rPr>
          <w:rFonts w:asciiTheme="minorHAnsi" w:hAnsiTheme="minorHAnsi"/>
          <w:sz w:val="22"/>
          <w:szCs w:val="22"/>
        </w:rPr>
        <w:t xml:space="preserve">: </w:t>
      </w:r>
      <w:hyperlink r:id="rId13" w:history="1">
        <w:r w:rsidRPr="00873ADA">
          <w:rPr>
            <w:rStyle w:val="Hyperlink"/>
            <w:rFonts w:asciiTheme="minorHAnsi" w:hAnsiTheme="minorHAnsi"/>
            <w:sz w:val="22"/>
            <w:szCs w:val="22"/>
          </w:rPr>
          <w:t>https://marksdb.org/tmdb/public/tandc</w:t>
        </w:r>
      </w:hyperlink>
      <w:r w:rsidRPr="00873ADA">
        <w:rPr>
          <w:rFonts w:asciiTheme="minorHAnsi" w:hAnsiTheme="minorHAnsi"/>
          <w:sz w:val="22"/>
          <w:szCs w:val="22"/>
        </w:rPr>
        <w:t xml:space="preserve"> </w:t>
      </w:r>
    </w:p>
    <w:p w14:paraId="3B0C0C3D" w14:textId="77777777" w:rsidR="004F1E5E" w:rsidRDefault="004F1E5E">
      <w:pPr>
        <w:rPr>
          <w:rFonts w:asciiTheme="minorHAnsi" w:hAnsiTheme="minorHAnsi"/>
          <w:b/>
          <w:sz w:val="22"/>
          <w:szCs w:val="22"/>
        </w:rPr>
      </w:pPr>
    </w:p>
    <w:p w14:paraId="488F96D7" w14:textId="29E7F0ED" w:rsidR="004F1E5E" w:rsidRDefault="00873ADA" w:rsidP="004F1E5E">
      <w:pPr>
        <w:rPr>
          <w:rFonts w:asciiTheme="minorHAnsi" w:hAnsiTheme="minorHAnsi"/>
          <w:sz w:val="22"/>
          <w:szCs w:val="22"/>
        </w:rPr>
      </w:pPr>
      <w:r>
        <w:rPr>
          <w:rFonts w:asciiTheme="minorHAnsi" w:hAnsiTheme="minorHAnsi"/>
          <w:sz w:val="22"/>
          <w:szCs w:val="22"/>
        </w:rPr>
        <w:t>Specifically, r</w:t>
      </w:r>
      <w:r w:rsidR="004F1E5E">
        <w:rPr>
          <w:rFonts w:asciiTheme="minorHAnsi" w:hAnsiTheme="minorHAnsi"/>
          <w:sz w:val="22"/>
          <w:szCs w:val="22"/>
        </w:rPr>
        <w:t xml:space="preserve">egistries and registrars: </w:t>
      </w:r>
    </w:p>
    <w:p w14:paraId="42127330" w14:textId="005C68F6" w:rsidR="00873ADA" w:rsidRPr="00873ADA" w:rsidRDefault="00873ADA" w:rsidP="00873ADA">
      <w:pPr>
        <w:pStyle w:val="ListParagraph"/>
        <w:numPr>
          <w:ilvl w:val="0"/>
          <w:numId w:val="1"/>
        </w:numPr>
        <w:rPr>
          <w:rFonts w:asciiTheme="minorHAnsi" w:hAnsiTheme="minorHAnsi"/>
          <w:sz w:val="22"/>
          <w:szCs w:val="22"/>
        </w:rPr>
      </w:pPr>
      <w:r w:rsidRPr="00873ADA">
        <w:rPr>
          <w:rFonts w:asciiTheme="minorHAnsi" w:hAnsiTheme="minorHAnsi"/>
          <w:sz w:val="22"/>
          <w:szCs w:val="22"/>
        </w:rPr>
        <w:t xml:space="preserve">Agree to comply with </w:t>
      </w:r>
      <w:r w:rsidR="00E353B1">
        <w:rPr>
          <w:rFonts w:asciiTheme="minorHAnsi" w:hAnsiTheme="minorHAnsi"/>
          <w:sz w:val="22"/>
          <w:szCs w:val="22"/>
        </w:rPr>
        <w:t xml:space="preserve">both </w:t>
      </w:r>
      <w:r w:rsidRPr="00873ADA">
        <w:rPr>
          <w:rFonts w:asciiTheme="minorHAnsi" w:hAnsiTheme="minorHAnsi"/>
          <w:sz w:val="22"/>
          <w:szCs w:val="22"/>
        </w:rPr>
        <w:t xml:space="preserve">the </w:t>
      </w:r>
      <w:r w:rsidRPr="00E353B1">
        <w:rPr>
          <w:rFonts w:asciiTheme="minorHAnsi" w:hAnsiTheme="minorHAnsi"/>
          <w:b/>
          <w:sz w:val="22"/>
          <w:szCs w:val="22"/>
        </w:rPr>
        <w:t>TMCH Functional Specifications</w:t>
      </w:r>
      <w:r w:rsidRPr="00873ADA">
        <w:rPr>
          <w:rFonts w:asciiTheme="minorHAnsi" w:hAnsiTheme="minorHAnsi"/>
          <w:sz w:val="22"/>
          <w:szCs w:val="22"/>
        </w:rPr>
        <w:t xml:space="preserve"> and </w:t>
      </w:r>
      <w:r w:rsidRPr="00E353B1">
        <w:rPr>
          <w:rFonts w:asciiTheme="minorHAnsi" w:hAnsiTheme="minorHAnsi"/>
          <w:b/>
          <w:sz w:val="22"/>
          <w:szCs w:val="22"/>
        </w:rPr>
        <w:t>TMCH Requirements</w:t>
      </w:r>
      <w:r w:rsidRPr="00873ADA">
        <w:rPr>
          <w:rFonts w:asciiTheme="minorHAnsi" w:hAnsiTheme="minorHAnsi"/>
          <w:sz w:val="22"/>
          <w:szCs w:val="22"/>
        </w:rPr>
        <w:t xml:space="preserve"> documents</w:t>
      </w:r>
    </w:p>
    <w:p w14:paraId="14D0BB04" w14:textId="348F44F9" w:rsidR="004F1E5E" w:rsidRPr="00873ADA" w:rsidRDefault="004F1E5E" w:rsidP="00873ADA">
      <w:pPr>
        <w:pStyle w:val="ListParagraph"/>
        <w:numPr>
          <w:ilvl w:val="0"/>
          <w:numId w:val="1"/>
        </w:numPr>
        <w:rPr>
          <w:rFonts w:asciiTheme="minorHAnsi" w:hAnsiTheme="minorHAnsi"/>
          <w:sz w:val="22"/>
          <w:szCs w:val="22"/>
        </w:rPr>
      </w:pPr>
      <w:r w:rsidRPr="00873ADA">
        <w:rPr>
          <w:rFonts w:asciiTheme="minorHAnsi" w:hAnsiTheme="minorHAnsi"/>
          <w:sz w:val="22"/>
          <w:szCs w:val="22"/>
        </w:rPr>
        <w:t>May not use the TMCH in a manner that “results in the distribution of Clearinghouse Content in a manner not authorized or contemplated by the Functional Specifications or TMCH Requirements”</w:t>
      </w:r>
    </w:p>
    <w:p w14:paraId="3546208B" w14:textId="6313F0E6" w:rsidR="004F1E5E" w:rsidRDefault="004F1E5E" w:rsidP="00873ADA">
      <w:pPr>
        <w:pStyle w:val="ListParagraph"/>
        <w:numPr>
          <w:ilvl w:val="0"/>
          <w:numId w:val="1"/>
        </w:numPr>
        <w:rPr>
          <w:rFonts w:asciiTheme="minorHAnsi" w:hAnsiTheme="minorHAnsi"/>
          <w:sz w:val="22"/>
          <w:szCs w:val="22"/>
        </w:rPr>
      </w:pPr>
      <w:r w:rsidRPr="00873ADA">
        <w:rPr>
          <w:rFonts w:asciiTheme="minorHAnsi" w:hAnsiTheme="minorHAnsi"/>
          <w:sz w:val="22"/>
          <w:szCs w:val="22"/>
        </w:rPr>
        <w:t>Agree that they “will not collect or harvest (or permit anyone else to collect or harvest) any Clearinghouse Content or any non-public or personally identifiable information contained in the Trademark Clearinghouse about another any other person or entity, except to the extent required to perform your obligations under the Functional Specifications and TMCH Requirements”</w:t>
      </w:r>
    </w:p>
    <w:p w14:paraId="7115986B" w14:textId="77777777" w:rsidR="00873ADA" w:rsidRDefault="00873ADA" w:rsidP="00873ADA">
      <w:pPr>
        <w:rPr>
          <w:rFonts w:asciiTheme="minorHAnsi" w:hAnsiTheme="minorHAnsi"/>
          <w:sz w:val="22"/>
          <w:szCs w:val="22"/>
        </w:rPr>
      </w:pPr>
    </w:p>
    <w:p w14:paraId="0D087140" w14:textId="177F78D0" w:rsidR="00873ADA" w:rsidRPr="00873ADA" w:rsidRDefault="00873ADA" w:rsidP="00873ADA">
      <w:pPr>
        <w:rPr>
          <w:rFonts w:asciiTheme="minorHAnsi" w:hAnsiTheme="minorHAnsi"/>
          <w:sz w:val="22"/>
          <w:szCs w:val="22"/>
        </w:rPr>
      </w:pPr>
      <w:r>
        <w:rPr>
          <w:rFonts w:asciiTheme="minorHAnsi" w:hAnsiTheme="minorHAnsi"/>
          <w:sz w:val="22"/>
          <w:szCs w:val="22"/>
        </w:rPr>
        <w:t xml:space="preserve">See also the </w:t>
      </w:r>
      <w:r w:rsidRPr="00E353B1">
        <w:rPr>
          <w:rFonts w:asciiTheme="minorHAnsi" w:hAnsiTheme="minorHAnsi"/>
          <w:sz w:val="22"/>
          <w:szCs w:val="22"/>
          <w:u w:val="single"/>
        </w:rPr>
        <w:t>TMCH Functional Specifications</w:t>
      </w:r>
      <w:r>
        <w:rPr>
          <w:rFonts w:asciiTheme="minorHAnsi" w:hAnsiTheme="minorHAnsi"/>
          <w:sz w:val="22"/>
          <w:szCs w:val="22"/>
        </w:rPr>
        <w:t xml:space="preserve">, which lay out the architecture and technical rules for the provision of Sunrise and Claims services by registries and registrars: </w:t>
      </w:r>
      <w:hyperlink r:id="rId14" w:history="1">
        <w:r w:rsidRPr="00E0696D">
          <w:rPr>
            <w:rStyle w:val="Hyperlink"/>
            <w:rFonts w:asciiTheme="minorHAnsi" w:hAnsiTheme="minorHAnsi"/>
            <w:sz w:val="22"/>
            <w:szCs w:val="22"/>
          </w:rPr>
          <w:t>https://tools.ietf.org/html/draft-ietf-regext-tmch-func-spec-02</w:t>
        </w:r>
      </w:hyperlink>
      <w:r>
        <w:rPr>
          <w:rFonts w:asciiTheme="minorHAnsi" w:hAnsiTheme="minorHAnsi"/>
          <w:sz w:val="22"/>
          <w:szCs w:val="22"/>
        </w:rPr>
        <w:t xml:space="preserve"> </w:t>
      </w:r>
    </w:p>
    <w:p w14:paraId="7755D5FA" w14:textId="738A48C1" w:rsidR="004F1E5E" w:rsidRPr="004F1E5E" w:rsidRDefault="004F1E5E" w:rsidP="004F1E5E">
      <w:pPr>
        <w:rPr>
          <w:rFonts w:asciiTheme="minorHAnsi" w:hAnsiTheme="minorHAnsi"/>
          <w:sz w:val="22"/>
          <w:szCs w:val="22"/>
        </w:rPr>
      </w:pPr>
    </w:p>
    <w:p w14:paraId="69E770FD" w14:textId="5C72A550" w:rsidR="004F1E5E" w:rsidRPr="00E353B1" w:rsidRDefault="000D2716" w:rsidP="00E353B1">
      <w:pPr>
        <w:pStyle w:val="ListParagraph"/>
        <w:numPr>
          <w:ilvl w:val="0"/>
          <w:numId w:val="3"/>
        </w:numPr>
        <w:rPr>
          <w:rFonts w:asciiTheme="minorHAnsi" w:hAnsiTheme="minorHAnsi"/>
          <w:b/>
          <w:sz w:val="22"/>
          <w:szCs w:val="22"/>
        </w:rPr>
      </w:pPr>
      <w:r w:rsidRPr="00E353B1">
        <w:rPr>
          <w:rFonts w:asciiTheme="minorHAnsi" w:hAnsiTheme="minorHAnsi"/>
          <w:b/>
          <w:sz w:val="22"/>
          <w:szCs w:val="22"/>
        </w:rPr>
        <w:t>Where can I find information about ICANN’s contract with Deloitte to perform TMCH validation services?</w:t>
      </w:r>
    </w:p>
    <w:p w14:paraId="0869C336" w14:textId="77777777" w:rsidR="000D2716" w:rsidRDefault="000D2716">
      <w:pPr>
        <w:rPr>
          <w:rFonts w:asciiTheme="minorHAnsi" w:hAnsiTheme="minorHAnsi"/>
          <w:sz w:val="22"/>
          <w:szCs w:val="22"/>
        </w:rPr>
      </w:pPr>
    </w:p>
    <w:p w14:paraId="353CDED5" w14:textId="325ABF64" w:rsidR="000D2716" w:rsidRDefault="000D2716">
      <w:pPr>
        <w:rPr>
          <w:rFonts w:asciiTheme="minorHAnsi" w:hAnsiTheme="minorHAnsi"/>
          <w:sz w:val="22"/>
          <w:szCs w:val="22"/>
        </w:rPr>
      </w:pPr>
      <w:r>
        <w:rPr>
          <w:rFonts w:asciiTheme="minorHAnsi" w:hAnsiTheme="minorHAnsi"/>
          <w:sz w:val="22"/>
          <w:szCs w:val="22"/>
        </w:rPr>
        <w:t xml:space="preserve">See </w:t>
      </w:r>
      <w:hyperlink r:id="rId15" w:history="1">
        <w:r w:rsidRPr="00E0696D">
          <w:rPr>
            <w:rStyle w:val="Hyperlink"/>
            <w:rFonts w:asciiTheme="minorHAnsi" w:hAnsiTheme="minorHAnsi"/>
            <w:sz w:val="22"/>
            <w:szCs w:val="22"/>
          </w:rPr>
          <w:t>https://newgtlds.icann.org/en/about/trademark-clearinghouse/validation-framework-02jul13-en.pdf</w:t>
        </w:r>
      </w:hyperlink>
      <w:r>
        <w:rPr>
          <w:rFonts w:asciiTheme="minorHAnsi" w:hAnsiTheme="minorHAnsi"/>
          <w:sz w:val="22"/>
          <w:szCs w:val="22"/>
        </w:rPr>
        <w:t xml:space="preserve"> </w:t>
      </w:r>
    </w:p>
    <w:p w14:paraId="5E6D2CE1" w14:textId="77777777" w:rsidR="000D2716" w:rsidRDefault="000D2716">
      <w:pPr>
        <w:rPr>
          <w:rFonts w:asciiTheme="minorHAnsi" w:hAnsiTheme="minorHAnsi"/>
          <w:sz w:val="22"/>
          <w:szCs w:val="22"/>
        </w:rPr>
      </w:pPr>
    </w:p>
    <w:p w14:paraId="1D5F8D81" w14:textId="40FC741D" w:rsidR="000D2716" w:rsidRPr="00E353B1" w:rsidRDefault="000D2716" w:rsidP="00E353B1">
      <w:pPr>
        <w:pStyle w:val="ListParagraph"/>
        <w:numPr>
          <w:ilvl w:val="0"/>
          <w:numId w:val="3"/>
        </w:numPr>
        <w:rPr>
          <w:rFonts w:asciiTheme="minorHAnsi" w:hAnsiTheme="minorHAnsi"/>
          <w:b/>
          <w:sz w:val="22"/>
          <w:szCs w:val="22"/>
        </w:rPr>
      </w:pPr>
      <w:r w:rsidRPr="00E353B1">
        <w:rPr>
          <w:rFonts w:asciiTheme="minorHAnsi" w:hAnsiTheme="minorHAnsi"/>
          <w:b/>
          <w:sz w:val="22"/>
          <w:szCs w:val="22"/>
        </w:rPr>
        <w:t>Where can I find information about ICANN’s contract with IBM to perform the TMCH Database services?</w:t>
      </w:r>
    </w:p>
    <w:p w14:paraId="632C9928" w14:textId="77777777" w:rsidR="000D2716" w:rsidRDefault="000D2716">
      <w:pPr>
        <w:rPr>
          <w:rFonts w:asciiTheme="minorHAnsi" w:hAnsiTheme="minorHAnsi"/>
          <w:sz w:val="22"/>
          <w:szCs w:val="22"/>
        </w:rPr>
      </w:pPr>
    </w:p>
    <w:p w14:paraId="2FFF5B8C" w14:textId="16B080EA" w:rsidR="000D2716" w:rsidRPr="004F1E5E" w:rsidRDefault="000D2716">
      <w:pPr>
        <w:rPr>
          <w:rFonts w:asciiTheme="minorHAnsi" w:hAnsiTheme="minorHAnsi"/>
          <w:sz w:val="22"/>
          <w:szCs w:val="22"/>
        </w:rPr>
      </w:pPr>
      <w:r>
        <w:rPr>
          <w:rFonts w:asciiTheme="minorHAnsi" w:hAnsiTheme="minorHAnsi"/>
          <w:sz w:val="22"/>
          <w:szCs w:val="22"/>
        </w:rPr>
        <w:t xml:space="preserve">See </w:t>
      </w:r>
      <w:hyperlink r:id="rId16" w:history="1">
        <w:r w:rsidR="00E353B1" w:rsidRPr="00E0696D">
          <w:rPr>
            <w:rStyle w:val="Hyperlink"/>
            <w:rFonts w:asciiTheme="minorHAnsi" w:hAnsiTheme="minorHAnsi"/>
            <w:sz w:val="22"/>
            <w:szCs w:val="22"/>
          </w:rPr>
          <w:t>https://newgtlds.icann.org/en/about/trademark-clearinghouse/database-framework-02jul13-en.pdf</w:t>
        </w:r>
      </w:hyperlink>
      <w:r w:rsidR="00E353B1">
        <w:rPr>
          <w:rFonts w:asciiTheme="minorHAnsi" w:hAnsiTheme="minorHAnsi"/>
          <w:sz w:val="22"/>
          <w:szCs w:val="22"/>
        </w:rPr>
        <w:t xml:space="preserve"> (with the Statements of Work at </w:t>
      </w:r>
      <w:hyperlink r:id="rId17" w:history="1">
        <w:r w:rsidR="00E353B1" w:rsidRPr="00E0696D">
          <w:rPr>
            <w:rStyle w:val="Hyperlink"/>
            <w:rFonts w:asciiTheme="minorHAnsi" w:hAnsiTheme="minorHAnsi"/>
            <w:sz w:val="22"/>
            <w:szCs w:val="22"/>
          </w:rPr>
          <w:t>https://newgtlds.icann.org/en/about/trademark-clearinghouse/database-platform-sow-02jul13-en.pdf</w:t>
        </w:r>
      </w:hyperlink>
      <w:r w:rsidR="00E353B1">
        <w:rPr>
          <w:rFonts w:asciiTheme="minorHAnsi" w:hAnsiTheme="minorHAnsi"/>
          <w:sz w:val="22"/>
          <w:szCs w:val="22"/>
        </w:rPr>
        <w:t xml:space="preserve"> and </w:t>
      </w:r>
      <w:hyperlink r:id="rId18" w:history="1">
        <w:r w:rsidR="00E353B1" w:rsidRPr="00E0696D">
          <w:rPr>
            <w:rStyle w:val="Hyperlink"/>
            <w:rFonts w:asciiTheme="minorHAnsi" w:hAnsiTheme="minorHAnsi"/>
            <w:sz w:val="22"/>
            <w:szCs w:val="22"/>
          </w:rPr>
          <w:t>https://newgtlds.icann.org/en/about/trademark-clearinghouse/sunrise-claims-sow-02jul13-en.pdf)</w:t>
        </w:r>
      </w:hyperlink>
      <w:r w:rsidR="00E353B1">
        <w:rPr>
          <w:rFonts w:asciiTheme="minorHAnsi" w:hAnsiTheme="minorHAnsi"/>
          <w:sz w:val="22"/>
          <w:szCs w:val="22"/>
        </w:rPr>
        <w:t xml:space="preserve"> </w:t>
      </w:r>
    </w:p>
    <w:p w14:paraId="1559D53F" w14:textId="77777777" w:rsidR="0014409E" w:rsidRDefault="0014409E">
      <w:pPr>
        <w:rPr>
          <w:rFonts w:asciiTheme="minorHAnsi" w:hAnsiTheme="minorHAnsi"/>
          <w:b/>
          <w:sz w:val="22"/>
          <w:szCs w:val="22"/>
        </w:rPr>
      </w:pPr>
    </w:p>
    <w:p w14:paraId="2B13D4CB" w14:textId="12FAB1E2" w:rsidR="00E353B1" w:rsidRPr="00E353B1" w:rsidRDefault="00E353B1" w:rsidP="00E353B1">
      <w:pPr>
        <w:pStyle w:val="ListParagraph"/>
        <w:numPr>
          <w:ilvl w:val="0"/>
          <w:numId w:val="3"/>
        </w:numPr>
        <w:rPr>
          <w:rFonts w:asciiTheme="minorHAnsi" w:hAnsiTheme="minorHAnsi"/>
          <w:b/>
          <w:sz w:val="22"/>
          <w:szCs w:val="22"/>
        </w:rPr>
      </w:pPr>
      <w:r>
        <w:rPr>
          <w:rFonts w:asciiTheme="minorHAnsi" w:hAnsiTheme="minorHAnsi"/>
          <w:b/>
          <w:sz w:val="22"/>
          <w:szCs w:val="22"/>
        </w:rPr>
        <w:t>Where can I find information about</w:t>
      </w:r>
      <w:r w:rsidRPr="00E353B1">
        <w:rPr>
          <w:rFonts w:asciiTheme="minorHAnsi" w:hAnsiTheme="minorHAnsi"/>
          <w:b/>
          <w:sz w:val="22"/>
          <w:szCs w:val="22"/>
        </w:rPr>
        <w:t xml:space="preserve"> the </w:t>
      </w:r>
      <w:r>
        <w:rPr>
          <w:rFonts w:asciiTheme="minorHAnsi" w:hAnsiTheme="minorHAnsi"/>
          <w:b/>
          <w:sz w:val="22"/>
          <w:szCs w:val="22"/>
        </w:rPr>
        <w:t xml:space="preserve">community </w:t>
      </w:r>
      <w:r w:rsidRPr="00E353B1">
        <w:rPr>
          <w:rFonts w:asciiTheme="minorHAnsi" w:hAnsiTheme="minorHAnsi"/>
          <w:b/>
          <w:sz w:val="22"/>
          <w:szCs w:val="22"/>
        </w:rPr>
        <w:t>concerns</w:t>
      </w:r>
      <w:r>
        <w:rPr>
          <w:rFonts w:asciiTheme="minorHAnsi" w:hAnsiTheme="minorHAnsi"/>
          <w:b/>
          <w:sz w:val="22"/>
          <w:szCs w:val="22"/>
        </w:rPr>
        <w:t xml:space="preserve"> that were raised concerning confidentiality of the TMCH Database</w:t>
      </w:r>
      <w:r w:rsidRPr="00E353B1">
        <w:rPr>
          <w:rFonts w:asciiTheme="minorHAnsi" w:hAnsiTheme="minorHAnsi"/>
          <w:b/>
          <w:sz w:val="22"/>
          <w:szCs w:val="22"/>
        </w:rPr>
        <w:t>?</w:t>
      </w:r>
    </w:p>
    <w:p w14:paraId="32D726E5" w14:textId="77777777" w:rsidR="00E353B1" w:rsidRDefault="00E353B1">
      <w:pPr>
        <w:rPr>
          <w:rFonts w:asciiTheme="minorHAnsi" w:hAnsiTheme="minorHAnsi"/>
          <w:b/>
          <w:sz w:val="22"/>
          <w:szCs w:val="22"/>
        </w:rPr>
      </w:pPr>
    </w:p>
    <w:p w14:paraId="3A4CBEBA" w14:textId="056EA27E" w:rsidR="009D7663" w:rsidRPr="00E353B1" w:rsidRDefault="00E353B1">
      <w:pPr>
        <w:rPr>
          <w:rFonts w:asciiTheme="minorHAnsi" w:hAnsiTheme="minorHAnsi"/>
          <w:sz w:val="22"/>
          <w:szCs w:val="22"/>
        </w:rPr>
      </w:pPr>
      <w:r w:rsidRPr="00E353B1">
        <w:rPr>
          <w:rFonts w:asciiTheme="minorHAnsi" w:hAnsiTheme="minorHAnsi"/>
          <w:sz w:val="22"/>
          <w:szCs w:val="22"/>
        </w:rPr>
        <w:t>See the following excerpt from the TMCH Implementation Advisory Group (IAG) Summary of Input (May 2012) concerning TMCH data location and access</w:t>
      </w:r>
      <w:r>
        <w:rPr>
          <w:rFonts w:asciiTheme="minorHAnsi" w:hAnsiTheme="minorHAnsi"/>
          <w:sz w:val="22"/>
          <w:szCs w:val="22"/>
        </w:rPr>
        <w:t xml:space="preserve">: </w:t>
      </w:r>
      <w:hyperlink r:id="rId19" w:history="1">
        <w:r w:rsidRPr="00E0696D">
          <w:rPr>
            <w:rStyle w:val="Hyperlink"/>
            <w:rFonts w:asciiTheme="minorHAnsi" w:hAnsiTheme="minorHAnsi"/>
            <w:sz w:val="22"/>
            <w:szCs w:val="22"/>
          </w:rPr>
          <w:t>https://newgtlds.icann.org/en/about/trademark-clearinghouse/summary-iag-input-26sep12-en.pdf</w:t>
        </w:r>
      </w:hyperlink>
      <w:r>
        <w:rPr>
          <w:rFonts w:asciiTheme="minorHAnsi" w:hAnsiTheme="minorHAnsi"/>
          <w:sz w:val="22"/>
          <w:szCs w:val="22"/>
        </w:rPr>
        <w:t xml:space="preserve"> </w:t>
      </w:r>
    </w:p>
    <w:p w14:paraId="2D3DC555" w14:textId="77777777" w:rsidR="00940CBF" w:rsidRDefault="00940CBF"/>
    <w:p w14:paraId="35C8069A" w14:textId="77777777" w:rsidR="00AB57B8" w:rsidRPr="00E353B1" w:rsidRDefault="00940CBF" w:rsidP="00E353B1">
      <w:pPr>
        <w:ind w:left="720"/>
        <w:rPr>
          <w:rFonts w:asciiTheme="minorHAnsi" w:hAnsiTheme="minorHAnsi"/>
          <w:sz w:val="22"/>
          <w:szCs w:val="22"/>
          <w:u w:val="single"/>
        </w:rPr>
      </w:pPr>
      <w:r w:rsidRPr="00E353B1">
        <w:rPr>
          <w:rFonts w:asciiTheme="minorHAnsi" w:hAnsiTheme="minorHAnsi"/>
          <w:sz w:val="22"/>
          <w:szCs w:val="22"/>
          <w:u w:val="single"/>
        </w:rPr>
        <w:t xml:space="preserve">Misuse of Data </w:t>
      </w:r>
    </w:p>
    <w:p w14:paraId="55B208AD" w14:textId="77777777" w:rsidR="00AB57B8" w:rsidRDefault="00940CBF" w:rsidP="00E353B1">
      <w:pPr>
        <w:ind w:left="720"/>
        <w:rPr>
          <w:rFonts w:asciiTheme="minorHAnsi" w:hAnsiTheme="minorHAnsi"/>
          <w:sz w:val="22"/>
          <w:szCs w:val="22"/>
        </w:rPr>
      </w:pPr>
      <w:r w:rsidRPr="00940CBF">
        <w:rPr>
          <w:rFonts w:asciiTheme="minorHAnsi" w:hAnsiTheme="minorHAnsi"/>
          <w:sz w:val="22"/>
          <w:szCs w:val="22"/>
        </w:rPr>
        <w:t xml:space="preserve">To minimize abuse, distribution of TMCH data should be limited to situations where necessary to implement TMCH functionality. It should also be justified by technical, performance, uptime, availability, and economic factors. At a minimum, there should be sufficient contractual restrictions to provide enforcement capabilities to guard against abuse of the access and information provided through the TMCH. </w:t>
      </w:r>
    </w:p>
    <w:p w14:paraId="2A03C0AC" w14:textId="77777777" w:rsidR="00AB57B8" w:rsidRDefault="00AB57B8" w:rsidP="00E353B1">
      <w:pPr>
        <w:ind w:left="720"/>
        <w:rPr>
          <w:rFonts w:asciiTheme="minorHAnsi" w:hAnsiTheme="minorHAnsi"/>
          <w:sz w:val="22"/>
          <w:szCs w:val="22"/>
        </w:rPr>
      </w:pPr>
    </w:p>
    <w:p w14:paraId="6D034892" w14:textId="77777777" w:rsidR="00940CBF" w:rsidRPr="00940CBF" w:rsidRDefault="00940CBF" w:rsidP="00E353B1">
      <w:pPr>
        <w:ind w:left="720"/>
        <w:rPr>
          <w:rFonts w:asciiTheme="minorHAnsi" w:hAnsiTheme="minorHAnsi"/>
          <w:sz w:val="22"/>
          <w:szCs w:val="22"/>
        </w:rPr>
      </w:pPr>
      <w:r w:rsidRPr="00940CBF">
        <w:rPr>
          <w:rFonts w:asciiTheme="minorHAnsi" w:hAnsiTheme="minorHAnsi"/>
          <w:sz w:val="22"/>
          <w:szCs w:val="22"/>
        </w:rPr>
        <w:t>Specifically, rights holders have expressed concerns related to the aggregation of mark data through the TMCH, which may expose their brand protection strategies or be used to gather competitive intelligence by competitors. If the TMCH database is freely searchable and accessible, it could be possible to identify a rights holder’s gaps in its intellectual property protection strategies. For example, it might be possible to identify jurisdictions in which the rights holder has not registered its trademarks or in which it has not chosen to defensively register domain names. In this regard, this information could be misused by criminals, such as to conduct phishing attacks or other types of social engineering attacks.</w:t>
      </w:r>
    </w:p>
    <w:p w14:paraId="3203EAD2" w14:textId="77777777" w:rsidR="00940CBF" w:rsidRDefault="00940CBF" w:rsidP="00E353B1">
      <w:pPr>
        <w:ind w:left="720"/>
        <w:rPr>
          <w:rFonts w:asciiTheme="minorHAnsi" w:hAnsiTheme="minorHAnsi"/>
          <w:sz w:val="22"/>
          <w:szCs w:val="22"/>
        </w:rPr>
      </w:pPr>
    </w:p>
    <w:p w14:paraId="5B5455C6" w14:textId="77777777" w:rsidR="00AB57B8" w:rsidRDefault="00077BC5" w:rsidP="00E353B1">
      <w:pPr>
        <w:ind w:left="720"/>
        <w:rPr>
          <w:rFonts w:asciiTheme="minorHAnsi" w:hAnsiTheme="minorHAnsi"/>
          <w:sz w:val="22"/>
          <w:szCs w:val="22"/>
        </w:rPr>
      </w:pPr>
      <w:r w:rsidRPr="00077BC5">
        <w:rPr>
          <w:rFonts w:asciiTheme="minorHAnsi" w:hAnsiTheme="minorHAnsi"/>
          <w:sz w:val="22"/>
          <w:szCs w:val="22"/>
        </w:rPr>
        <w:t xml:space="preserve">In addition, concerns were raised with regard to limiting information submitted in the TMCH that may be valuable to a competitor, especially with regards to a brand-related registry. If it is possible to do extensive searching of the database to compile a list of marks that a mark holder has registered, some IAG members believed that this can reveal the mark holder’s brand protection strategy because it shows which marks it believes are more valuable than others. If someone can access all of the countries where a specific brand is registered, this may also create competitive advantage because a competitor might go to the unprotected jurisdiction and register the mark before the mark holder. The TMCH should not allow extensive searching to be done in a manner where a trademark holder’s entire portfolio could be easily accessed. Accordingly, the TMCH should be structured to address how to minimize data mining by a registry of a competitor’s trademark registration patterns. </w:t>
      </w:r>
    </w:p>
    <w:p w14:paraId="4D6B84D1" w14:textId="77777777" w:rsidR="00AB57B8" w:rsidRDefault="00AB57B8" w:rsidP="00E353B1">
      <w:pPr>
        <w:ind w:left="720"/>
        <w:rPr>
          <w:rFonts w:asciiTheme="minorHAnsi" w:hAnsiTheme="minorHAnsi"/>
          <w:sz w:val="22"/>
          <w:szCs w:val="22"/>
        </w:rPr>
      </w:pPr>
    </w:p>
    <w:p w14:paraId="30D31161" w14:textId="77777777" w:rsidR="00AB57B8" w:rsidRPr="00E353B1" w:rsidRDefault="00077BC5" w:rsidP="00E353B1">
      <w:pPr>
        <w:ind w:left="720"/>
        <w:rPr>
          <w:rFonts w:asciiTheme="minorHAnsi" w:hAnsiTheme="minorHAnsi"/>
          <w:sz w:val="22"/>
          <w:szCs w:val="22"/>
          <w:u w:val="single"/>
        </w:rPr>
      </w:pPr>
      <w:r w:rsidRPr="00E353B1">
        <w:rPr>
          <w:rFonts w:asciiTheme="minorHAnsi" w:hAnsiTheme="minorHAnsi"/>
          <w:sz w:val="22"/>
          <w:szCs w:val="22"/>
          <w:u w:val="single"/>
        </w:rPr>
        <w:t xml:space="preserve">Recommendation to Deploy Technological Measures to Minimize Abuse </w:t>
      </w:r>
    </w:p>
    <w:p w14:paraId="2C4E8CB5" w14:textId="77777777" w:rsidR="00077BC5" w:rsidRPr="00077BC5" w:rsidRDefault="00077BC5" w:rsidP="00E353B1">
      <w:pPr>
        <w:ind w:left="720"/>
        <w:rPr>
          <w:rFonts w:asciiTheme="minorHAnsi" w:hAnsiTheme="minorHAnsi"/>
          <w:sz w:val="22"/>
          <w:szCs w:val="22"/>
        </w:rPr>
      </w:pPr>
      <w:r w:rsidRPr="00077BC5">
        <w:rPr>
          <w:rFonts w:asciiTheme="minorHAnsi" w:hAnsiTheme="minorHAnsi"/>
          <w:sz w:val="22"/>
          <w:szCs w:val="22"/>
        </w:rPr>
        <w:t>In order to minimize abuse, the TMCH should restrict access to the data wherever possible. The TMCH should apply varying levels of technological and contractual restrictions depending upon the type of data accessed and the sensitivity of the data. For example, a lookup string service (identifies whether a string matches a record in the clearinghouse) should strive to achieve 100% availability and very high performance. This may be the only aspect of the data that may need to be replicated or cached at alternative data locations, such as at a registry or registrar’s location. With regard to data associated with the trademark claims service, it is believed that this information generally has more sensitive information, and may raise privacy concerns. From the registry or registrar perspective, there may be fewer performance requirements necessary for querying trademarks claims data, because this information is not required to sustain real-time registrations.</w:t>
      </w:r>
    </w:p>
    <w:p w14:paraId="5C78C6C1" w14:textId="77777777" w:rsidR="00077BC5" w:rsidRPr="00940CBF" w:rsidRDefault="00077BC5">
      <w:pPr>
        <w:rPr>
          <w:rFonts w:asciiTheme="minorHAnsi" w:hAnsiTheme="minorHAnsi"/>
          <w:sz w:val="22"/>
          <w:szCs w:val="22"/>
        </w:rPr>
      </w:pPr>
    </w:p>
    <w:sectPr w:rsidR="00077BC5" w:rsidRPr="00940CBF" w:rsidSect="003265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DCFC9" w14:textId="77777777" w:rsidR="00D0761E" w:rsidRDefault="00D0761E" w:rsidP="00E86590">
      <w:r>
        <w:separator/>
      </w:r>
    </w:p>
  </w:endnote>
  <w:endnote w:type="continuationSeparator" w:id="0">
    <w:p w14:paraId="1959657E" w14:textId="77777777" w:rsidR="00D0761E" w:rsidRDefault="00D0761E" w:rsidP="00E86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9E02A" w14:textId="77777777" w:rsidR="00E86590" w:rsidRDefault="00E86590" w:rsidP="00E0696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F321F1" w14:textId="77777777" w:rsidR="00E86590" w:rsidRDefault="00E86590" w:rsidP="00E8659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C8ACE" w14:textId="77777777" w:rsidR="00E86590" w:rsidRDefault="00E86590" w:rsidP="00E0696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0761E">
      <w:rPr>
        <w:rStyle w:val="PageNumber"/>
        <w:noProof/>
      </w:rPr>
      <w:t>1</w:t>
    </w:r>
    <w:r>
      <w:rPr>
        <w:rStyle w:val="PageNumber"/>
      </w:rPr>
      <w:fldChar w:fldCharType="end"/>
    </w:r>
  </w:p>
  <w:p w14:paraId="5DCB94E9" w14:textId="77777777" w:rsidR="00E86590" w:rsidRDefault="00E86590" w:rsidP="00E86590">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585DB" w14:textId="77777777" w:rsidR="00D0761E" w:rsidRDefault="00D0761E" w:rsidP="00E86590">
      <w:r>
        <w:separator/>
      </w:r>
    </w:p>
  </w:footnote>
  <w:footnote w:type="continuationSeparator" w:id="0">
    <w:p w14:paraId="3ED555CD" w14:textId="77777777" w:rsidR="00D0761E" w:rsidRDefault="00D0761E" w:rsidP="00E8659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096F9C"/>
    <w:multiLevelType w:val="hybridMultilevel"/>
    <w:tmpl w:val="844CC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0E42D1"/>
    <w:multiLevelType w:val="hybridMultilevel"/>
    <w:tmpl w:val="00923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380C70"/>
    <w:multiLevelType w:val="hybridMultilevel"/>
    <w:tmpl w:val="ADF2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CBF"/>
    <w:rsid w:val="0006430B"/>
    <w:rsid w:val="00077BC5"/>
    <w:rsid w:val="000930F3"/>
    <w:rsid w:val="000A2AAC"/>
    <w:rsid w:val="000D2716"/>
    <w:rsid w:val="0014409E"/>
    <w:rsid w:val="001460FB"/>
    <w:rsid w:val="001A155B"/>
    <w:rsid w:val="0022730E"/>
    <w:rsid w:val="002433FB"/>
    <w:rsid w:val="00273856"/>
    <w:rsid w:val="002C4F29"/>
    <w:rsid w:val="002F4E78"/>
    <w:rsid w:val="003011B3"/>
    <w:rsid w:val="00326516"/>
    <w:rsid w:val="00435BDF"/>
    <w:rsid w:val="0046446B"/>
    <w:rsid w:val="004F1E5E"/>
    <w:rsid w:val="005B1C1F"/>
    <w:rsid w:val="005B6D3E"/>
    <w:rsid w:val="00677D43"/>
    <w:rsid w:val="007069BD"/>
    <w:rsid w:val="00873ADA"/>
    <w:rsid w:val="00881A21"/>
    <w:rsid w:val="00910536"/>
    <w:rsid w:val="00914638"/>
    <w:rsid w:val="00940CBF"/>
    <w:rsid w:val="00A404BF"/>
    <w:rsid w:val="00A94AE1"/>
    <w:rsid w:val="00AB57B8"/>
    <w:rsid w:val="00B6586C"/>
    <w:rsid w:val="00B8293F"/>
    <w:rsid w:val="00BC280D"/>
    <w:rsid w:val="00BD21C3"/>
    <w:rsid w:val="00C95166"/>
    <w:rsid w:val="00CD6533"/>
    <w:rsid w:val="00CE6129"/>
    <w:rsid w:val="00CF13EE"/>
    <w:rsid w:val="00CF4001"/>
    <w:rsid w:val="00D0761E"/>
    <w:rsid w:val="00DB1076"/>
    <w:rsid w:val="00E353B1"/>
    <w:rsid w:val="00E75FDA"/>
    <w:rsid w:val="00E86590"/>
    <w:rsid w:val="00EA5270"/>
    <w:rsid w:val="00EA665A"/>
    <w:rsid w:val="00F07ED6"/>
    <w:rsid w:val="00FB2D09"/>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03CC21F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HTMLPreformatted">
    <w:name w:val="HTML Preformatted"/>
    <w:basedOn w:val="Normal"/>
    <w:link w:val="HTMLPreformattedChar"/>
    <w:uiPriority w:val="99"/>
    <w:semiHidden/>
    <w:unhideWhenUsed/>
    <w:rsid w:val="004F1E5E"/>
    <w:rPr>
      <w:rFonts w:ascii="Courier" w:hAnsi="Courier"/>
    </w:rPr>
  </w:style>
  <w:style w:type="character" w:customStyle="1" w:styleId="HTMLPreformattedChar">
    <w:name w:val="HTML Preformatted Char"/>
    <w:basedOn w:val="DefaultParagraphFont"/>
    <w:link w:val="HTMLPreformatted"/>
    <w:uiPriority w:val="99"/>
    <w:semiHidden/>
    <w:rsid w:val="004F1E5E"/>
    <w:rPr>
      <w:rFonts w:ascii="Courier" w:eastAsia="Times New Roman" w:hAnsi="Courier" w:cs="Times New Roman"/>
      <w:sz w:val="20"/>
      <w:szCs w:val="20"/>
    </w:rPr>
  </w:style>
  <w:style w:type="character" w:styleId="Hyperlink">
    <w:name w:val="Hyperlink"/>
    <w:basedOn w:val="DefaultParagraphFont"/>
    <w:uiPriority w:val="99"/>
    <w:unhideWhenUsed/>
    <w:rsid w:val="00873ADA"/>
    <w:rPr>
      <w:color w:val="0563C1" w:themeColor="hyperlink"/>
      <w:u w:val="single"/>
    </w:rPr>
  </w:style>
  <w:style w:type="paragraph" w:styleId="ListParagraph">
    <w:name w:val="List Paragraph"/>
    <w:basedOn w:val="Normal"/>
    <w:uiPriority w:val="34"/>
    <w:qFormat/>
    <w:rsid w:val="00873ADA"/>
    <w:pPr>
      <w:ind w:left="720"/>
      <w:contextualSpacing/>
    </w:pPr>
  </w:style>
  <w:style w:type="paragraph" w:styleId="Date">
    <w:name w:val="Date"/>
    <w:basedOn w:val="Normal"/>
    <w:next w:val="Normal"/>
    <w:link w:val="DateChar"/>
    <w:uiPriority w:val="99"/>
    <w:semiHidden/>
    <w:unhideWhenUsed/>
    <w:rsid w:val="00E353B1"/>
  </w:style>
  <w:style w:type="character" w:customStyle="1" w:styleId="DateChar">
    <w:name w:val="Date Char"/>
    <w:basedOn w:val="DefaultParagraphFont"/>
    <w:link w:val="Date"/>
    <w:uiPriority w:val="99"/>
    <w:semiHidden/>
    <w:rsid w:val="00E353B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86590"/>
    <w:pPr>
      <w:tabs>
        <w:tab w:val="center" w:pos="4680"/>
        <w:tab w:val="right" w:pos="9360"/>
      </w:tabs>
    </w:pPr>
  </w:style>
  <w:style w:type="character" w:customStyle="1" w:styleId="FooterChar">
    <w:name w:val="Footer Char"/>
    <w:basedOn w:val="DefaultParagraphFont"/>
    <w:link w:val="Footer"/>
    <w:uiPriority w:val="99"/>
    <w:rsid w:val="00E86590"/>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E86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18413">
      <w:bodyDiv w:val="1"/>
      <w:marLeft w:val="0"/>
      <w:marRight w:val="0"/>
      <w:marTop w:val="0"/>
      <w:marBottom w:val="0"/>
      <w:divBdr>
        <w:top w:val="none" w:sz="0" w:space="0" w:color="auto"/>
        <w:left w:val="none" w:sz="0" w:space="0" w:color="auto"/>
        <w:bottom w:val="none" w:sz="0" w:space="0" w:color="auto"/>
        <w:right w:val="none" w:sz="0" w:space="0" w:color="auto"/>
      </w:divBdr>
    </w:div>
    <w:div w:id="124929954">
      <w:bodyDiv w:val="1"/>
      <w:marLeft w:val="0"/>
      <w:marRight w:val="0"/>
      <w:marTop w:val="0"/>
      <w:marBottom w:val="0"/>
      <w:divBdr>
        <w:top w:val="none" w:sz="0" w:space="0" w:color="auto"/>
        <w:left w:val="none" w:sz="0" w:space="0" w:color="auto"/>
        <w:bottom w:val="none" w:sz="0" w:space="0" w:color="auto"/>
        <w:right w:val="none" w:sz="0" w:space="0" w:color="auto"/>
      </w:divBdr>
    </w:div>
    <w:div w:id="214052871">
      <w:bodyDiv w:val="1"/>
      <w:marLeft w:val="0"/>
      <w:marRight w:val="0"/>
      <w:marTop w:val="0"/>
      <w:marBottom w:val="0"/>
      <w:divBdr>
        <w:top w:val="none" w:sz="0" w:space="0" w:color="auto"/>
        <w:left w:val="none" w:sz="0" w:space="0" w:color="auto"/>
        <w:bottom w:val="none" w:sz="0" w:space="0" w:color="auto"/>
        <w:right w:val="none" w:sz="0" w:space="0" w:color="auto"/>
      </w:divBdr>
    </w:div>
    <w:div w:id="522328995">
      <w:bodyDiv w:val="1"/>
      <w:marLeft w:val="0"/>
      <w:marRight w:val="0"/>
      <w:marTop w:val="0"/>
      <w:marBottom w:val="0"/>
      <w:divBdr>
        <w:top w:val="none" w:sz="0" w:space="0" w:color="auto"/>
        <w:left w:val="none" w:sz="0" w:space="0" w:color="auto"/>
        <w:bottom w:val="none" w:sz="0" w:space="0" w:color="auto"/>
        <w:right w:val="none" w:sz="0" w:space="0" w:color="auto"/>
      </w:divBdr>
    </w:div>
    <w:div w:id="525676137">
      <w:bodyDiv w:val="1"/>
      <w:marLeft w:val="0"/>
      <w:marRight w:val="0"/>
      <w:marTop w:val="0"/>
      <w:marBottom w:val="0"/>
      <w:divBdr>
        <w:top w:val="none" w:sz="0" w:space="0" w:color="auto"/>
        <w:left w:val="none" w:sz="0" w:space="0" w:color="auto"/>
        <w:bottom w:val="none" w:sz="0" w:space="0" w:color="auto"/>
        <w:right w:val="none" w:sz="0" w:space="0" w:color="auto"/>
      </w:divBdr>
    </w:div>
    <w:div w:id="1661959542">
      <w:bodyDiv w:val="1"/>
      <w:marLeft w:val="0"/>
      <w:marRight w:val="0"/>
      <w:marTop w:val="0"/>
      <w:marBottom w:val="0"/>
      <w:divBdr>
        <w:top w:val="none" w:sz="0" w:space="0" w:color="auto"/>
        <w:left w:val="none" w:sz="0" w:space="0" w:color="auto"/>
        <w:bottom w:val="none" w:sz="0" w:space="0" w:color="auto"/>
        <w:right w:val="none" w:sz="0" w:space="0" w:color="auto"/>
      </w:divBdr>
    </w:div>
    <w:div w:id="1704012859">
      <w:bodyDiv w:val="1"/>
      <w:marLeft w:val="0"/>
      <w:marRight w:val="0"/>
      <w:marTop w:val="0"/>
      <w:marBottom w:val="0"/>
      <w:divBdr>
        <w:top w:val="none" w:sz="0" w:space="0" w:color="auto"/>
        <w:left w:val="none" w:sz="0" w:space="0" w:color="auto"/>
        <w:bottom w:val="none" w:sz="0" w:space="0" w:color="auto"/>
        <w:right w:val="none" w:sz="0" w:space="0" w:color="auto"/>
      </w:divBdr>
    </w:div>
    <w:div w:id="1773939326">
      <w:bodyDiv w:val="1"/>
      <w:marLeft w:val="0"/>
      <w:marRight w:val="0"/>
      <w:marTop w:val="0"/>
      <w:marBottom w:val="0"/>
      <w:divBdr>
        <w:top w:val="none" w:sz="0" w:space="0" w:color="auto"/>
        <w:left w:val="none" w:sz="0" w:space="0" w:color="auto"/>
        <w:bottom w:val="none" w:sz="0" w:space="0" w:color="auto"/>
        <w:right w:val="none" w:sz="0" w:space="0" w:color="auto"/>
      </w:divBdr>
    </w:div>
    <w:div w:id="1797749216">
      <w:bodyDiv w:val="1"/>
      <w:marLeft w:val="0"/>
      <w:marRight w:val="0"/>
      <w:marTop w:val="0"/>
      <w:marBottom w:val="0"/>
      <w:divBdr>
        <w:top w:val="none" w:sz="0" w:space="0" w:color="auto"/>
        <w:left w:val="none" w:sz="0" w:space="0" w:color="auto"/>
        <w:bottom w:val="none" w:sz="0" w:space="0" w:color="auto"/>
        <w:right w:val="none" w:sz="0" w:space="0" w:color="auto"/>
      </w:divBdr>
    </w:div>
    <w:div w:id="18273524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newgtlds.icann.org/en/announcements-and-media/announcement-10apr14-en)"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yperlink" Target="http://www.trademark-clearinghouse.com/dispute" TargetMode="External"/><Relationship Id="rId13" Type="http://schemas.openxmlformats.org/officeDocument/2006/relationships/hyperlink" Target="https://marksdb.org/tmdb/public/tandc" TargetMode="External"/><Relationship Id="rId14" Type="http://schemas.openxmlformats.org/officeDocument/2006/relationships/hyperlink" Target="https://tools.ietf.org/html/draft-ietf-regext-tmch-func-spec-02" TargetMode="External"/><Relationship Id="rId15" Type="http://schemas.openxmlformats.org/officeDocument/2006/relationships/hyperlink" Target="https://newgtlds.icann.org/en/about/trademark-clearinghouse/validation-framework-02jul13-en.pdf" TargetMode="External"/><Relationship Id="rId16" Type="http://schemas.openxmlformats.org/officeDocument/2006/relationships/hyperlink" Target="https://newgtlds.icann.org/en/about/trademark-clearinghouse/database-framework-02jul13-en.pdf" TargetMode="External"/><Relationship Id="rId17" Type="http://schemas.openxmlformats.org/officeDocument/2006/relationships/hyperlink" Target="https://newgtlds.icann.org/en/about/trademark-clearinghouse/database-platform-sow-02jul13-en.pdf" TargetMode="External"/><Relationship Id="rId18" Type="http://schemas.openxmlformats.org/officeDocument/2006/relationships/hyperlink" Target="https://newgtlds.icann.org/en/about/trademark-clearinghouse/sunrise-claims-sow-02jul13-en.pdf)" TargetMode="External"/><Relationship Id="rId19" Type="http://schemas.openxmlformats.org/officeDocument/2006/relationships/hyperlink" Target="https://newgtlds.icann.org/en/about/trademark-clearinghouse/summary-iag-input-26sep12-en.pdf"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newgtlds.icann.org/en/about/trademark-clearinghouse/rpm-requirements-14may14-en.pdf)" TargetMode="External"/><Relationship Id="rId8" Type="http://schemas.openxmlformats.org/officeDocument/2006/relationships/hyperlink" Target="https://newgtlds.icann.org/en/announcements-and-media/announcement-12nov13-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1361</Words>
  <Characters>7763</Characters>
  <Application>Microsoft Macintosh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2017-04-13T16:10:00Z</dcterms:created>
  <dcterms:modified xsi:type="dcterms:W3CDTF">2017-04-13T16:10:00Z</dcterms:modified>
</cp:coreProperties>
</file>