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EFDD9" w14:textId="2F89887B" w:rsidR="002E1035" w:rsidRDefault="00BB221D" w:rsidP="00D547F2">
      <w:pPr>
        <w:jc w:val="center"/>
        <w:rPr>
          <w:b/>
          <w:bCs/>
        </w:rPr>
      </w:pPr>
      <w:r>
        <w:rPr>
          <w:b/>
          <w:bCs/>
        </w:rPr>
        <w:t>Discussion of Remaining Open</w:t>
      </w:r>
      <w:r w:rsidR="00D547F2" w:rsidRPr="00D547F2">
        <w:rPr>
          <w:b/>
          <w:bCs/>
        </w:rPr>
        <w:t xml:space="preserve"> TMCH Charter Questions</w:t>
      </w:r>
    </w:p>
    <w:p w14:paraId="4A45AE0D" w14:textId="6E32FA9E" w:rsidR="00BB221D" w:rsidRDefault="00BB221D" w:rsidP="00D547F2">
      <w:pPr>
        <w:jc w:val="center"/>
        <w:rPr>
          <w:b/>
          <w:bCs/>
        </w:rPr>
      </w:pPr>
      <w:r>
        <w:rPr>
          <w:b/>
          <w:bCs/>
        </w:rPr>
        <w:t>10 April 2017</w:t>
      </w:r>
    </w:p>
    <w:p w14:paraId="05FEFD71" w14:textId="77777777" w:rsidR="0087278D" w:rsidRDefault="0087278D" w:rsidP="0087278D"/>
    <w:p w14:paraId="224D9665" w14:textId="5CEF5FC2" w:rsidR="0087278D" w:rsidRDefault="00BB221D" w:rsidP="0087278D">
      <w:r>
        <w:t>As of 10 April</w:t>
      </w:r>
      <w:r w:rsidR="0087278D">
        <w:t xml:space="preserve"> 2017, the questions below are those that are still open </w:t>
      </w:r>
      <w:r>
        <w:t xml:space="preserve">as part of the </w:t>
      </w:r>
      <w:r w:rsidR="0087278D">
        <w:t>in</w:t>
      </w:r>
      <w:r>
        <w:t>itial TMCH</w:t>
      </w:r>
      <w:r w:rsidR="0087278D">
        <w:t xml:space="preserve"> review. All other questions have either </w:t>
      </w:r>
      <w:r>
        <w:t xml:space="preserve">been </w:t>
      </w:r>
      <w:r w:rsidR="000B4809">
        <w:t xml:space="preserve">deferred for </w:t>
      </w:r>
      <w:r>
        <w:t xml:space="preserve">further </w:t>
      </w:r>
      <w:r w:rsidR="000B4809">
        <w:t>review</w:t>
      </w:r>
      <w:r>
        <w:t xml:space="preserve"> following the Working Group’s discussion of Sunrise and Claims Notifications, or agreed as not requiring further discussion at this time</w:t>
      </w:r>
      <w:r w:rsidR="000B4809">
        <w:t>.</w:t>
      </w:r>
      <w:r w:rsidR="00416A37">
        <w:t xml:space="preserve"> For details on the</w:t>
      </w:r>
      <w:r>
        <w:t>se</w:t>
      </w:r>
      <w:r w:rsidR="00416A37">
        <w:t xml:space="preserve"> </w:t>
      </w:r>
      <w:r>
        <w:t>other</w:t>
      </w:r>
      <w:r w:rsidR="00416A37">
        <w:t xml:space="preserve"> questions, p</w:t>
      </w:r>
      <w:r w:rsidR="00C4726E">
        <w:t xml:space="preserve">lease refer to the </w:t>
      </w:r>
      <w:r w:rsidR="00416A37">
        <w:t>“</w:t>
      </w:r>
      <w:hyperlink r:id="rId4" w:history="1">
        <w:r w:rsidR="00416A37" w:rsidRPr="00416A37">
          <w:rPr>
            <w:rStyle w:val="Hyperlink"/>
          </w:rPr>
          <w:t>TMCH Next Steps Table – updated 30 March 2017</w:t>
        </w:r>
      </w:hyperlink>
      <w:r w:rsidR="00416A37">
        <w:t xml:space="preserve">” on the </w:t>
      </w:r>
      <w:r>
        <w:t xml:space="preserve">following </w:t>
      </w:r>
      <w:r w:rsidR="00416A37">
        <w:t>wiki page</w:t>
      </w:r>
      <w:r>
        <w:t>:</w:t>
      </w:r>
      <w:r w:rsidR="00416A37">
        <w:t xml:space="preserve"> </w:t>
      </w:r>
      <w:hyperlink r:id="rId5" w:history="1">
        <w:r w:rsidR="00416A37" w:rsidRPr="00561271">
          <w:rPr>
            <w:rStyle w:val="Hyperlink"/>
          </w:rPr>
          <w:t>https://comm</w:t>
        </w:r>
        <w:r w:rsidR="00416A37" w:rsidRPr="00561271">
          <w:rPr>
            <w:rStyle w:val="Hyperlink"/>
          </w:rPr>
          <w:t>u</w:t>
        </w:r>
        <w:r w:rsidR="00416A37" w:rsidRPr="00561271">
          <w:rPr>
            <w:rStyle w:val="Hyperlink"/>
          </w:rPr>
          <w:t>nity.icann.org/x/Jb-RAw</w:t>
        </w:r>
      </w:hyperlink>
      <w:r w:rsidR="00416A37">
        <w:t>.</w:t>
      </w:r>
      <w:r>
        <w:t xml:space="preserve"> </w:t>
      </w:r>
    </w:p>
    <w:p w14:paraId="1F2D2B47" w14:textId="77777777" w:rsidR="009C058D" w:rsidRDefault="009C058D"/>
    <w:tbl>
      <w:tblPr>
        <w:tblStyle w:val="TableGrid"/>
        <w:tblW w:w="0" w:type="auto"/>
        <w:tblLook w:val="04A0" w:firstRow="1" w:lastRow="0" w:firstColumn="1" w:lastColumn="0" w:noHBand="0" w:noVBand="1"/>
      </w:tblPr>
      <w:tblGrid>
        <w:gridCol w:w="4609"/>
        <w:gridCol w:w="6076"/>
        <w:gridCol w:w="2265"/>
      </w:tblGrid>
      <w:tr w:rsidR="009C058D" w14:paraId="67832D45" w14:textId="77777777" w:rsidTr="00BB221D">
        <w:tc>
          <w:tcPr>
            <w:tcW w:w="0" w:type="auto"/>
            <w:shd w:val="clear" w:color="auto" w:fill="D9E2F3" w:themeFill="accent1" w:themeFillTint="33"/>
          </w:tcPr>
          <w:p w14:paraId="22E1F42C" w14:textId="77777777" w:rsidR="009C058D" w:rsidRPr="00D547F2" w:rsidRDefault="009C058D" w:rsidP="00D547F2">
            <w:pPr>
              <w:jc w:val="center"/>
              <w:rPr>
                <w:b/>
                <w:bCs/>
              </w:rPr>
            </w:pPr>
            <w:r w:rsidRPr="00D547F2">
              <w:rPr>
                <w:b/>
                <w:bCs/>
              </w:rPr>
              <w:t>TMCH Charter Questions</w:t>
            </w:r>
          </w:p>
        </w:tc>
        <w:tc>
          <w:tcPr>
            <w:tcW w:w="0" w:type="auto"/>
            <w:shd w:val="clear" w:color="auto" w:fill="D9E2F3" w:themeFill="accent1" w:themeFillTint="33"/>
          </w:tcPr>
          <w:p w14:paraId="51610A5C" w14:textId="672CDD86" w:rsidR="009C058D" w:rsidRPr="00D547F2" w:rsidRDefault="00BB221D" w:rsidP="00D547F2">
            <w:pPr>
              <w:jc w:val="center"/>
              <w:rPr>
                <w:b/>
                <w:bCs/>
              </w:rPr>
            </w:pPr>
            <w:r>
              <w:rPr>
                <w:b/>
                <w:bCs/>
              </w:rPr>
              <w:t>Proposal</w:t>
            </w:r>
          </w:p>
        </w:tc>
        <w:tc>
          <w:tcPr>
            <w:tcW w:w="0" w:type="auto"/>
            <w:shd w:val="clear" w:color="auto" w:fill="D9E2F3" w:themeFill="accent1" w:themeFillTint="33"/>
          </w:tcPr>
          <w:p w14:paraId="12D7451D" w14:textId="0A0ABA17" w:rsidR="009C058D" w:rsidRPr="00D547F2" w:rsidRDefault="009C058D" w:rsidP="00D547F2">
            <w:pPr>
              <w:jc w:val="center"/>
              <w:rPr>
                <w:b/>
                <w:bCs/>
              </w:rPr>
            </w:pPr>
            <w:r w:rsidRPr="00D547F2">
              <w:rPr>
                <w:b/>
                <w:bCs/>
              </w:rPr>
              <w:t>WG Discussion</w:t>
            </w:r>
            <w:r w:rsidR="00BB221D">
              <w:rPr>
                <w:b/>
                <w:bCs/>
              </w:rPr>
              <w:t>/Decision</w:t>
            </w:r>
          </w:p>
        </w:tc>
      </w:tr>
      <w:tr w:rsidR="009C058D" w14:paraId="161E4D82" w14:textId="77777777" w:rsidTr="00BB221D">
        <w:tc>
          <w:tcPr>
            <w:tcW w:w="0" w:type="auto"/>
            <w:gridSpan w:val="3"/>
          </w:tcPr>
          <w:p w14:paraId="2E6C91B3" w14:textId="77777777" w:rsidR="009C058D" w:rsidRPr="00D547F2" w:rsidRDefault="009C058D" w:rsidP="00D547F2">
            <w:pPr>
              <w:jc w:val="center"/>
              <w:rPr>
                <w:b/>
                <w:bCs/>
              </w:rPr>
            </w:pPr>
            <w:r w:rsidRPr="00D547F2">
              <w:rPr>
                <w:b/>
                <w:bCs/>
              </w:rPr>
              <w:t>TMCH Category 3: Breadth &amp; Reach (Scope)</w:t>
            </w:r>
          </w:p>
        </w:tc>
      </w:tr>
      <w:tr w:rsidR="009C058D" w14:paraId="65E353C4" w14:textId="77777777" w:rsidTr="00BB221D">
        <w:tc>
          <w:tcPr>
            <w:tcW w:w="0" w:type="auto"/>
          </w:tcPr>
          <w:p w14:paraId="239020A9" w14:textId="77777777" w:rsidR="009C058D" w:rsidRDefault="009C058D">
            <w:r>
              <w:t xml:space="preserve">7. </w:t>
            </w:r>
            <w:r w:rsidRPr="009C058D">
              <w:t>How are design marks currently handled by the TMCH provider?</w:t>
            </w:r>
          </w:p>
        </w:tc>
        <w:tc>
          <w:tcPr>
            <w:tcW w:w="0" w:type="auto"/>
          </w:tcPr>
          <w:p w14:paraId="6B41C237" w14:textId="77777777" w:rsidR="009C058D" w:rsidRDefault="009C058D">
            <w:r>
              <w:t xml:space="preserve">1. </w:t>
            </w:r>
            <w:r w:rsidRPr="009C058D">
              <w:t>In the interest of the fairness and balance sought by the original GNSO Council and Board-adopted recommendations and hopefully by this Working Group as well, the Working Group should require that Deloitte (and any future providers of TMCH verification services) accept only trademarks registered as “word marks” per se into the TMCH database – not words, characters and numbers extracted from design marks, transformative, figurative marks and other trademarks from amidst with patterns, logos, special l</w:t>
            </w:r>
            <w:bookmarkStart w:id="0" w:name="_GoBack"/>
            <w:bookmarkEnd w:id="0"/>
            <w:r w:rsidRPr="009C058D">
              <w:t>ettering, colors and/or other design, pattern and lettering aspects and features.</w:t>
            </w:r>
          </w:p>
          <w:p w14:paraId="54C4BB7B" w14:textId="77777777" w:rsidR="009C058D" w:rsidRDefault="009C058D"/>
          <w:p w14:paraId="1A592F22" w14:textId="77777777" w:rsidR="009C058D" w:rsidRDefault="009C058D">
            <w:r>
              <w:t xml:space="preserve">2. </w:t>
            </w:r>
            <w:r w:rsidRPr="009C058D">
              <w:t>Timing [Note: thi</w:t>
            </w:r>
            <w:r>
              <w:t>s is a proposal for the</w:t>
            </w:r>
            <w:r w:rsidRPr="009C058D">
              <w:t xml:space="preserve"> WG]: In fairness to the current registrants of such marks, the Working Group recommends that current registration continue in the TMCH Database for a period of no longer than a year – to be canceled during the normal review of TMCH registrations which we understand Deloitte conducts on an annual basis.</w:t>
            </w:r>
          </w:p>
          <w:p w14:paraId="6A71EFD5" w14:textId="77777777" w:rsidR="009C058D" w:rsidRDefault="009C058D"/>
          <w:p w14:paraId="300ABF55" w14:textId="77777777" w:rsidR="009C058D" w:rsidRDefault="009C058D">
            <w:r>
              <w:lastRenderedPageBreak/>
              <w:t xml:space="preserve">3. </w:t>
            </w:r>
            <w:r w:rsidRPr="009C058D">
              <w:t>We urge Deloitte to bring to the Working Group any questions regarding this policy so that the Working Group can facilitate a discussion of rules consistent with this recommendation.</w:t>
            </w:r>
          </w:p>
        </w:tc>
        <w:tc>
          <w:tcPr>
            <w:tcW w:w="0" w:type="auto"/>
          </w:tcPr>
          <w:p w14:paraId="275AEA82" w14:textId="77777777" w:rsidR="009C058D" w:rsidRDefault="009C058D"/>
        </w:tc>
      </w:tr>
      <w:tr w:rsidR="009C058D" w14:paraId="25F13658" w14:textId="77777777" w:rsidTr="00BB221D">
        <w:tc>
          <w:tcPr>
            <w:tcW w:w="0" w:type="auto"/>
          </w:tcPr>
          <w:p w14:paraId="66E76414" w14:textId="77777777" w:rsidR="009C058D" w:rsidRDefault="009C058D" w:rsidP="009C058D">
            <w:pPr>
              <w:rPr>
                <w:rFonts w:cs="Times New Roman"/>
              </w:rPr>
            </w:pPr>
            <w:r w:rsidRPr="009C058D">
              <w:rPr>
                <w:rFonts w:cs="Times New Roman"/>
              </w:rPr>
              <w:lastRenderedPageBreak/>
              <w:t>8. How are geographical indications, protected designations of origin, and protected appellations of origin currently handled by the TMCH provider?</w:t>
            </w:r>
          </w:p>
          <w:p w14:paraId="5D117E89" w14:textId="77777777" w:rsidR="00446379" w:rsidRPr="009C058D" w:rsidRDefault="00446379" w:rsidP="009C058D">
            <w:pPr>
              <w:rPr>
                <w:rFonts w:cs="Times New Roman"/>
              </w:rPr>
            </w:pPr>
          </w:p>
        </w:tc>
        <w:tc>
          <w:tcPr>
            <w:tcW w:w="0" w:type="auto"/>
          </w:tcPr>
          <w:p w14:paraId="03304309" w14:textId="77777777" w:rsidR="009C058D" w:rsidRDefault="009C058D"/>
        </w:tc>
        <w:tc>
          <w:tcPr>
            <w:tcW w:w="0" w:type="auto"/>
          </w:tcPr>
          <w:p w14:paraId="6D886E02" w14:textId="77777777" w:rsidR="009C058D" w:rsidRDefault="009C058D"/>
        </w:tc>
      </w:tr>
      <w:tr w:rsidR="009C058D" w14:paraId="066AF14A" w14:textId="77777777" w:rsidTr="00BB221D">
        <w:tc>
          <w:tcPr>
            <w:tcW w:w="0" w:type="auto"/>
          </w:tcPr>
          <w:p w14:paraId="03BD308D" w14:textId="77777777" w:rsidR="00446379" w:rsidRDefault="00446379" w:rsidP="000E142D">
            <w:pPr>
              <w:rPr>
                <w:rFonts w:cs="Times New Roman"/>
              </w:rPr>
            </w:pPr>
            <w:r>
              <w:t xml:space="preserve">10. </w:t>
            </w:r>
            <w:r w:rsidRPr="00DC70CE">
              <w:rPr>
                <w:rFonts w:cs="Times New Roman"/>
              </w:rPr>
              <w:t>Should the TMCH matching rules be retained, modified, or expanded, e.g. to include plurals, ‘marks contained’ or ‘mark+keyword’, and/or common typos of a mark?</w:t>
            </w:r>
          </w:p>
          <w:p w14:paraId="31BEA2DD" w14:textId="0BFC3E1C" w:rsidR="009C058D" w:rsidRDefault="00446379" w:rsidP="000E142D">
            <w:r w:rsidRPr="00DC70CE">
              <w:rPr>
                <w:rFonts w:cs="Times New Roman"/>
              </w:rPr>
              <w:t> </w:t>
            </w:r>
          </w:p>
        </w:tc>
        <w:tc>
          <w:tcPr>
            <w:tcW w:w="0" w:type="auto"/>
          </w:tcPr>
          <w:p w14:paraId="797ACA67" w14:textId="5C996AFB" w:rsidR="000E142D" w:rsidRPr="000E142D" w:rsidRDefault="000E142D" w:rsidP="000E142D">
            <w:pPr>
              <w:rPr>
                <w:rFonts w:cs="Times New Roman"/>
              </w:rPr>
            </w:pPr>
            <w:r w:rsidRPr="000E142D">
              <w:rPr>
                <w:rFonts w:cs="Times New Roman"/>
              </w:rPr>
              <w:t> </w:t>
            </w:r>
          </w:p>
          <w:p w14:paraId="76B3D49D" w14:textId="77777777" w:rsidR="009C058D" w:rsidRDefault="009C058D"/>
        </w:tc>
        <w:tc>
          <w:tcPr>
            <w:tcW w:w="0" w:type="auto"/>
          </w:tcPr>
          <w:p w14:paraId="6BF08D55" w14:textId="77777777" w:rsidR="009C058D" w:rsidRDefault="009C058D"/>
        </w:tc>
      </w:tr>
      <w:tr w:rsidR="0087278D" w14:paraId="4385BC4D" w14:textId="77777777" w:rsidTr="00BB221D">
        <w:tc>
          <w:tcPr>
            <w:tcW w:w="0" w:type="auto"/>
            <w:gridSpan w:val="3"/>
          </w:tcPr>
          <w:p w14:paraId="0314797F" w14:textId="3155C1E4" w:rsidR="0087278D" w:rsidRPr="0087278D" w:rsidRDefault="0087278D" w:rsidP="0087278D">
            <w:pPr>
              <w:jc w:val="center"/>
              <w:rPr>
                <w:b/>
                <w:bCs/>
              </w:rPr>
            </w:pPr>
            <w:r w:rsidRPr="0087278D">
              <w:rPr>
                <w:b/>
                <w:bCs/>
              </w:rPr>
              <w:t>TMCH Category 5: Access &amp; Accessibility</w:t>
            </w:r>
          </w:p>
        </w:tc>
      </w:tr>
      <w:tr w:rsidR="0087278D" w14:paraId="1DC3CB57" w14:textId="77777777" w:rsidTr="00BB221D">
        <w:tc>
          <w:tcPr>
            <w:tcW w:w="0" w:type="auto"/>
          </w:tcPr>
          <w:p w14:paraId="5A46D824" w14:textId="77777777" w:rsidR="0087278D" w:rsidRPr="0087278D" w:rsidRDefault="0087278D" w:rsidP="0087278D">
            <w:pPr>
              <w:rPr>
                <w:rFonts w:cs="Times New Roman"/>
              </w:rPr>
            </w:pPr>
            <w:r w:rsidRPr="0087278D">
              <w:rPr>
                <w:rFonts w:cs="Times New Roman"/>
              </w:rPr>
              <w:t>15. What concerns are being raised about the TMCH Database being confidential, what are the reasons for having/keeping the TMCH Database private, and should the TMCH Database remain confidential or become open? </w:t>
            </w:r>
          </w:p>
          <w:p w14:paraId="7EBF1A32" w14:textId="77777777" w:rsidR="0087278D" w:rsidRPr="00DE12DE" w:rsidRDefault="0087278D" w:rsidP="00DE12DE">
            <w:pPr>
              <w:rPr>
                <w:rFonts w:cs="Times New Roman"/>
              </w:rPr>
            </w:pPr>
          </w:p>
        </w:tc>
        <w:tc>
          <w:tcPr>
            <w:tcW w:w="0" w:type="auto"/>
          </w:tcPr>
          <w:p w14:paraId="045CFEE8" w14:textId="77777777" w:rsidR="0087278D" w:rsidRDefault="0087278D"/>
        </w:tc>
        <w:tc>
          <w:tcPr>
            <w:tcW w:w="0" w:type="auto"/>
          </w:tcPr>
          <w:p w14:paraId="7EABBECD" w14:textId="77777777" w:rsidR="0087278D" w:rsidRDefault="0087278D"/>
        </w:tc>
      </w:tr>
    </w:tbl>
    <w:p w14:paraId="180A8171" w14:textId="77777777" w:rsidR="009C058D" w:rsidRDefault="009C058D"/>
    <w:p w14:paraId="1591F4B8" w14:textId="77777777" w:rsidR="0087278D" w:rsidRDefault="0087278D"/>
    <w:sectPr w:rsidR="0087278D" w:rsidSect="00BB22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8D"/>
    <w:rsid w:val="00033185"/>
    <w:rsid w:val="000B4809"/>
    <w:rsid w:val="000E142D"/>
    <w:rsid w:val="001E3341"/>
    <w:rsid w:val="003C752D"/>
    <w:rsid w:val="00416A37"/>
    <w:rsid w:val="00446379"/>
    <w:rsid w:val="00596E8B"/>
    <w:rsid w:val="006602F9"/>
    <w:rsid w:val="008179DD"/>
    <w:rsid w:val="0087278D"/>
    <w:rsid w:val="009C058D"/>
    <w:rsid w:val="00BB221D"/>
    <w:rsid w:val="00BB76C7"/>
    <w:rsid w:val="00C4726E"/>
    <w:rsid w:val="00D1505F"/>
    <w:rsid w:val="00D547F2"/>
    <w:rsid w:val="00DC70CE"/>
    <w:rsid w:val="00DE12DE"/>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297FA3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6A37"/>
    <w:rPr>
      <w:color w:val="0563C1" w:themeColor="hyperlink"/>
      <w:u w:val="single"/>
    </w:rPr>
  </w:style>
  <w:style w:type="character" w:styleId="FollowedHyperlink">
    <w:name w:val="FollowedHyperlink"/>
    <w:basedOn w:val="DefaultParagraphFont"/>
    <w:uiPriority w:val="99"/>
    <w:semiHidden/>
    <w:unhideWhenUsed/>
    <w:rsid w:val="00416A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7859">
      <w:bodyDiv w:val="1"/>
      <w:marLeft w:val="0"/>
      <w:marRight w:val="0"/>
      <w:marTop w:val="0"/>
      <w:marBottom w:val="0"/>
      <w:divBdr>
        <w:top w:val="none" w:sz="0" w:space="0" w:color="auto"/>
        <w:left w:val="none" w:sz="0" w:space="0" w:color="auto"/>
        <w:bottom w:val="none" w:sz="0" w:space="0" w:color="auto"/>
        <w:right w:val="none" w:sz="0" w:space="0" w:color="auto"/>
      </w:divBdr>
    </w:div>
    <w:div w:id="115415071">
      <w:bodyDiv w:val="1"/>
      <w:marLeft w:val="0"/>
      <w:marRight w:val="0"/>
      <w:marTop w:val="0"/>
      <w:marBottom w:val="0"/>
      <w:divBdr>
        <w:top w:val="none" w:sz="0" w:space="0" w:color="auto"/>
        <w:left w:val="none" w:sz="0" w:space="0" w:color="auto"/>
        <w:bottom w:val="none" w:sz="0" w:space="0" w:color="auto"/>
        <w:right w:val="none" w:sz="0" w:space="0" w:color="auto"/>
      </w:divBdr>
    </w:div>
    <w:div w:id="139811878">
      <w:bodyDiv w:val="1"/>
      <w:marLeft w:val="0"/>
      <w:marRight w:val="0"/>
      <w:marTop w:val="0"/>
      <w:marBottom w:val="0"/>
      <w:divBdr>
        <w:top w:val="none" w:sz="0" w:space="0" w:color="auto"/>
        <w:left w:val="none" w:sz="0" w:space="0" w:color="auto"/>
        <w:bottom w:val="none" w:sz="0" w:space="0" w:color="auto"/>
        <w:right w:val="none" w:sz="0" w:space="0" w:color="auto"/>
      </w:divBdr>
    </w:div>
    <w:div w:id="226690886">
      <w:bodyDiv w:val="1"/>
      <w:marLeft w:val="0"/>
      <w:marRight w:val="0"/>
      <w:marTop w:val="0"/>
      <w:marBottom w:val="0"/>
      <w:divBdr>
        <w:top w:val="none" w:sz="0" w:space="0" w:color="auto"/>
        <w:left w:val="none" w:sz="0" w:space="0" w:color="auto"/>
        <w:bottom w:val="none" w:sz="0" w:space="0" w:color="auto"/>
        <w:right w:val="none" w:sz="0" w:space="0" w:color="auto"/>
      </w:divBdr>
    </w:div>
    <w:div w:id="233470786">
      <w:bodyDiv w:val="1"/>
      <w:marLeft w:val="0"/>
      <w:marRight w:val="0"/>
      <w:marTop w:val="0"/>
      <w:marBottom w:val="0"/>
      <w:divBdr>
        <w:top w:val="none" w:sz="0" w:space="0" w:color="auto"/>
        <w:left w:val="none" w:sz="0" w:space="0" w:color="auto"/>
        <w:bottom w:val="none" w:sz="0" w:space="0" w:color="auto"/>
        <w:right w:val="none" w:sz="0" w:space="0" w:color="auto"/>
      </w:divBdr>
    </w:div>
    <w:div w:id="447162611">
      <w:bodyDiv w:val="1"/>
      <w:marLeft w:val="0"/>
      <w:marRight w:val="0"/>
      <w:marTop w:val="0"/>
      <w:marBottom w:val="0"/>
      <w:divBdr>
        <w:top w:val="none" w:sz="0" w:space="0" w:color="auto"/>
        <w:left w:val="none" w:sz="0" w:space="0" w:color="auto"/>
        <w:bottom w:val="none" w:sz="0" w:space="0" w:color="auto"/>
        <w:right w:val="none" w:sz="0" w:space="0" w:color="auto"/>
      </w:divBdr>
    </w:div>
    <w:div w:id="517428924">
      <w:bodyDiv w:val="1"/>
      <w:marLeft w:val="0"/>
      <w:marRight w:val="0"/>
      <w:marTop w:val="0"/>
      <w:marBottom w:val="0"/>
      <w:divBdr>
        <w:top w:val="none" w:sz="0" w:space="0" w:color="auto"/>
        <w:left w:val="none" w:sz="0" w:space="0" w:color="auto"/>
        <w:bottom w:val="none" w:sz="0" w:space="0" w:color="auto"/>
        <w:right w:val="none" w:sz="0" w:space="0" w:color="auto"/>
      </w:divBdr>
    </w:div>
    <w:div w:id="751045148">
      <w:bodyDiv w:val="1"/>
      <w:marLeft w:val="0"/>
      <w:marRight w:val="0"/>
      <w:marTop w:val="0"/>
      <w:marBottom w:val="0"/>
      <w:divBdr>
        <w:top w:val="none" w:sz="0" w:space="0" w:color="auto"/>
        <w:left w:val="none" w:sz="0" w:space="0" w:color="auto"/>
        <w:bottom w:val="none" w:sz="0" w:space="0" w:color="auto"/>
        <w:right w:val="none" w:sz="0" w:space="0" w:color="auto"/>
      </w:divBdr>
    </w:div>
    <w:div w:id="958025398">
      <w:bodyDiv w:val="1"/>
      <w:marLeft w:val="0"/>
      <w:marRight w:val="0"/>
      <w:marTop w:val="0"/>
      <w:marBottom w:val="0"/>
      <w:divBdr>
        <w:top w:val="none" w:sz="0" w:space="0" w:color="auto"/>
        <w:left w:val="none" w:sz="0" w:space="0" w:color="auto"/>
        <w:bottom w:val="none" w:sz="0" w:space="0" w:color="auto"/>
        <w:right w:val="none" w:sz="0" w:space="0" w:color="auto"/>
      </w:divBdr>
    </w:div>
    <w:div w:id="990326131">
      <w:bodyDiv w:val="1"/>
      <w:marLeft w:val="0"/>
      <w:marRight w:val="0"/>
      <w:marTop w:val="0"/>
      <w:marBottom w:val="0"/>
      <w:divBdr>
        <w:top w:val="none" w:sz="0" w:space="0" w:color="auto"/>
        <w:left w:val="none" w:sz="0" w:space="0" w:color="auto"/>
        <w:bottom w:val="none" w:sz="0" w:space="0" w:color="auto"/>
        <w:right w:val="none" w:sz="0" w:space="0" w:color="auto"/>
      </w:divBdr>
    </w:div>
    <w:div w:id="102564192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366560320">
      <w:bodyDiv w:val="1"/>
      <w:marLeft w:val="0"/>
      <w:marRight w:val="0"/>
      <w:marTop w:val="0"/>
      <w:marBottom w:val="0"/>
      <w:divBdr>
        <w:top w:val="none" w:sz="0" w:space="0" w:color="auto"/>
        <w:left w:val="none" w:sz="0" w:space="0" w:color="auto"/>
        <w:bottom w:val="none" w:sz="0" w:space="0" w:color="auto"/>
        <w:right w:val="none" w:sz="0" w:space="0" w:color="auto"/>
      </w:divBdr>
    </w:div>
    <w:div w:id="1373339178">
      <w:bodyDiv w:val="1"/>
      <w:marLeft w:val="0"/>
      <w:marRight w:val="0"/>
      <w:marTop w:val="0"/>
      <w:marBottom w:val="0"/>
      <w:divBdr>
        <w:top w:val="none" w:sz="0" w:space="0" w:color="auto"/>
        <w:left w:val="none" w:sz="0" w:space="0" w:color="auto"/>
        <w:bottom w:val="none" w:sz="0" w:space="0" w:color="auto"/>
        <w:right w:val="none" w:sz="0" w:space="0" w:color="auto"/>
      </w:divBdr>
    </w:div>
    <w:div w:id="1447193901">
      <w:bodyDiv w:val="1"/>
      <w:marLeft w:val="0"/>
      <w:marRight w:val="0"/>
      <w:marTop w:val="0"/>
      <w:marBottom w:val="0"/>
      <w:divBdr>
        <w:top w:val="none" w:sz="0" w:space="0" w:color="auto"/>
        <w:left w:val="none" w:sz="0" w:space="0" w:color="auto"/>
        <w:bottom w:val="none" w:sz="0" w:space="0" w:color="auto"/>
        <w:right w:val="none" w:sz="0" w:space="0" w:color="auto"/>
      </w:divBdr>
    </w:div>
    <w:div w:id="1638877016">
      <w:bodyDiv w:val="1"/>
      <w:marLeft w:val="0"/>
      <w:marRight w:val="0"/>
      <w:marTop w:val="0"/>
      <w:marBottom w:val="0"/>
      <w:divBdr>
        <w:top w:val="none" w:sz="0" w:space="0" w:color="auto"/>
        <w:left w:val="none" w:sz="0" w:space="0" w:color="auto"/>
        <w:bottom w:val="none" w:sz="0" w:space="0" w:color="auto"/>
        <w:right w:val="none" w:sz="0" w:space="0" w:color="auto"/>
      </w:divBdr>
    </w:div>
    <w:div w:id="18803617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community.icann.org/download/attachments/64077605/Draft%20-%20TMCH%20Next%20Steps%20Table%20-%2030%20March%202017%20copy.docx?version=1&amp;modificationDate=1491259559000&amp;api=v2" TargetMode="External"/><Relationship Id="rId5" Type="http://schemas.openxmlformats.org/officeDocument/2006/relationships/hyperlink" Target="https://community.icann.org/x/Jb-RAw"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Mary Wong</cp:lastModifiedBy>
  <cp:revision>2</cp:revision>
  <dcterms:created xsi:type="dcterms:W3CDTF">2017-04-10T20:40:00Z</dcterms:created>
  <dcterms:modified xsi:type="dcterms:W3CDTF">2017-04-10T20:40:00Z</dcterms:modified>
</cp:coreProperties>
</file>