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5EC46" w14:textId="1114B842" w:rsidR="00B131A9" w:rsidRPr="008A7C0D" w:rsidRDefault="00F22E1F" w:rsidP="00246A33">
      <w:pPr>
        <w:jc w:val="center"/>
        <w:rPr>
          <w:b/>
          <w:bCs/>
          <w:sz w:val="28"/>
          <w:szCs w:val="28"/>
          <w:u w:val="single"/>
        </w:rPr>
      </w:pPr>
      <w:r w:rsidRPr="008A7C0D">
        <w:rPr>
          <w:b/>
          <w:bCs/>
          <w:sz w:val="28"/>
          <w:szCs w:val="28"/>
          <w:u w:val="single"/>
        </w:rPr>
        <w:t xml:space="preserve">Proposal for Collection of </w:t>
      </w:r>
      <w:r w:rsidR="00CC134D">
        <w:rPr>
          <w:b/>
          <w:bCs/>
          <w:sz w:val="28"/>
          <w:szCs w:val="28"/>
          <w:u w:val="single"/>
        </w:rPr>
        <w:t xml:space="preserve">Data Relevant to a Review of the </w:t>
      </w:r>
      <w:r w:rsidRPr="008A7C0D">
        <w:rPr>
          <w:b/>
          <w:bCs/>
          <w:sz w:val="28"/>
          <w:szCs w:val="28"/>
          <w:u w:val="single"/>
        </w:rPr>
        <w:t xml:space="preserve">Sunrise </w:t>
      </w:r>
      <w:r w:rsidR="00CC134D">
        <w:rPr>
          <w:b/>
          <w:bCs/>
          <w:sz w:val="28"/>
          <w:szCs w:val="28"/>
          <w:u w:val="single"/>
        </w:rPr>
        <w:t>RPM</w:t>
      </w:r>
    </w:p>
    <w:p w14:paraId="53260568" w14:textId="77777777" w:rsidR="00F22E1F" w:rsidRDefault="00F22E1F" w:rsidP="00246A33">
      <w:pPr>
        <w:jc w:val="center"/>
      </w:pPr>
      <w:r w:rsidRPr="008A7C0D">
        <w:rPr>
          <w:b/>
          <w:bCs/>
          <w:sz w:val="28"/>
          <w:szCs w:val="28"/>
          <w:u w:val="single"/>
        </w:rPr>
        <w:t>(Draft – 1 August 2017)</w:t>
      </w:r>
    </w:p>
    <w:p w14:paraId="74AA47A9" w14:textId="77777777" w:rsidR="00F22E1F" w:rsidRDefault="00F22E1F"/>
    <w:p w14:paraId="343AE7F0" w14:textId="77777777" w:rsidR="00481C34" w:rsidRDefault="00481C34"/>
    <w:p w14:paraId="33EC68A1" w14:textId="0AAA9B89" w:rsidR="0008387E" w:rsidRDefault="00261634" w:rsidP="0008387E">
      <w:r>
        <w:t>This document is a proposal from the RPM Working Group Co-Chairs that describes various methods and approaches that can be used to collect the data as recommended by the Sunrise Sub Team. It is being presented to the full Working Group for its review and feedback</w:t>
      </w:r>
      <w:r w:rsidR="00FF1D37">
        <w:t>.</w:t>
      </w:r>
    </w:p>
    <w:p w14:paraId="5B35024F" w14:textId="77777777" w:rsidR="00232965" w:rsidRDefault="00232965" w:rsidP="0008387E"/>
    <w:p w14:paraId="272D7E2C" w14:textId="7EF2AFFB" w:rsidR="00261634" w:rsidRPr="00746FE3" w:rsidRDefault="00261634" w:rsidP="0008387E">
      <w:pPr>
        <w:rPr>
          <w:b/>
        </w:rPr>
      </w:pPr>
      <w:r w:rsidRPr="00246A33">
        <w:rPr>
          <w:b/>
          <w:u w:val="single"/>
        </w:rPr>
        <w:t>Preliminary Note</w:t>
      </w:r>
      <w:r w:rsidRPr="00746FE3">
        <w:rPr>
          <w:b/>
        </w:rPr>
        <w:t>:</w:t>
      </w:r>
    </w:p>
    <w:p w14:paraId="1BA67555" w14:textId="19DEFE82" w:rsidR="00232965" w:rsidRDefault="00261634" w:rsidP="0008387E">
      <w:r>
        <w:t>In preparing this proposal, the Co-Chairs agreed that it is very likely that some of the data sought by the Working Group will need to be collected with the aid of professional surveyors and other qualified third parties.</w:t>
      </w:r>
      <w:r w:rsidR="00232965">
        <w:t xml:space="preserve"> </w:t>
      </w:r>
      <w:r>
        <w:t xml:space="preserve">Obtaining budget </w:t>
      </w:r>
      <w:r w:rsidR="00246A33">
        <w:t xml:space="preserve">approval </w:t>
      </w:r>
      <w:r>
        <w:t xml:space="preserve">and other resources for such external assistance requires </w:t>
      </w:r>
      <w:r w:rsidR="00CE570F">
        <w:t>submission of a request to</w:t>
      </w:r>
      <w:r>
        <w:t xml:space="preserve"> the GNSO Council</w:t>
      </w:r>
      <w:r w:rsidR="00CE570F">
        <w:rPr>
          <w:rStyle w:val="FootnoteReference"/>
        </w:rPr>
        <w:footnoteReference w:id="1"/>
      </w:r>
      <w:r w:rsidR="00CE570F">
        <w:t>. In addition,</w:t>
      </w:r>
      <w:r>
        <w:t xml:space="preserve"> requests </w:t>
      </w:r>
      <w:r w:rsidR="00CE570F">
        <w:t xml:space="preserve">relating to data gathered from ICANN’s Contracted Parties </w:t>
      </w:r>
      <w:r>
        <w:t xml:space="preserve">must comply with </w:t>
      </w:r>
      <w:r w:rsidR="00232965">
        <w:t xml:space="preserve">the principles developed by </w:t>
      </w:r>
      <w:r w:rsidR="00632425">
        <w:t xml:space="preserve">the </w:t>
      </w:r>
      <w:r w:rsidR="00232965">
        <w:t>GNSO</w:t>
      </w:r>
      <w:r>
        <w:t>’s</w:t>
      </w:r>
      <w:r w:rsidR="00232965">
        <w:t xml:space="preserve"> Data &amp; Metrics for Policy Making (DMPM) Working Group.</w:t>
      </w:r>
    </w:p>
    <w:p w14:paraId="4CC0667B" w14:textId="77777777" w:rsidR="00632425" w:rsidRDefault="00632425" w:rsidP="0008387E"/>
    <w:p w14:paraId="0C284B96" w14:textId="4DCEFF75" w:rsidR="00632425" w:rsidRDefault="00632425" w:rsidP="0008387E">
      <w:r>
        <w:t xml:space="preserve">The </w:t>
      </w:r>
      <w:r w:rsidR="00CE570F">
        <w:t xml:space="preserve">non-exhaustive </w:t>
      </w:r>
      <w:r w:rsidR="00261634">
        <w:t xml:space="preserve">DMPM Principles </w:t>
      </w:r>
      <w:r w:rsidR="00CE570F">
        <w:t>governing</w:t>
      </w:r>
      <w:r w:rsidR="00261634">
        <w:t xml:space="preserve"> </w:t>
      </w:r>
      <w:r w:rsidR="00F479FB">
        <w:t>requests for and usage of data collected from ICANN’s Contracted Parties</w:t>
      </w:r>
      <w:r w:rsidR="00CE570F">
        <w:t xml:space="preserve"> are that these</w:t>
      </w:r>
      <w:r w:rsidR="00CE570F">
        <w:rPr>
          <w:rStyle w:val="FootnoteReference"/>
        </w:rPr>
        <w:footnoteReference w:id="2"/>
      </w:r>
      <w:r>
        <w:t>:</w:t>
      </w:r>
    </w:p>
    <w:p w14:paraId="6816A95F" w14:textId="77777777" w:rsidR="00632425" w:rsidRDefault="00632425" w:rsidP="0008387E"/>
    <w:p w14:paraId="2141503B" w14:textId="77777777" w:rsidR="00632425" w:rsidRDefault="00632425" w:rsidP="00632425">
      <w:pPr>
        <w:pStyle w:val="ListParagraph"/>
        <w:numPr>
          <w:ilvl w:val="0"/>
          <w:numId w:val="1"/>
        </w:numPr>
      </w:pPr>
      <w:r>
        <w:t>Should be non-discriminatory among registrars/registries and data providers listed should also be treated as confidential</w:t>
      </w:r>
    </w:p>
    <w:p w14:paraId="4450BC81" w14:textId="77777777" w:rsidR="00632425" w:rsidRDefault="00632425" w:rsidP="00632425">
      <w:pPr>
        <w:pStyle w:val="ListParagraph"/>
        <w:numPr>
          <w:ilvl w:val="0"/>
          <w:numId w:val="1"/>
        </w:numPr>
      </w:pPr>
      <w:r>
        <w:t>Should clearly state the purpose for which the data and/or metrics will be used</w:t>
      </w:r>
    </w:p>
    <w:p w14:paraId="736BC1A6" w14:textId="77777777" w:rsidR="00632425" w:rsidRDefault="00632425" w:rsidP="00632425">
      <w:pPr>
        <w:pStyle w:val="ListParagraph"/>
        <w:numPr>
          <w:ilvl w:val="0"/>
          <w:numId w:val="1"/>
        </w:numPr>
      </w:pPr>
      <w:r>
        <w:t>Should maintain the confidentiality of the data and/or metrics unless otherwise agreed</w:t>
      </w:r>
    </w:p>
    <w:p w14:paraId="0C569141" w14:textId="77777777" w:rsidR="00632425" w:rsidRDefault="00632425" w:rsidP="00632425">
      <w:pPr>
        <w:pStyle w:val="ListParagraph"/>
        <w:numPr>
          <w:ilvl w:val="0"/>
          <w:numId w:val="1"/>
        </w:numPr>
      </w:pPr>
      <w:r>
        <w:t>Should be anonymized and aggregated, unless otherwise agreed</w:t>
      </w:r>
    </w:p>
    <w:p w14:paraId="64A72356" w14:textId="2572905F" w:rsidR="00632425" w:rsidRDefault="00CE570F" w:rsidP="00632425">
      <w:pPr>
        <w:pStyle w:val="ListParagraph"/>
        <w:numPr>
          <w:ilvl w:val="0"/>
          <w:numId w:val="1"/>
        </w:numPr>
      </w:pPr>
      <w:r>
        <w:t xml:space="preserve">Should provide </w:t>
      </w:r>
      <w:r w:rsidR="00632425">
        <w:t>adequate safeguards to protect against unauthorized access or disclosure, consistent with ICANN’s policy development process</w:t>
      </w:r>
    </w:p>
    <w:p w14:paraId="14BB6AFD" w14:textId="371953FF" w:rsidR="00632425" w:rsidRDefault="00CE570F" w:rsidP="00632425">
      <w:pPr>
        <w:pStyle w:val="ListParagraph"/>
        <w:numPr>
          <w:ilvl w:val="0"/>
          <w:numId w:val="1"/>
        </w:numPr>
      </w:pPr>
      <w:r>
        <w:t xml:space="preserve">Should consider </w:t>
      </w:r>
      <w:r w:rsidR="00632425">
        <w:t>whether the data can be collected directly by ICANN or indirectly (i.e., collected and processed by an independent third-party)</w:t>
      </w:r>
    </w:p>
    <w:p w14:paraId="2EBAA302" w14:textId="6F190453" w:rsidR="00632425" w:rsidRDefault="00CE570F" w:rsidP="00632425">
      <w:pPr>
        <w:pStyle w:val="ListParagraph"/>
        <w:numPr>
          <w:ilvl w:val="0"/>
          <w:numId w:val="1"/>
        </w:numPr>
      </w:pPr>
      <w:r>
        <w:lastRenderedPageBreak/>
        <w:t xml:space="preserve">Should not include retail </w:t>
      </w:r>
      <w:r w:rsidR="00632425">
        <w:t xml:space="preserve">and wholesale pricing </w:t>
      </w:r>
      <w:r>
        <w:t>to be</w:t>
      </w:r>
      <w:r w:rsidR="00632425">
        <w:t xml:space="preserve"> use</w:t>
      </w:r>
      <w:r>
        <w:t>d</w:t>
      </w:r>
      <w:r w:rsidR="00632425">
        <w:t xml:space="preserve"> in consensus policy development (refer to Registry &amp; Registrar agreements)</w:t>
      </w:r>
    </w:p>
    <w:p w14:paraId="790135B3" w14:textId="285AA61F" w:rsidR="00632425" w:rsidRDefault="00CE570F" w:rsidP="00632425">
      <w:pPr>
        <w:pStyle w:val="ListParagraph"/>
        <w:numPr>
          <w:ilvl w:val="0"/>
          <w:numId w:val="1"/>
        </w:numPr>
      </w:pPr>
      <w:r>
        <w:t xml:space="preserve">Should involve special </w:t>
      </w:r>
      <w:r w:rsidR="00632425">
        <w:t>when Personally Identifiable Information (PII) data is involved</w:t>
      </w:r>
    </w:p>
    <w:p w14:paraId="59070736" w14:textId="79E72AD4" w:rsidR="00632425" w:rsidRDefault="00CE570F" w:rsidP="00632425">
      <w:pPr>
        <w:pStyle w:val="ListParagraph"/>
        <w:numPr>
          <w:ilvl w:val="0"/>
          <w:numId w:val="1"/>
        </w:numPr>
      </w:pPr>
      <w:r>
        <w:t>Should store data for</w:t>
      </w:r>
      <w:r w:rsidR="00632425">
        <w:t xml:space="preserve"> only so long as</w:t>
      </w:r>
      <w:r>
        <w:t xml:space="preserve"> may be</w:t>
      </w:r>
      <w:r w:rsidR="00632425">
        <w:t xml:space="preserve"> required for the specified policy development effort, and should be destroyed upon completion</w:t>
      </w:r>
    </w:p>
    <w:p w14:paraId="7EBB701F" w14:textId="4D78B9DD" w:rsidR="008A7C0D" w:rsidRDefault="00CE570F" w:rsidP="00746FE3">
      <w:pPr>
        <w:pStyle w:val="ListParagraph"/>
        <w:numPr>
          <w:ilvl w:val="0"/>
          <w:numId w:val="1"/>
        </w:numPr>
      </w:pPr>
      <w:r>
        <w:t xml:space="preserve">Should have a unilateral opt out for data source owners, where </w:t>
      </w:r>
      <w:r w:rsidR="00632425">
        <w:t>data do</w:t>
      </w:r>
      <w:r>
        <w:t>es</w:t>
      </w:r>
      <w:r w:rsidR="00632425">
        <w:t xml:space="preserve"> not have contractual obligations, if they determine that the data is sensitive</w:t>
      </w:r>
    </w:p>
    <w:p w14:paraId="2CE87039" w14:textId="77777777" w:rsidR="00CE570F" w:rsidRDefault="00CE570F" w:rsidP="00CE570F"/>
    <w:p w14:paraId="334BB53D" w14:textId="01B533B0" w:rsidR="00CE570F" w:rsidRPr="00CE570F" w:rsidRDefault="00CE570F" w:rsidP="00CE570F">
      <w:r>
        <w:t xml:space="preserve">In addition, the DMPM Working Group developed a </w:t>
      </w:r>
      <w:hyperlink r:id="rId7" w:history="1">
        <w:r w:rsidRPr="00632425">
          <w:rPr>
            <w:rStyle w:val="Hyperlink"/>
          </w:rPr>
          <w:t>Metrics Request Decision Tree</w:t>
        </w:r>
      </w:hyperlink>
      <w:r>
        <w:rPr>
          <w:rStyle w:val="FootnoteReference"/>
          <w:color w:val="0563C1" w:themeColor="hyperlink"/>
          <w:u w:val="single"/>
        </w:rPr>
        <w:footnoteReference w:id="3"/>
      </w:r>
      <w:r>
        <w:rPr>
          <w:rStyle w:val="Hyperlink"/>
        </w:rPr>
        <w:t xml:space="preserve"> </w:t>
      </w:r>
      <w:r>
        <w:t>that was intended to guide</w:t>
      </w:r>
      <w:r w:rsidRPr="00CE570F">
        <w:t xml:space="preserve"> </w:t>
      </w:r>
      <w:r>
        <w:t>a requesting Working Group’s understanding as to</w:t>
      </w:r>
      <w:r w:rsidRPr="00CE570F">
        <w:t xml:space="preserve"> the availability and considerations for potential sources of data </w:t>
      </w:r>
      <w:r>
        <w:t>where these are</w:t>
      </w:r>
      <w:r w:rsidRPr="00CE570F">
        <w:t xml:space="preserve"> not be publicly available</w:t>
      </w:r>
    </w:p>
    <w:p w14:paraId="2394A265" w14:textId="22325169" w:rsidR="00CE570F" w:rsidRDefault="00CE570F" w:rsidP="008A7C0D"/>
    <w:p w14:paraId="1826C3CD" w14:textId="77777777" w:rsidR="00CE570F" w:rsidRDefault="00CE570F" w:rsidP="008A7C0D"/>
    <w:p w14:paraId="7A19CF92" w14:textId="36F1ECA3" w:rsidR="00BA4E80" w:rsidRPr="00746FE3" w:rsidRDefault="00B131A9" w:rsidP="00BA4E80">
      <w:pPr>
        <w:rPr>
          <w:b/>
          <w:u w:val="single"/>
        </w:rPr>
      </w:pPr>
      <w:r w:rsidRPr="00746FE3">
        <w:rPr>
          <w:b/>
          <w:u w:val="single"/>
        </w:rPr>
        <w:t xml:space="preserve">Proposals &amp; Comments for Data Collection Correlated to Specific </w:t>
      </w:r>
      <w:r w:rsidR="00BA4E80" w:rsidRPr="00746FE3">
        <w:rPr>
          <w:b/>
          <w:u w:val="single"/>
        </w:rPr>
        <w:t>Sunrise Registrations Charter Questions</w:t>
      </w:r>
    </w:p>
    <w:p w14:paraId="1AD676CE" w14:textId="77777777" w:rsidR="00246A33" w:rsidRDefault="00246A33" w:rsidP="001C36FF"/>
    <w:p w14:paraId="24666C14" w14:textId="3F5A31F7" w:rsidR="00BA4E80" w:rsidRDefault="003906D7" w:rsidP="001C36FF">
      <w:r>
        <w:t xml:space="preserve">This section of the proposal lists the </w:t>
      </w:r>
      <w:r w:rsidR="00B131A9">
        <w:t xml:space="preserve">refined </w:t>
      </w:r>
      <w:r>
        <w:t>Charter questions specific to Sunrise Registrations</w:t>
      </w:r>
      <w:r w:rsidR="001C36FF">
        <w:t xml:space="preserve"> </w:t>
      </w:r>
      <w:r w:rsidR="00B131A9">
        <w:t>followed by</w:t>
      </w:r>
      <w:r w:rsidR="005E154C">
        <w:t xml:space="preserve"> sources</w:t>
      </w:r>
      <w:r w:rsidR="00B131A9">
        <w:t xml:space="preserve"> identified</w:t>
      </w:r>
      <w:r w:rsidR="005E154C">
        <w:t xml:space="preserve"> for</w:t>
      </w:r>
      <w:r w:rsidR="00B131A9">
        <w:t xml:space="preserve"> possible data</w:t>
      </w:r>
      <w:r w:rsidR="005E154C">
        <w:t xml:space="preserve"> collection</w:t>
      </w:r>
      <w:r w:rsidR="00B131A9">
        <w:t>, suggested methodologies and additional comments</w:t>
      </w:r>
      <w:r w:rsidR="001C36FF">
        <w:t>.</w:t>
      </w:r>
    </w:p>
    <w:p w14:paraId="0F52B0BC" w14:textId="77777777" w:rsidR="001C36FF" w:rsidRDefault="001C36FF" w:rsidP="001C36FF"/>
    <w:p w14:paraId="1A6129BD" w14:textId="1B6DCCBB" w:rsidR="00A70744" w:rsidRDefault="00A70744" w:rsidP="001C36FF">
      <w:r w:rsidRPr="00A70744">
        <w:t xml:space="preserve">With the exception of the factual data published on ICANN’s New </w:t>
      </w:r>
      <w:proofErr w:type="spellStart"/>
      <w:r w:rsidRPr="00A70744">
        <w:t>gTLD</w:t>
      </w:r>
      <w:proofErr w:type="spellEnd"/>
      <w:r w:rsidRPr="00A70744">
        <w:t xml:space="preserve"> Startup Page (which is publicly available data), all the other data that has been identified for collection is external to ICANN. Some of these are to be collected from ICANN’s Contracted Parties, and some may not be considered publicly available data. Under the GNSO Working Group Guidelines, the Working Group will need to use the Metrics Request Decision Tree developed by the DMPM Working Group to assist with its preparation of any request to the GNSO Council for third party data collection</w:t>
      </w:r>
    </w:p>
    <w:p w14:paraId="64B1F717" w14:textId="77777777" w:rsidR="00A70744" w:rsidRDefault="00A70744" w:rsidP="001C36FF"/>
    <w:p w14:paraId="51DC797B" w14:textId="77777777" w:rsidR="001C36FF" w:rsidRPr="001C36FF" w:rsidRDefault="001C36FF" w:rsidP="001C36FF">
      <w:pPr>
        <w:rPr>
          <w:b/>
          <w:bCs/>
        </w:rPr>
      </w:pPr>
      <w:r w:rsidRPr="001C36FF">
        <w:rPr>
          <w:b/>
          <w:bCs/>
        </w:rPr>
        <w:t>Question 2:</w:t>
      </w:r>
    </w:p>
    <w:p w14:paraId="122D3941" w14:textId="4722482B" w:rsidR="001C36FF" w:rsidRPr="001C36FF" w:rsidRDefault="001C36FF" w:rsidP="001C36FF">
      <w:pPr>
        <w:numPr>
          <w:ilvl w:val="0"/>
          <w:numId w:val="3"/>
        </w:numPr>
      </w:pPr>
      <w:r w:rsidRPr="001C36FF">
        <w:t xml:space="preserve">Does Registry Sunrise or </w:t>
      </w:r>
      <w:r w:rsidR="006B4923">
        <w:t>P</w:t>
      </w:r>
      <w:r w:rsidR="006B4923" w:rsidRPr="001C36FF">
        <w:t xml:space="preserve">remium </w:t>
      </w:r>
      <w:r w:rsidR="006B4923">
        <w:t>N</w:t>
      </w:r>
      <w:r w:rsidR="006B4923" w:rsidRPr="001C36FF">
        <w:t xml:space="preserve">ame </w:t>
      </w:r>
      <w:r w:rsidRPr="001C36FF">
        <w:t xml:space="preserve">pricing </w:t>
      </w:r>
      <w:r w:rsidR="006B4923">
        <w:t xml:space="preserve">practices </w:t>
      </w:r>
      <w:r w:rsidRPr="001C36FF">
        <w:t xml:space="preserve">unfairly limit the ability of trademark owners to participate during Sunrise? </w:t>
      </w:r>
    </w:p>
    <w:p w14:paraId="6BFA36B9" w14:textId="77777777" w:rsidR="001C36FF" w:rsidRPr="001C36FF" w:rsidRDefault="001C36FF" w:rsidP="001C36FF">
      <w:pPr>
        <w:numPr>
          <w:ilvl w:val="0"/>
          <w:numId w:val="3"/>
        </w:numPr>
      </w:pPr>
      <w:r w:rsidRPr="001C36FF">
        <w:t>If so, how extensive is this problem?</w:t>
      </w:r>
    </w:p>
    <w:p w14:paraId="79123550" w14:textId="77777777" w:rsidR="001C36FF" w:rsidRPr="001C36FF" w:rsidRDefault="001C36FF" w:rsidP="001C36FF">
      <w:pPr>
        <w:rPr>
          <w:u w:val="single"/>
        </w:rPr>
      </w:pPr>
    </w:p>
    <w:tbl>
      <w:tblPr>
        <w:tblStyle w:val="TableGrid"/>
        <w:tblW w:w="0" w:type="auto"/>
        <w:tblLook w:val="04A0" w:firstRow="1" w:lastRow="0" w:firstColumn="1" w:lastColumn="0" w:noHBand="0" w:noVBand="1"/>
      </w:tblPr>
      <w:tblGrid>
        <w:gridCol w:w="3732"/>
        <w:gridCol w:w="6361"/>
        <w:gridCol w:w="2857"/>
      </w:tblGrid>
      <w:tr w:rsidR="00B131A9" w:rsidRPr="00246A33" w14:paraId="1F9ADA20" w14:textId="77777777" w:rsidTr="00246A33">
        <w:tc>
          <w:tcPr>
            <w:tcW w:w="0" w:type="auto"/>
            <w:shd w:val="clear" w:color="auto" w:fill="D9E2F3" w:themeFill="accent1" w:themeFillTint="33"/>
          </w:tcPr>
          <w:p w14:paraId="07631390" w14:textId="6E95D1C7" w:rsidR="00AD0FC9" w:rsidRPr="00246A33" w:rsidRDefault="00EB416F" w:rsidP="001C36FF">
            <w:pPr>
              <w:rPr>
                <w:b/>
              </w:rPr>
            </w:pPr>
            <w:r w:rsidRPr="00246A33">
              <w:rPr>
                <w:b/>
              </w:rPr>
              <w:lastRenderedPageBreak/>
              <w:t>Source</w:t>
            </w:r>
          </w:p>
        </w:tc>
        <w:tc>
          <w:tcPr>
            <w:tcW w:w="0" w:type="auto"/>
            <w:shd w:val="clear" w:color="auto" w:fill="D9E2F3" w:themeFill="accent1" w:themeFillTint="33"/>
          </w:tcPr>
          <w:p w14:paraId="7EF2262B" w14:textId="19825B2E" w:rsidR="00AD0FC9" w:rsidRPr="00246A33" w:rsidRDefault="00AD0FC9" w:rsidP="001C36FF">
            <w:pPr>
              <w:rPr>
                <w:b/>
              </w:rPr>
            </w:pPr>
            <w:r w:rsidRPr="00246A33">
              <w:rPr>
                <w:b/>
              </w:rPr>
              <w:t>Possible approach/methodology</w:t>
            </w:r>
          </w:p>
        </w:tc>
        <w:tc>
          <w:tcPr>
            <w:tcW w:w="0" w:type="auto"/>
            <w:shd w:val="clear" w:color="auto" w:fill="D9E2F3" w:themeFill="accent1" w:themeFillTint="33"/>
          </w:tcPr>
          <w:p w14:paraId="2AAF3BEE" w14:textId="38F0AAC9" w:rsidR="00AD0FC9" w:rsidRPr="00246A33" w:rsidRDefault="00AD0FC9" w:rsidP="001C36FF">
            <w:pPr>
              <w:rPr>
                <w:b/>
              </w:rPr>
            </w:pPr>
            <w:r w:rsidRPr="00246A33">
              <w:rPr>
                <w:b/>
              </w:rPr>
              <w:t>Comments</w:t>
            </w:r>
          </w:p>
        </w:tc>
      </w:tr>
      <w:tr w:rsidR="00B131A9" w:rsidRPr="00246A33" w14:paraId="5ABE3F94" w14:textId="77777777" w:rsidTr="00AD0FC9">
        <w:trPr>
          <w:trHeight w:val="620"/>
        </w:trPr>
        <w:tc>
          <w:tcPr>
            <w:tcW w:w="0" w:type="auto"/>
          </w:tcPr>
          <w:p w14:paraId="205D0946" w14:textId="77777777" w:rsidR="00AD0FC9" w:rsidRPr="00246A33" w:rsidRDefault="00AD0FC9" w:rsidP="00AD0FC9">
            <w:pPr>
              <w:numPr>
                <w:ilvl w:val="0"/>
                <w:numId w:val="8"/>
              </w:numPr>
            </w:pPr>
            <w:r w:rsidRPr="00246A33">
              <w:t>International Trademark Association (INTA) Survey – external to ICANN</w:t>
            </w:r>
          </w:p>
          <w:p w14:paraId="282433B5" w14:textId="77777777" w:rsidR="00AD0FC9" w:rsidRPr="00246A33" w:rsidRDefault="00AD0FC9" w:rsidP="00746FE3">
            <w:pPr>
              <w:pStyle w:val="ListParagraph"/>
              <w:numPr>
                <w:ilvl w:val="0"/>
                <w:numId w:val="24"/>
              </w:numPr>
            </w:pPr>
            <w:r w:rsidRPr="00246A33">
              <w:t xml:space="preserve">This 2017 impact survey of INTA members requested that they report their costs of trademark enforcement relative to domain registrations in new </w:t>
            </w:r>
            <w:proofErr w:type="spellStart"/>
            <w:r w:rsidRPr="00246A33">
              <w:t>gTLDs</w:t>
            </w:r>
            <w:proofErr w:type="spellEnd"/>
            <w:r w:rsidRPr="00246A33">
              <w:t xml:space="preserve"> over a two-year period (2015 – 2017), including:</w:t>
            </w:r>
          </w:p>
          <w:p w14:paraId="0FE06EB0" w14:textId="77777777" w:rsidR="00AD0FC9" w:rsidRPr="00246A33" w:rsidRDefault="00AD0FC9" w:rsidP="00746FE3">
            <w:pPr>
              <w:numPr>
                <w:ilvl w:val="1"/>
                <w:numId w:val="8"/>
              </w:numPr>
            </w:pPr>
            <w:r w:rsidRPr="00246A33">
              <w:t>Both in-house and outside legal fees</w:t>
            </w:r>
          </w:p>
          <w:p w14:paraId="300317CD" w14:textId="77777777" w:rsidR="00AD0FC9" w:rsidRPr="00246A33" w:rsidRDefault="00AD0FC9" w:rsidP="00746FE3">
            <w:pPr>
              <w:numPr>
                <w:ilvl w:val="1"/>
                <w:numId w:val="8"/>
              </w:numPr>
            </w:pPr>
            <w:r w:rsidRPr="00246A33">
              <w:t>Filing fees</w:t>
            </w:r>
          </w:p>
          <w:p w14:paraId="01B4E05A" w14:textId="77777777" w:rsidR="00AD0FC9" w:rsidRPr="00246A33" w:rsidRDefault="00AD0FC9" w:rsidP="00746FE3">
            <w:pPr>
              <w:numPr>
                <w:ilvl w:val="1"/>
                <w:numId w:val="8"/>
              </w:numPr>
            </w:pPr>
            <w:r w:rsidRPr="00246A33">
              <w:t>Investigation costs</w:t>
            </w:r>
          </w:p>
          <w:p w14:paraId="5B27615E" w14:textId="77777777" w:rsidR="00AD0FC9" w:rsidRPr="00246A33" w:rsidRDefault="00AD0FC9" w:rsidP="00746FE3">
            <w:pPr>
              <w:pStyle w:val="ListParagraph"/>
              <w:numPr>
                <w:ilvl w:val="1"/>
                <w:numId w:val="8"/>
              </w:numPr>
            </w:pPr>
            <w:r w:rsidRPr="00246A33">
              <w:t>Total costs, including benefits, of personnel responsible for these activities.</w:t>
            </w:r>
          </w:p>
          <w:p w14:paraId="12AECE1A" w14:textId="130F9E1C" w:rsidR="00EB416F" w:rsidRPr="00246A33" w:rsidRDefault="00EB416F" w:rsidP="00746FE3">
            <w:pPr>
              <w:ind w:left="720"/>
            </w:pPr>
          </w:p>
        </w:tc>
        <w:tc>
          <w:tcPr>
            <w:tcW w:w="0" w:type="auto"/>
          </w:tcPr>
          <w:p w14:paraId="3A382620" w14:textId="77777777" w:rsidR="00AD0FC9" w:rsidRPr="00246A33" w:rsidRDefault="00AD0FC9" w:rsidP="001C36FF">
            <w:r w:rsidRPr="00246A33">
              <w:t>ICANN staff (possibly working with INTA and Sunrise Sub Team members) to analyze survey results to:</w:t>
            </w:r>
          </w:p>
          <w:p w14:paraId="092E1699" w14:textId="77777777" w:rsidR="00AD0FC9" w:rsidRPr="00246A33" w:rsidRDefault="00AD0FC9" w:rsidP="00746FE3">
            <w:pPr>
              <w:pStyle w:val="ListParagraph"/>
              <w:numPr>
                <w:ilvl w:val="0"/>
                <w:numId w:val="18"/>
              </w:numPr>
            </w:pPr>
            <w:r w:rsidRPr="00246A33">
              <w:t>Report findings to the Working Group</w:t>
            </w:r>
          </w:p>
          <w:p w14:paraId="57257211" w14:textId="6756887B" w:rsidR="00AD0FC9" w:rsidRPr="00246A33" w:rsidRDefault="00AD0FC9" w:rsidP="00746FE3">
            <w:pPr>
              <w:pStyle w:val="ListParagraph"/>
              <w:numPr>
                <w:ilvl w:val="0"/>
                <w:numId w:val="18"/>
              </w:numPr>
            </w:pPr>
            <w:r w:rsidRPr="00246A33">
              <w:t>Identify possible gaps or need for additional/follow up information that can be sought from INTA members participating in this Working Group</w:t>
            </w:r>
          </w:p>
        </w:tc>
        <w:tc>
          <w:tcPr>
            <w:tcW w:w="0" w:type="auto"/>
          </w:tcPr>
          <w:p w14:paraId="13E35C11" w14:textId="77777777" w:rsidR="00AD0FC9" w:rsidRPr="00246A33" w:rsidRDefault="00AD0FC9" w:rsidP="00EB416F">
            <w:r w:rsidRPr="00246A33">
              <w:t>This can be done immediately</w:t>
            </w:r>
          </w:p>
          <w:p w14:paraId="144FB732" w14:textId="77777777" w:rsidR="00AD0FC9" w:rsidRPr="00246A33" w:rsidRDefault="00AD0FC9" w:rsidP="001C36FF"/>
          <w:p w14:paraId="5295DFF9" w14:textId="022B9C1A" w:rsidR="00AD0FC9" w:rsidRPr="00246A33" w:rsidRDefault="00AD0FC9" w:rsidP="00B131A9">
            <w:r w:rsidRPr="00246A33">
              <w:t xml:space="preserve">Findings </w:t>
            </w:r>
            <w:r w:rsidR="00B131A9" w:rsidRPr="00246A33">
              <w:t>should also</w:t>
            </w:r>
            <w:r w:rsidRPr="00246A33">
              <w:t xml:space="preserve"> be </w:t>
            </w:r>
            <w:r w:rsidR="00B131A9" w:rsidRPr="00246A33">
              <w:t>analyzed along with</w:t>
            </w:r>
            <w:r w:rsidRPr="00246A33">
              <w:t xml:space="preserve"> the upcoming Final Report from the CCT-RT (due Aug/Sept 2017)</w:t>
            </w:r>
            <w:r w:rsidR="00B131A9" w:rsidRPr="00246A33">
              <w:t>, as the INTA survey results have been shared with the CCT-RT as well</w:t>
            </w:r>
          </w:p>
        </w:tc>
      </w:tr>
      <w:tr w:rsidR="00B131A9" w:rsidRPr="00246A33" w14:paraId="7A9E23C7" w14:textId="77777777" w:rsidTr="00AD0FC9">
        <w:tc>
          <w:tcPr>
            <w:tcW w:w="0" w:type="auto"/>
          </w:tcPr>
          <w:p w14:paraId="4F99EEBA" w14:textId="45964E6F" w:rsidR="00AD0FC9" w:rsidRPr="00246A33" w:rsidRDefault="00AD0FC9" w:rsidP="00746FE3">
            <w:pPr>
              <w:pStyle w:val="ListParagraph"/>
              <w:numPr>
                <w:ilvl w:val="0"/>
                <w:numId w:val="8"/>
              </w:numPr>
            </w:pPr>
            <w:r w:rsidRPr="00246A33">
              <w:t>Anecdotal evidence from TM owners</w:t>
            </w:r>
          </w:p>
        </w:tc>
        <w:tc>
          <w:tcPr>
            <w:tcW w:w="0" w:type="auto"/>
          </w:tcPr>
          <w:p w14:paraId="324BC248" w14:textId="77777777" w:rsidR="00AD0FC9" w:rsidRPr="00246A33" w:rsidRDefault="00AD0FC9" w:rsidP="001C36FF">
            <w:r w:rsidRPr="00246A33">
              <w:t>Survey</w:t>
            </w:r>
          </w:p>
          <w:p w14:paraId="38A6D958" w14:textId="331C85F2" w:rsidR="00AD0FC9" w:rsidRPr="00246A33" w:rsidRDefault="00AD0FC9" w:rsidP="00746FE3">
            <w:pPr>
              <w:pStyle w:val="ListParagraph"/>
              <w:numPr>
                <w:ilvl w:val="0"/>
                <w:numId w:val="19"/>
              </w:numPr>
            </w:pPr>
            <w:r w:rsidRPr="00246A33">
              <w:t xml:space="preserve">Need to </w:t>
            </w:r>
            <w:r w:rsidR="00E02782" w:rsidRPr="00246A33">
              <w:t xml:space="preserve">first </w:t>
            </w:r>
            <w:r w:rsidRPr="00246A33">
              <w:t>develop appropriate survey questions</w:t>
            </w:r>
          </w:p>
          <w:p w14:paraId="614EFB51" w14:textId="20C802E4" w:rsidR="00AD0FC9" w:rsidRPr="00246A33" w:rsidRDefault="00AD0FC9" w:rsidP="00746FE3">
            <w:pPr>
              <w:pStyle w:val="ListParagraph"/>
              <w:numPr>
                <w:ilvl w:val="0"/>
                <w:numId w:val="19"/>
              </w:numPr>
            </w:pPr>
            <w:r w:rsidRPr="00246A33">
              <w:t>Need to decide if professional assistance is required</w:t>
            </w:r>
            <w:r w:rsidR="00E02782" w:rsidRPr="00246A33">
              <w:t xml:space="preserve"> to design and/or carry out survey</w:t>
            </w:r>
            <w:r w:rsidRPr="00246A33">
              <w:t xml:space="preserve"> (as opposed to merely desirable – NOTE: If results are to be anonymized, does this mean ICANN staff should not conduct the survey?)</w:t>
            </w:r>
          </w:p>
          <w:p w14:paraId="5F6826DE" w14:textId="77777777" w:rsidR="00AD0FC9" w:rsidRPr="00246A33" w:rsidRDefault="00AD0FC9" w:rsidP="00AD0FC9"/>
        </w:tc>
        <w:tc>
          <w:tcPr>
            <w:tcW w:w="0" w:type="auto"/>
          </w:tcPr>
          <w:p w14:paraId="2DC05164" w14:textId="57497C07" w:rsidR="00AD0FC9" w:rsidRPr="00246A33" w:rsidRDefault="00E02782" w:rsidP="001C36FF">
            <w:r w:rsidRPr="00246A33">
              <w:t xml:space="preserve">Consider </w:t>
            </w:r>
            <w:r w:rsidR="00B131A9" w:rsidRPr="00246A33">
              <w:t xml:space="preserve">first </w:t>
            </w:r>
            <w:r w:rsidRPr="00246A33">
              <w:t>s</w:t>
            </w:r>
            <w:r w:rsidR="00AD0FC9" w:rsidRPr="00246A33">
              <w:t>eek</w:t>
            </w:r>
            <w:r w:rsidRPr="00246A33">
              <w:t>ing</w:t>
            </w:r>
            <w:r w:rsidR="00AD0FC9" w:rsidRPr="00246A33">
              <w:t xml:space="preserve"> feedback from TM owners/advisors participating in the PDP as to</w:t>
            </w:r>
            <w:r w:rsidR="00B131A9" w:rsidRPr="00246A33">
              <w:t xml:space="preserve"> the</w:t>
            </w:r>
            <w:r w:rsidR="00AD0FC9" w:rsidRPr="00246A33">
              <w:t xml:space="preserve"> feasibility and </w:t>
            </w:r>
            <w:r w:rsidR="00B131A9" w:rsidRPr="00246A33">
              <w:t xml:space="preserve">possible </w:t>
            </w:r>
            <w:r w:rsidR="00AD0FC9" w:rsidRPr="00246A33">
              <w:t>scope of such a survey</w:t>
            </w:r>
          </w:p>
          <w:p w14:paraId="45FF2D10" w14:textId="77777777" w:rsidR="00E02782" w:rsidRPr="00246A33" w:rsidRDefault="00E02782" w:rsidP="001C36FF"/>
          <w:p w14:paraId="3423B7A0" w14:textId="7356FD0F" w:rsidR="00E02782" w:rsidRPr="00246A33" w:rsidRDefault="00E02782" w:rsidP="001C36FF">
            <w:r w:rsidRPr="00246A33">
              <w:t xml:space="preserve">If professional assistance is needed, </w:t>
            </w:r>
            <w:r w:rsidR="00B131A9" w:rsidRPr="00246A33">
              <w:t xml:space="preserve">the WG Co-Chairs </w:t>
            </w:r>
            <w:r w:rsidR="00B131A9" w:rsidRPr="00246A33">
              <w:lastRenderedPageBreak/>
              <w:t xml:space="preserve">will </w:t>
            </w:r>
            <w:r w:rsidRPr="00246A33">
              <w:t xml:space="preserve">need also to submit </w:t>
            </w:r>
            <w:r w:rsidR="00B131A9" w:rsidRPr="00246A33">
              <w:t xml:space="preserve">a </w:t>
            </w:r>
            <w:r w:rsidRPr="00246A33">
              <w:t xml:space="preserve">detailed request (with estimated costs) to </w:t>
            </w:r>
            <w:r w:rsidR="00B131A9" w:rsidRPr="00246A33">
              <w:t xml:space="preserve">the </w:t>
            </w:r>
            <w:r w:rsidRPr="00246A33">
              <w:t>GNSO Council</w:t>
            </w:r>
          </w:p>
          <w:p w14:paraId="39A7EF8F" w14:textId="6970A071" w:rsidR="00E02782" w:rsidRPr="00246A33" w:rsidRDefault="00E02782" w:rsidP="001C36FF"/>
        </w:tc>
      </w:tr>
      <w:tr w:rsidR="00B131A9" w:rsidRPr="00246A33" w14:paraId="62E55B10" w14:textId="77777777" w:rsidTr="00AD0FC9">
        <w:tc>
          <w:tcPr>
            <w:tcW w:w="0" w:type="auto"/>
          </w:tcPr>
          <w:p w14:paraId="015F2266" w14:textId="594843F3" w:rsidR="00AD0FC9" w:rsidRPr="00246A33" w:rsidRDefault="00AD0FC9" w:rsidP="00746FE3">
            <w:pPr>
              <w:pStyle w:val="ListParagraph"/>
              <w:numPr>
                <w:ilvl w:val="0"/>
                <w:numId w:val="8"/>
              </w:numPr>
            </w:pPr>
            <w:r w:rsidRPr="00246A33">
              <w:lastRenderedPageBreak/>
              <w:t>Anecdotal evidence from registry operators</w:t>
            </w:r>
          </w:p>
        </w:tc>
        <w:tc>
          <w:tcPr>
            <w:tcW w:w="0" w:type="auto"/>
          </w:tcPr>
          <w:p w14:paraId="6935DFA4" w14:textId="77777777" w:rsidR="00AD0FC9" w:rsidRPr="00246A33" w:rsidRDefault="00AD0FC9" w:rsidP="001C36FF">
            <w:r w:rsidRPr="00246A33">
              <w:t>Survey</w:t>
            </w:r>
          </w:p>
          <w:p w14:paraId="02ED28F6" w14:textId="77777777" w:rsidR="00AD0FC9" w:rsidRPr="00246A33" w:rsidRDefault="00AD0FC9" w:rsidP="00746FE3">
            <w:pPr>
              <w:pStyle w:val="ListParagraph"/>
              <w:numPr>
                <w:ilvl w:val="0"/>
                <w:numId w:val="20"/>
              </w:numPr>
            </w:pPr>
            <w:r w:rsidRPr="00246A33">
              <w:t>Same considerations as for a TM owner survey (above)</w:t>
            </w:r>
          </w:p>
          <w:p w14:paraId="39B7461F" w14:textId="116A1550" w:rsidR="007B4FCC" w:rsidRPr="00246A33" w:rsidRDefault="00E02782" w:rsidP="00746FE3">
            <w:pPr>
              <w:pStyle w:val="ListParagraph"/>
              <w:numPr>
                <w:ilvl w:val="0"/>
                <w:numId w:val="20"/>
              </w:numPr>
            </w:pPr>
            <w:r w:rsidRPr="00246A33">
              <w:t>Additional consideration</w:t>
            </w:r>
            <w:r w:rsidR="007B4FCC" w:rsidRPr="00246A33">
              <w:t xml:space="preserve"> as to whether to combine this survey with </w:t>
            </w:r>
            <w:r w:rsidRPr="00246A33">
              <w:t xml:space="preserve">other survey suggestions for the same stakeholders </w:t>
            </w:r>
            <w:r w:rsidR="007B4FCC" w:rsidRPr="00246A33">
              <w:t>into a single “omnibus” survey</w:t>
            </w:r>
          </w:p>
        </w:tc>
        <w:tc>
          <w:tcPr>
            <w:tcW w:w="0" w:type="auto"/>
          </w:tcPr>
          <w:p w14:paraId="7E80C1C8" w14:textId="3EF6F6CA" w:rsidR="007B4FCC" w:rsidRPr="00246A33" w:rsidRDefault="00E02782" w:rsidP="001C36FF">
            <w:r w:rsidRPr="00246A33">
              <w:t xml:space="preserve">If professional assistance is needed, </w:t>
            </w:r>
            <w:r w:rsidR="00B131A9" w:rsidRPr="00246A33">
              <w:t xml:space="preserve">the WG Co-Chairs will </w:t>
            </w:r>
            <w:r w:rsidRPr="00246A33">
              <w:t xml:space="preserve">need also to submit </w:t>
            </w:r>
            <w:r w:rsidR="00B131A9" w:rsidRPr="00246A33">
              <w:t xml:space="preserve">a </w:t>
            </w:r>
            <w:r w:rsidRPr="00246A33">
              <w:t>detailed request (with estimated costs) to GNSO Council</w:t>
            </w:r>
          </w:p>
          <w:p w14:paraId="2366889D" w14:textId="77777777" w:rsidR="00B131A9" w:rsidRPr="00246A33" w:rsidRDefault="00B131A9" w:rsidP="001C36FF"/>
          <w:p w14:paraId="704CD488" w14:textId="2F158C5E" w:rsidR="00B131A9" w:rsidRPr="00246A33" w:rsidRDefault="00B131A9" w:rsidP="001C36FF">
            <w:r w:rsidRPr="00246A33">
              <w:t xml:space="preserve">If several surveys are to be done of registry operators (for the different Charter questions) rather than a single “omnibus”, consider which to prioritize so as to spread them out </w:t>
            </w:r>
          </w:p>
          <w:p w14:paraId="4709ED67" w14:textId="4995A56E" w:rsidR="00EB416F" w:rsidRPr="00246A33" w:rsidRDefault="00EB416F" w:rsidP="001C36FF"/>
        </w:tc>
      </w:tr>
      <w:tr w:rsidR="00B131A9" w:rsidRPr="00246A33" w14:paraId="455CD2D9" w14:textId="77777777" w:rsidTr="00AD0FC9">
        <w:tc>
          <w:tcPr>
            <w:tcW w:w="0" w:type="auto"/>
          </w:tcPr>
          <w:p w14:paraId="716BE993" w14:textId="1511B483" w:rsidR="007B4FCC" w:rsidRPr="00246A33" w:rsidRDefault="007B4FCC" w:rsidP="00AD0FC9">
            <w:pPr>
              <w:pStyle w:val="ListParagraph"/>
              <w:numPr>
                <w:ilvl w:val="0"/>
                <w:numId w:val="8"/>
              </w:numPr>
            </w:pPr>
            <w:r w:rsidRPr="00246A33">
              <w:t>Sunrise pricing information to be collected from registry operators</w:t>
            </w:r>
          </w:p>
        </w:tc>
        <w:tc>
          <w:tcPr>
            <w:tcW w:w="0" w:type="auto"/>
          </w:tcPr>
          <w:p w14:paraId="6346CBB9" w14:textId="0E0BC457" w:rsidR="007B4FCC" w:rsidRPr="00246A33" w:rsidRDefault="00F438ED" w:rsidP="001C36FF">
            <w:r w:rsidRPr="00246A33">
              <w:t>Request information from</w:t>
            </w:r>
            <w:r w:rsidR="007B4FCC" w:rsidRPr="00246A33">
              <w:t xml:space="preserve"> all new </w:t>
            </w:r>
            <w:proofErr w:type="spellStart"/>
            <w:r w:rsidR="007B4FCC" w:rsidRPr="00246A33">
              <w:t>gTLD</w:t>
            </w:r>
            <w:proofErr w:type="spellEnd"/>
            <w:r w:rsidR="007B4FCC" w:rsidRPr="00246A33">
              <w:t xml:space="preserve"> registry operators who offered a Sunrise Period</w:t>
            </w:r>
            <w:r w:rsidRPr="00246A33">
              <w:t>?</w:t>
            </w:r>
          </w:p>
          <w:p w14:paraId="5ED7F1EC" w14:textId="77777777" w:rsidR="007B4FCC" w:rsidRPr="00246A33" w:rsidRDefault="007B4FCC" w:rsidP="00746FE3">
            <w:pPr>
              <w:pStyle w:val="ListParagraph"/>
              <w:numPr>
                <w:ilvl w:val="0"/>
                <w:numId w:val="21"/>
              </w:numPr>
            </w:pPr>
            <w:r w:rsidRPr="00246A33">
              <w:t xml:space="preserve">List of registry operators available at ICANN’s new </w:t>
            </w:r>
            <w:proofErr w:type="spellStart"/>
            <w:r w:rsidRPr="00246A33">
              <w:t>gTLD</w:t>
            </w:r>
            <w:proofErr w:type="spellEnd"/>
            <w:r w:rsidRPr="00246A33">
              <w:t xml:space="preserve"> Startup Page </w:t>
            </w:r>
            <w:r w:rsidR="00F438ED" w:rsidRPr="00246A33">
              <w:t>(</w:t>
            </w:r>
            <w:hyperlink r:id="rId8" w:history="1">
              <w:r w:rsidR="00F438ED" w:rsidRPr="00246A33">
                <w:rPr>
                  <w:rStyle w:val="Hyperlink"/>
                  <w:u w:val="none"/>
                </w:rPr>
                <w:t>https://newgtlds.icann.org/en/program-status/sunrise-claims-periods)</w:t>
              </w:r>
            </w:hyperlink>
            <w:r w:rsidR="00F438ED" w:rsidRPr="00246A33">
              <w:t>; however, this is only a starting point as the pricing information will still need to be collected from each registry operator</w:t>
            </w:r>
          </w:p>
          <w:p w14:paraId="7BCC73BE" w14:textId="77777777" w:rsidR="00EB416F" w:rsidRPr="00246A33" w:rsidRDefault="00EB416F" w:rsidP="00746FE3">
            <w:pPr>
              <w:pStyle w:val="ListParagraph"/>
              <w:numPr>
                <w:ilvl w:val="0"/>
                <w:numId w:val="21"/>
              </w:numPr>
            </w:pPr>
            <w:r w:rsidRPr="00246A33">
              <w:t xml:space="preserve">Information can be gathered by ICANN staff </w:t>
            </w:r>
          </w:p>
          <w:p w14:paraId="53EC9441" w14:textId="3B530AA7" w:rsidR="00EB416F" w:rsidRPr="00246A33" w:rsidRDefault="00EB416F" w:rsidP="00EB416F"/>
        </w:tc>
        <w:tc>
          <w:tcPr>
            <w:tcW w:w="0" w:type="auto"/>
          </w:tcPr>
          <w:p w14:paraId="3600522A" w14:textId="1EC4991E" w:rsidR="007B4FCC" w:rsidRPr="00246A33" w:rsidRDefault="00F438ED" w:rsidP="001C36FF">
            <w:r w:rsidRPr="00246A33">
              <w:t>Will a sampling of registry operators (as opposed to all registries who did a Sunrise) be sufficient?</w:t>
            </w:r>
            <w:r w:rsidR="00B547FB" w:rsidRPr="00246A33">
              <w:t xml:space="preserve"> This can substantially reduce the work and time involved</w:t>
            </w:r>
            <w:r w:rsidRPr="00246A33">
              <w:t xml:space="preserve"> </w:t>
            </w:r>
          </w:p>
        </w:tc>
      </w:tr>
    </w:tbl>
    <w:p w14:paraId="1878905A" w14:textId="2E0252A6" w:rsidR="00AD0FC9" w:rsidRDefault="00AD0FC9" w:rsidP="001C36FF">
      <w:pPr>
        <w:rPr>
          <w:u w:val="single"/>
        </w:rPr>
      </w:pPr>
    </w:p>
    <w:p w14:paraId="34F47F24" w14:textId="77777777" w:rsidR="001C36FF" w:rsidRPr="001C36FF" w:rsidRDefault="001C36FF" w:rsidP="001C36FF"/>
    <w:p w14:paraId="22BE4C44" w14:textId="77777777" w:rsidR="001C36FF" w:rsidRPr="001C36FF" w:rsidRDefault="001C36FF" w:rsidP="001C36FF">
      <w:pPr>
        <w:rPr>
          <w:b/>
          <w:bCs/>
        </w:rPr>
      </w:pPr>
      <w:r w:rsidRPr="001C36FF">
        <w:rPr>
          <w:b/>
          <w:bCs/>
        </w:rPr>
        <w:lastRenderedPageBreak/>
        <w:t>Question 4:</w:t>
      </w:r>
    </w:p>
    <w:p w14:paraId="79808B6A" w14:textId="77777777" w:rsidR="001C36FF" w:rsidRPr="001C36FF" w:rsidRDefault="001C36FF" w:rsidP="001C36FF">
      <w:pPr>
        <w:numPr>
          <w:ilvl w:val="0"/>
          <w:numId w:val="4"/>
        </w:numPr>
      </w:pPr>
      <w:r w:rsidRPr="001C36FF">
        <w:t>Are Registry Operator reserved names practices unfairly limiting participation in Sunrise by trademark holders?</w:t>
      </w:r>
    </w:p>
    <w:p w14:paraId="537162FC" w14:textId="3754AD20" w:rsidR="001C36FF" w:rsidRPr="001C36FF" w:rsidRDefault="001C36FF" w:rsidP="001C36FF">
      <w:pPr>
        <w:numPr>
          <w:ilvl w:val="0"/>
          <w:numId w:val="4"/>
        </w:numPr>
      </w:pPr>
      <w:r w:rsidRPr="001C36FF">
        <w:t>Should Section 1.3.3 of Specification 1 of the Registry Agreement be modified</w:t>
      </w:r>
      <w:r w:rsidR="00DB5DC9">
        <w:t xml:space="preserve"> to address these concerns?</w:t>
      </w:r>
    </w:p>
    <w:p w14:paraId="3FEF3297" w14:textId="6C56E6E5" w:rsidR="001C36FF" w:rsidRPr="001C36FF" w:rsidRDefault="001C36FF" w:rsidP="001C36FF">
      <w:pPr>
        <w:numPr>
          <w:ilvl w:val="0"/>
          <w:numId w:val="4"/>
        </w:numPr>
      </w:pPr>
      <w:r w:rsidRPr="001C36FF">
        <w:t>Should Registry Operators be required to publish their reserved names lists -- what Registry concerns would be raised by that publication, and what problem(s) wo</w:t>
      </w:r>
      <w:r w:rsidR="00DB5DC9">
        <w:t>uld it solve?</w:t>
      </w:r>
    </w:p>
    <w:p w14:paraId="5674AAEA" w14:textId="77777777" w:rsidR="001C36FF" w:rsidRPr="001C36FF" w:rsidRDefault="001C36FF" w:rsidP="001C36FF">
      <w:pPr>
        <w:numPr>
          <w:ilvl w:val="0"/>
          <w:numId w:val="4"/>
        </w:numPr>
      </w:pPr>
      <w:r w:rsidRPr="001C36FF">
        <w:t xml:space="preserve">Should Registries be required to provide Trademark Owners in the TMCH notice, and the opportunity to register the domain name should the Registry release it – what Registry concerns would be raised by this requirement? </w:t>
      </w:r>
    </w:p>
    <w:p w14:paraId="54CDA79A" w14:textId="77777777" w:rsidR="001C36FF" w:rsidRDefault="001C36FF" w:rsidP="001C36FF">
      <w:pPr>
        <w:rPr>
          <w:u w:val="single"/>
        </w:rPr>
      </w:pPr>
    </w:p>
    <w:tbl>
      <w:tblPr>
        <w:tblStyle w:val="TableGrid"/>
        <w:tblW w:w="0" w:type="auto"/>
        <w:tblLook w:val="04A0" w:firstRow="1" w:lastRow="0" w:firstColumn="1" w:lastColumn="0" w:noHBand="0" w:noVBand="1"/>
      </w:tblPr>
      <w:tblGrid>
        <w:gridCol w:w="3581"/>
        <w:gridCol w:w="4804"/>
        <w:gridCol w:w="4565"/>
      </w:tblGrid>
      <w:tr w:rsidR="00746FE3" w:rsidRPr="00246A33" w14:paraId="5DA21F59" w14:textId="77777777" w:rsidTr="00246A33">
        <w:tc>
          <w:tcPr>
            <w:tcW w:w="0" w:type="auto"/>
            <w:shd w:val="clear" w:color="auto" w:fill="D9E2F3" w:themeFill="accent1" w:themeFillTint="33"/>
          </w:tcPr>
          <w:p w14:paraId="261FC302" w14:textId="10DD0459" w:rsidR="00F438ED" w:rsidRPr="00246A33" w:rsidRDefault="00F438ED" w:rsidP="00B131A9">
            <w:pPr>
              <w:rPr>
                <w:b/>
              </w:rPr>
            </w:pPr>
            <w:r w:rsidRPr="00246A33">
              <w:rPr>
                <w:b/>
              </w:rPr>
              <w:t>Source</w:t>
            </w:r>
          </w:p>
        </w:tc>
        <w:tc>
          <w:tcPr>
            <w:tcW w:w="0" w:type="auto"/>
            <w:shd w:val="clear" w:color="auto" w:fill="D9E2F3" w:themeFill="accent1" w:themeFillTint="33"/>
          </w:tcPr>
          <w:p w14:paraId="2B88E477" w14:textId="77777777" w:rsidR="00F438ED" w:rsidRPr="00246A33" w:rsidRDefault="00F438ED" w:rsidP="00B131A9">
            <w:pPr>
              <w:rPr>
                <w:b/>
              </w:rPr>
            </w:pPr>
            <w:r w:rsidRPr="00246A33">
              <w:rPr>
                <w:b/>
              </w:rPr>
              <w:t>Possible approach/methodology</w:t>
            </w:r>
          </w:p>
        </w:tc>
        <w:tc>
          <w:tcPr>
            <w:tcW w:w="0" w:type="auto"/>
            <w:shd w:val="clear" w:color="auto" w:fill="D9E2F3" w:themeFill="accent1" w:themeFillTint="33"/>
          </w:tcPr>
          <w:p w14:paraId="3DB180AC" w14:textId="77777777" w:rsidR="00F438ED" w:rsidRPr="00246A33" w:rsidRDefault="00F438ED" w:rsidP="00B131A9">
            <w:pPr>
              <w:rPr>
                <w:b/>
              </w:rPr>
            </w:pPr>
            <w:r w:rsidRPr="00246A33">
              <w:rPr>
                <w:b/>
              </w:rPr>
              <w:t>Comments</w:t>
            </w:r>
          </w:p>
        </w:tc>
      </w:tr>
      <w:tr w:rsidR="00B547FB" w:rsidRPr="00246A33" w14:paraId="4723C2F2" w14:textId="77777777" w:rsidTr="00B547FB">
        <w:trPr>
          <w:trHeight w:val="3248"/>
        </w:trPr>
        <w:tc>
          <w:tcPr>
            <w:tcW w:w="0" w:type="auto"/>
          </w:tcPr>
          <w:p w14:paraId="39FCDE6B" w14:textId="09D47004" w:rsidR="00F438ED" w:rsidRPr="00246A33" w:rsidRDefault="00F438ED" w:rsidP="00746FE3">
            <w:pPr>
              <w:pStyle w:val="ListParagraph"/>
              <w:numPr>
                <w:ilvl w:val="0"/>
                <w:numId w:val="22"/>
              </w:numPr>
            </w:pPr>
            <w:r w:rsidRPr="00246A33">
              <w:t>Anecdotal data from different stakeholders, including registries</w:t>
            </w:r>
          </w:p>
        </w:tc>
        <w:tc>
          <w:tcPr>
            <w:tcW w:w="0" w:type="auto"/>
          </w:tcPr>
          <w:p w14:paraId="5B156A9B" w14:textId="69C65170" w:rsidR="00F438ED" w:rsidRPr="00246A33" w:rsidRDefault="00F438ED" w:rsidP="00B131A9">
            <w:pPr>
              <w:pStyle w:val="ListParagraph"/>
              <w:numPr>
                <w:ilvl w:val="0"/>
                <w:numId w:val="18"/>
              </w:numPr>
            </w:pPr>
            <w:r w:rsidRPr="00246A33">
              <w:t xml:space="preserve">Need to </w:t>
            </w:r>
            <w:r w:rsidR="00E02782" w:rsidRPr="00246A33">
              <w:t xml:space="preserve">first </w:t>
            </w:r>
            <w:r w:rsidRPr="00246A33">
              <w:t>specify which stakeholders (besides registries) to be contacted for information</w:t>
            </w:r>
          </w:p>
          <w:p w14:paraId="5FA7A821" w14:textId="44A96F38" w:rsidR="00F438ED" w:rsidRPr="00246A33" w:rsidRDefault="00E02782" w:rsidP="00B131A9">
            <w:pPr>
              <w:pStyle w:val="ListParagraph"/>
              <w:numPr>
                <w:ilvl w:val="0"/>
                <w:numId w:val="18"/>
              </w:numPr>
            </w:pPr>
            <w:r w:rsidRPr="00246A33">
              <w:t>Use s</w:t>
            </w:r>
            <w:r w:rsidR="00F438ED" w:rsidRPr="00246A33">
              <w:t xml:space="preserve">urvey format? </w:t>
            </w:r>
          </w:p>
          <w:p w14:paraId="2554B016" w14:textId="517417A9" w:rsidR="00F438ED" w:rsidRPr="00246A33" w:rsidRDefault="00F438ED" w:rsidP="00746FE3">
            <w:pPr>
              <w:ind w:left="720"/>
            </w:pPr>
            <w:r w:rsidRPr="00246A33">
              <w:t>Note - If a survey is used for registry operators, consider if this is to be part of the same survey (see above</w:t>
            </w:r>
            <w:r w:rsidR="00E02782" w:rsidRPr="00246A33">
              <w:t xml:space="preserve"> under Question 2</w:t>
            </w:r>
            <w:r w:rsidRPr="00246A33">
              <w:t>)</w:t>
            </w:r>
          </w:p>
          <w:p w14:paraId="65B3BD1D" w14:textId="313BEE10" w:rsidR="00EB416F" w:rsidRPr="00246A33" w:rsidRDefault="00EB416F" w:rsidP="00746FE3">
            <w:pPr>
              <w:ind w:left="720"/>
            </w:pPr>
          </w:p>
        </w:tc>
        <w:tc>
          <w:tcPr>
            <w:tcW w:w="0" w:type="auto"/>
          </w:tcPr>
          <w:p w14:paraId="4CB88394" w14:textId="28B9C5F6" w:rsidR="00EB416F" w:rsidRPr="00246A33" w:rsidRDefault="00EB416F" w:rsidP="00EB416F">
            <w:r w:rsidRPr="00246A33">
              <w:t xml:space="preserve">In </w:t>
            </w:r>
            <w:proofErr w:type="gramStart"/>
            <w:r w:rsidRPr="00246A33">
              <w:t>addition</w:t>
            </w:r>
            <w:proofErr w:type="gramEnd"/>
            <w:r w:rsidRPr="00246A33">
              <w:t xml:space="preserve"> or alternatively, can similar input be sought via soliciting feedback directly from specific stakeholder groups, given that these questions are more prescriptive in nature?</w:t>
            </w:r>
            <w:r w:rsidR="00B547FB" w:rsidRPr="00246A33">
              <w:t xml:space="preserve"> If so, this can be combined with the SO/AC request under Question 5 (below)</w:t>
            </w:r>
          </w:p>
          <w:p w14:paraId="6DBC951E" w14:textId="77777777" w:rsidR="00E02782" w:rsidRPr="00246A33" w:rsidRDefault="00E02782" w:rsidP="00EB416F"/>
          <w:p w14:paraId="160A6778" w14:textId="28245A3F" w:rsidR="00E02782" w:rsidRPr="00246A33" w:rsidRDefault="00B547FB" w:rsidP="00EB416F">
            <w:r w:rsidRPr="00246A33">
              <w:t>Co-Chairs will n</w:t>
            </w:r>
            <w:r w:rsidR="00E02782" w:rsidRPr="00246A33">
              <w:t>eed to submit request to GNSO Council if professional assistance is used</w:t>
            </w:r>
            <w:r w:rsidRPr="00246A33">
              <w:t xml:space="preserve"> for a survey</w:t>
            </w:r>
          </w:p>
          <w:p w14:paraId="21C2BEF0" w14:textId="5D9C95B0" w:rsidR="00F438ED" w:rsidRPr="00246A33" w:rsidRDefault="00EB416F" w:rsidP="00EB416F">
            <w:r w:rsidRPr="00246A33">
              <w:t xml:space="preserve"> </w:t>
            </w:r>
          </w:p>
        </w:tc>
      </w:tr>
      <w:tr w:rsidR="00746FE3" w:rsidRPr="00246A33" w14:paraId="4D52F296" w14:textId="77777777" w:rsidTr="00B131A9">
        <w:tc>
          <w:tcPr>
            <w:tcW w:w="0" w:type="auto"/>
          </w:tcPr>
          <w:p w14:paraId="41FA9BE0" w14:textId="45126EFD" w:rsidR="00F438ED" w:rsidRPr="00246A33" w:rsidRDefault="00F438ED" w:rsidP="00746FE3">
            <w:pPr>
              <w:pStyle w:val="ListParagraph"/>
              <w:numPr>
                <w:ilvl w:val="0"/>
                <w:numId w:val="22"/>
              </w:numPr>
            </w:pPr>
            <w:r w:rsidRPr="00246A33">
              <w:t>Registries in jurisdictions that prohibit the publication of specific words/strings (example: profane language) should especially be sought for input.</w:t>
            </w:r>
          </w:p>
        </w:tc>
        <w:tc>
          <w:tcPr>
            <w:tcW w:w="0" w:type="auto"/>
          </w:tcPr>
          <w:p w14:paraId="5C67D138" w14:textId="7B49A98A" w:rsidR="00F438ED" w:rsidRPr="00246A33" w:rsidRDefault="00F438ED" w:rsidP="00746FE3">
            <w:pPr>
              <w:pStyle w:val="ListParagraph"/>
              <w:numPr>
                <w:ilvl w:val="0"/>
                <w:numId w:val="23"/>
              </w:numPr>
            </w:pPr>
            <w:r w:rsidRPr="00246A33">
              <w:t xml:space="preserve">Need to </w:t>
            </w:r>
            <w:r w:rsidR="00E02782" w:rsidRPr="00246A33">
              <w:t xml:space="preserve">first </w:t>
            </w:r>
            <w:r w:rsidRPr="00246A33">
              <w:t>determine and agree on what those jurisdictions and registries are in the first place</w:t>
            </w:r>
          </w:p>
          <w:p w14:paraId="2B8D5193" w14:textId="77777777" w:rsidR="00F438ED" w:rsidRPr="00246A33" w:rsidRDefault="00F438ED" w:rsidP="00746FE3">
            <w:pPr>
              <w:pStyle w:val="ListParagraph"/>
              <w:numPr>
                <w:ilvl w:val="0"/>
                <w:numId w:val="23"/>
              </w:numPr>
            </w:pPr>
            <w:r w:rsidRPr="00246A33">
              <w:t>Survey format? (Presumably this will be a different survey from the one sent to all registry operators, per above; but similar considerations as to anonymizing the results remain applicable here)</w:t>
            </w:r>
          </w:p>
          <w:p w14:paraId="2E271F8F" w14:textId="3CC964FC" w:rsidR="00EB416F" w:rsidRPr="00246A33" w:rsidRDefault="00EB416F" w:rsidP="00EB416F"/>
        </w:tc>
        <w:tc>
          <w:tcPr>
            <w:tcW w:w="0" w:type="auto"/>
          </w:tcPr>
          <w:p w14:paraId="6B982F9C" w14:textId="1CA20030" w:rsidR="00E02782" w:rsidRPr="00246A33" w:rsidRDefault="00B547FB" w:rsidP="00E02782">
            <w:r w:rsidRPr="00246A33">
              <w:t>Co-Chairs will n</w:t>
            </w:r>
            <w:r w:rsidR="00E02782" w:rsidRPr="00246A33">
              <w:t>eed to submit request to GNSO Council if professional assistance is used</w:t>
            </w:r>
            <w:r w:rsidRPr="00246A33">
              <w:t xml:space="preserve"> for a survey</w:t>
            </w:r>
          </w:p>
          <w:p w14:paraId="2DF28E89" w14:textId="30C69422" w:rsidR="00F438ED" w:rsidRPr="00246A33" w:rsidRDefault="00F438ED" w:rsidP="00F438ED"/>
        </w:tc>
      </w:tr>
    </w:tbl>
    <w:p w14:paraId="10E876F0" w14:textId="77777777" w:rsidR="00F438ED" w:rsidRDefault="00F438ED" w:rsidP="001C36FF">
      <w:pPr>
        <w:rPr>
          <w:u w:val="single"/>
        </w:rPr>
      </w:pPr>
    </w:p>
    <w:p w14:paraId="4F9383E8" w14:textId="77777777" w:rsidR="001C36FF" w:rsidRPr="001C36FF" w:rsidRDefault="001C36FF" w:rsidP="001C36FF"/>
    <w:p w14:paraId="693835B8" w14:textId="77777777" w:rsidR="001C36FF" w:rsidRPr="001C36FF" w:rsidRDefault="001C36FF" w:rsidP="001C36FF">
      <w:pPr>
        <w:rPr>
          <w:b/>
          <w:bCs/>
        </w:rPr>
      </w:pPr>
      <w:r w:rsidRPr="001C36FF">
        <w:rPr>
          <w:b/>
          <w:bCs/>
        </w:rPr>
        <w:t>Question 5:</w:t>
      </w:r>
    </w:p>
    <w:p w14:paraId="2C71B6E7" w14:textId="77777777" w:rsidR="001C36FF" w:rsidRPr="001C36FF" w:rsidRDefault="001C36FF" w:rsidP="001C36FF">
      <w:r w:rsidRPr="001C36FF">
        <w:t>(</w:t>
      </w:r>
      <w:proofErr w:type="spellStart"/>
      <w:r w:rsidRPr="001C36FF">
        <w:t>a</w:t>
      </w:r>
      <w:proofErr w:type="spellEnd"/>
      <w:r w:rsidRPr="001C36FF">
        <w:t>) Does the current 30-day minimum for a Sunrise Period serve its intended purpose, particularly in view of the fact that many registry operators actually ran a 60-day Sunrise Period?</w:t>
      </w:r>
    </w:p>
    <w:p w14:paraId="21827457" w14:textId="77777777" w:rsidR="001C36FF" w:rsidRPr="001C36FF" w:rsidRDefault="001C36FF" w:rsidP="001C36FF">
      <w:pPr>
        <w:numPr>
          <w:ilvl w:val="0"/>
          <w:numId w:val="6"/>
        </w:numPr>
      </w:pPr>
      <w:r w:rsidRPr="001C36FF">
        <w:t>Are there any unintended results?</w:t>
      </w:r>
    </w:p>
    <w:p w14:paraId="24B5FED4" w14:textId="48730B19" w:rsidR="001C36FF" w:rsidRPr="001C36FF" w:rsidRDefault="001C36FF" w:rsidP="001C36FF">
      <w:pPr>
        <w:numPr>
          <w:ilvl w:val="0"/>
          <w:numId w:val="6"/>
        </w:numPr>
      </w:pPr>
      <w:r w:rsidRPr="001C36FF">
        <w:t>Does the ability of Registry Operators to expand their Sunrise Periods create uniformity concerns that shoul</w:t>
      </w:r>
      <w:r w:rsidR="00D0220E">
        <w:t>d be addressed by this WG?</w:t>
      </w:r>
    </w:p>
    <w:p w14:paraId="74FDE0F5" w14:textId="77777777" w:rsidR="001C36FF" w:rsidRPr="001C36FF" w:rsidRDefault="001C36FF" w:rsidP="001C36FF">
      <w:pPr>
        <w:numPr>
          <w:ilvl w:val="0"/>
          <w:numId w:val="6"/>
        </w:numPr>
      </w:pPr>
      <w:r w:rsidRPr="001C36FF">
        <w:t xml:space="preserve">Are there any benefits observed when the Sunrise Period is extended beyond 30 days? </w:t>
      </w:r>
    </w:p>
    <w:p w14:paraId="4AABFDF4" w14:textId="77777777" w:rsidR="001C36FF" w:rsidRPr="001C36FF" w:rsidRDefault="001C36FF" w:rsidP="001C36FF">
      <w:pPr>
        <w:numPr>
          <w:ilvl w:val="0"/>
          <w:numId w:val="6"/>
        </w:numPr>
      </w:pPr>
      <w:r w:rsidRPr="001C36FF">
        <w:t>Are there any disadvantages?</w:t>
      </w:r>
    </w:p>
    <w:p w14:paraId="6D9F9305" w14:textId="77777777" w:rsidR="00EB416F" w:rsidRDefault="00EB416F" w:rsidP="001C36FF"/>
    <w:p w14:paraId="433A69A9" w14:textId="77777777" w:rsidR="001C36FF" w:rsidRPr="001C36FF" w:rsidRDefault="001C36FF" w:rsidP="001C36FF">
      <w:r w:rsidRPr="001C36FF">
        <w:t xml:space="preserve">(b) In light of evidence gathered above, should the Sunrise Period continue to be mandatory or become optional? </w:t>
      </w:r>
    </w:p>
    <w:p w14:paraId="32F44113" w14:textId="30F0ACFC" w:rsidR="001C36FF" w:rsidRPr="001C36FF" w:rsidRDefault="001C36FF" w:rsidP="001C36FF">
      <w:pPr>
        <w:numPr>
          <w:ilvl w:val="0"/>
          <w:numId w:val="7"/>
        </w:numPr>
      </w:pPr>
      <w:r w:rsidRPr="001C36FF">
        <w:t>Should the WG consider returning to the original recommendation</w:t>
      </w:r>
      <w:r w:rsidR="00CA001E">
        <w:t>s</w:t>
      </w:r>
      <w:r w:rsidRPr="001C36FF">
        <w:t xml:space="preserve"> from the IRT and STI of Sunrise Period OR Trademark Claims in light of other concerns including freedom of expression and fair use? </w:t>
      </w:r>
    </w:p>
    <w:p w14:paraId="5F715715" w14:textId="77777777" w:rsidR="001C36FF" w:rsidRPr="001C36FF" w:rsidRDefault="001C36FF" w:rsidP="001C36FF">
      <w:pPr>
        <w:numPr>
          <w:ilvl w:val="0"/>
          <w:numId w:val="7"/>
        </w:numPr>
      </w:pPr>
      <w:r w:rsidRPr="001C36FF">
        <w:t>In considering mandatory vs optional, should Registry Operators be allowed to choose between Sunrise and Claims (that is, make ONE mandatory)?</w:t>
      </w:r>
    </w:p>
    <w:p w14:paraId="1A26B106" w14:textId="77777777" w:rsidR="001C36FF" w:rsidRDefault="001C36FF" w:rsidP="001C36FF">
      <w:pPr>
        <w:rPr>
          <w:u w:val="single"/>
        </w:rPr>
      </w:pPr>
    </w:p>
    <w:tbl>
      <w:tblPr>
        <w:tblStyle w:val="TableGrid"/>
        <w:tblW w:w="0" w:type="auto"/>
        <w:tblLook w:val="04A0" w:firstRow="1" w:lastRow="0" w:firstColumn="1" w:lastColumn="0" w:noHBand="0" w:noVBand="1"/>
      </w:tblPr>
      <w:tblGrid>
        <w:gridCol w:w="5368"/>
        <w:gridCol w:w="4274"/>
        <w:gridCol w:w="3308"/>
      </w:tblGrid>
      <w:tr w:rsidR="00246A33" w:rsidRPr="00246A33" w14:paraId="44EF962A" w14:textId="77777777" w:rsidTr="00246A33">
        <w:tc>
          <w:tcPr>
            <w:tcW w:w="0" w:type="auto"/>
            <w:shd w:val="clear" w:color="auto" w:fill="D9E2F3" w:themeFill="accent1" w:themeFillTint="33"/>
          </w:tcPr>
          <w:p w14:paraId="005FAAF1" w14:textId="2CEB2B75" w:rsidR="00EB416F" w:rsidRPr="00246A33" w:rsidRDefault="00EB416F" w:rsidP="001C36FF">
            <w:pPr>
              <w:rPr>
                <w:b/>
              </w:rPr>
            </w:pPr>
            <w:r w:rsidRPr="00246A33">
              <w:rPr>
                <w:b/>
              </w:rPr>
              <w:t>Source</w:t>
            </w:r>
          </w:p>
        </w:tc>
        <w:tc>
          <w:tcPr>
            <w:tcW w:w="0" w:type="auto"/>
            <w:shd w:val="clear" w:color="auto" w:fill="D9E2F3" w:themeFill="accent1" w:themeFillTint="33"/>
          </w:tcPr>
          <w:p w14:paraId="712D962C" w14:textId="54EEF0DC" w:rsidR="00EB416F" w:rsidRPr="00246A33" w:rsidRDefault="00EB416F" w:rsidP="001C36FF">
            <w:pPr>
              <w:rPr>
                <w:b/>
              </w:rPr>
            </w:pPr>
            <w:r w:rsidRPr="00246A33">
              <w:rPr>
                <w:b/>
              </w:rPr>
              <w:t>Possible approach/methodology</w:t>
            </w:r>
          </w:p>
        </w:tc>
        <w:tc>
          <w:tcPr>
            <w:tcW w:w="0" w:type="auto"/>
            <w:shd w:val="clear" w:color="auto" w:fill="D9E2F3" w:themeFill="accent1" w:themeFillTint="33"/>
          </w:tcPr>
          <w:p w14:paraId="7CE6FFC8" w14:textId="6D9AFB17" w:rsidR="00EB416F" w:rsidRPr="00246A33" w:rsidRDefault="00EB416F" w:rsidP="001C36FF">
            <w:pPr>
              <w:rPr>
                <w:b/>
              </w:rPr>
            </w:pPr>
            <w:r w:rsidRPr="00246A33">
              <w:rPr>
                <w:b/>
              </w:rPr>
              <w:t>Comments</w:t>
            </w:r>
          </w:p>
        </w:tc>
      </w:tr>
      <w:tr w:rsidR="00246A33" w:rsidRPr="00246A33" w14:paraId="64B47177" w14:textId="77777777" w:rsidTr="00EB416F">
        <w:tc>
          <w:tcPr>
            <w:tcW w:w="0" w:type="auto"/>
          </w:tcPr>
          <w:p w14:paraId="3660A280" w14:textId="1DD815CA" w:rsidR="00EB416F" w:rsidRPr="00246A33" w:rsidRDefault="00EB416F" w:rsidP="00746FE3">
            <w:pPr>
              <w:pStyle w:val="ListParagraph"/>
              <w:numPr>
                <w:ilvl w:val="0"/>
                <w:numId w:val="25"/>
              </w:numPr>
            </w:pPr>
            <w:r w:rsidRPr="00246A33">
              <w:t>SO/AC outreach</w:t>
            </w:r>
          </w:p>
        </w:tc>
        <w:tc>
          <w:tcPr>
            <w:tcW w:w="0" w:type="auto"/>
          </w:tcPr>
          <w:p w14:paraId="68A7CBEF" w14:textId="77777777" w:rsidR="00EB416F" w:rsidRPr="00246A33" w:rsidRDefault="00EB416F" w:rsidP="00746FE3">
            <w:pPr>
              <w:pStyle w:val="ListParagraph"/>
              <w:numPr>
                <w:ilvl w:val="0"/>
                <w:numId w:val="26"/>
              </w:numPr>
            </w:pPr>
            <w:r w:rsidRPr="00246A33">
              <w:t>Survey or direct solicitation (e.g. following the PDP requirement of early outreach)?</w:t>
            </w:r>
          </w:p>
          <w:p w14:paraId="3446C8CA" w14:textId="77777777" w:rsidR="00EB416F" w:rsidRPr="00246A33" w:rsidRDefault="00EB416F" w:rsidP="001C36FF"/>
        </w:tc>
        <w:tc>
          <w:tcPr>
            <w:tcW w:w="0" w:type="auto"/>
          </w:tcPr>
          <w:p w14:paraId="0DEDE13F" w14:textId="1C2DEB60" w:rsidR="00EB416F" w:rsidRPr="00246A33" w:rsidRDefault="00EB416F" w:rsidP="001C36FF">
            <w:r w:rsidRPr="00246A33">
              <w:t>This can be done immediately</w:t>
            </w:r>
            <w:r w:rsidR="00B547FB" w:rsidRPr="00246A33">
              <w:t xml:space="preserve"> if it is via direct SO/AC outreach (following an agreed draft of the outreach letter)</w:t>
            </w:r>
          </w:p>
          <w:p w14:paraId="1A91C161" w14:textId="6F9956E7" w:rsidR="00B547FB" w:rsidRPr="00246A33" w:rsidRDefault="00B547FB" w:rsidP="001C36FF"/>
        </w:tc>
      </w:tr>
      <w:tr w:rsidR="00246A33" w:rsidRPr="00246A33" w14:paraId="573A9DD0" w14:textId="77777777" w:rsidTr="00EB416F">
        <w:tc>
          <w:tcPr>
            <w:tcW w:w="0" w:type="auto"/>
          </w:tcPr>
          <w:p w14:paraId="7971CA27" w14:textId="79E6DD03" w:rsidR="00EB416F" w:rsidRPr="00246A33" w:rsidRDefault="00EB416F" w:rsidP="00746FE3">
            <w:pPr>
              <w:pStyle w:val="ListParagraph"/>
              <w:numPr>
                <w:ilvl w:val="0"/>
                <w:numId w:val="25"/>
              </w:numPr>
            </w:pPr>
            <w:r w:rsidRPr="00246A33">
              <w:t xml:space="preserve">Outreach to public interest groups and trade </w:t>
            </w:r>
            <w:proofErr w:type="spellStart"/>
            <w:r w:rsidRPr="00246A33">
              <w:t>assocations</w:t>
            </w:r>
            <w:proofErr w:type="spellEnd"/>
          </w:p>
        </w:tc>
        <w:tc>
          <w:tcPr>
            <w:tcW w:w="0" w:type="auto"/>
          </w:tcPr>
          <w:p w14:paraId="400CA45D" w14:textId="77777777" w:rsidR="00EB416F" w:rsidRPr="00246A33" w:rsidRDefault="00EB416F" w:rsidP="00746FE3">
            <w:pPr>
              <w:pStyle w:val="ListParagraph"/>
              <w:numPr>
                <w:ilvl w:val="0"/>
                <w:numId w:val="26"/>
              </w:numPr>
            </w:pPr>
            <w:r w:rsidRPr="00246A33">
              <w:t>Need to identify the groups</w:t>
            </w:r>
          </w:p>
          <w:p w14:paraId="69A330EC" w14:textId="77777777" w:rsidR="00EB416F" w:rsidRPr="00246A33" w:rsidRDefault="00EB416F" w:rsidP="00746FE3">
            <w:pPr>
              <w:pStyle w:val="ListParagraph"/>
              <w:numPr>
                <w:ilvl w:val="0"/>
                <w:numId w:val="26"/>
              </w:numPr>
            </w:pPr>
            <w:r w:rsidRPr="00246A33">
              <w:t>Survey format likely to be easier for respondents (especially those with little experience with ICANN PDPs)</w:t>
            </w:r>
          </w:p>
          <w:p w14:paraId="3498B463" w14:textId="77777777" w:rsidR="00EB416F" w:rsidRPr="00246A33" w:rsidRDefault="00EB416F" w:rsidP="00746FE3">
            <w:pPr>
              <w:pStyle w:val="ListParagraph"/>
              <w:numPr>
                <w:ilvl w:val="0"/>
                <w:numId w:val="26"/>
              </w:numPr>
            </w:pPr>
            <w:r w:rsidRPr="00246A33">
              <w:t>Survey can be conducted by ICANN staff</w:t>
            </w:r>
          </w:p>
          <w:p w14:paraId="1D6537E6" w14:textId="67E4BE3C" w:rsidR="00EB416F" w:rsidRPr="00246A33" w:rsidRDefault="00EB416F" w:rsidP="00EB416F"/>
        </w:tc>
        <w:tc>
          <w:tcPr>
            <w:tcW w:w="0" w:type="auto"/>
          </w:tcPr>
          <w:p w14:paraId="4F1E449A" w14:textId="4D62FD7B" w:rsidR="00EB416F" w:rsidRPr="00246A33" w:rsidRDefault="00EB416F" w:rsidP="001C36FF">
            <w:r w:rsidRPr="00246A33">
              <w:t>This can be done immediately following agreement on which groups to approach</w:t>
            </w:r>
          </w:p>
        </w:tc>
      </w:tr>
      <w:tr w:rsidR="00246A33" w:rsidRPr="00246A33" w14:paraId="0C23DC57" w14:textId="77777777" w:rsidTr="00EB416F">
        <w:tc>
          <w:tcPr>
            <w:tcW w:w="0" w:type="auto"/>
          </w:tcPr>
          <w:p w14:paraId="4C5072ED" w14:textId="52A48A77" w:rsidR="006D47DE" w:rsidRPr="00246A33" w:rsidRDefault="006D47DE" w:rsidP="00EB416F">
            <w:pPr>
              <w:pStyle w:val="ListParagraph"/>
              <w:numPr>
                <w:ilvl w:val="0"/>
                <w:numId w:val="25"/>
              </w:numPr>
            </w:pPr>
            <w:r w:rsidRPr="00246A33">
              <w:lastRenderedPageBreak/>
              <w:t>Registries and registrars for anecdotal evidence</w:t>
            </w:r>
          </w:p>
        </w:tc>
        <w:tc>
          <w:tcPr>
            <w:tcW w:w="0" w:type="auto"/>
          </w:tcPr>
          <w:p w14:paraId="4555D6FF" w14:textId="77777777" w:rsidR="006D47DE" w:rsidRPr="00246A33" w:rsidRDefault="006D47DE" w:rsidP="00746FE3"/>
        </w:tc>
        <w:tc>
          <w:tcPr>
            <w:tcW w:w="0" w:type="auto"/>
          </w:tcPr>
          <w:p w14:paraId="60E168D2" w14:textId="28AB7B59" w:rsidR="006D47DE" w:rsidRPr="00246A33" w:rsidRDefault="006D47DE" w:rsidP="001C36FF">
            <w:r w:rsidRPr="00246A33">
              <w:t>This can be covered via the SO/AC outreach</w:t>
            </w:r>
            <w:r w:rsidR="00B547FB" w:rsidRPr="00246A33">
              <w:t xml:space="preserve"> noted above</w:t>
            </w:r>
          </w:p>
          <w:p w14:paraId="0925D9DE" w14:textId="77777777" w:rsidR="006D47DE" w:rsidRPr="00246A33" w:rsidRDefault="006D47DE" w:rsidP="001C36FF"/>
        </w:tc>
      </w:tr>
      <w:tr w:rsidR="00246A33" w:rsidRPr="00246A33" w14:paraId="1A9B006C" w14:textId="77777777" w:rsidTr="00EB416F">
        <w:tc>
          <w:tcPr>
            <w:tcW w:w="0" w:type="auto"/>
          </w:tcPr>
          <w:p w14:paraId="66A16DBA" w14:textId="29F6F084" w:rsidR="006D47DE" w:rsidRPr="00246A33" w:rsidRDefault="006D47DE" w:rsidP="00EB416F">
            <w:pPr>
              <w:pStyle w:val="ListParagraph"/>
              <w:numPr>
                <w:ilvl w:val="0"/>
                <w:numId w:val="25"/>
              </w:numPr>
            </w:pPr>
            <w:r w:rsidRPr="00246A33">
              <w:t>Articles resulting from investigative reporting on domains registered during Sunrise that have been noted to have an impact on free expression, fair use, and the ability of registrants to register domains</w:t>
            </w:r>
          </w:p>
        </w:tc>
        <w:tc>
          <w:tcPr>
            <w:tcW w:w="0" w:type="auto"/>
          </w:tcPr>
          <w:p w14:paraId="222ED9B0" w14:textId="53FA1EB9" w:rsidR="006D47DE" w:rsidRPr="00246A33" w:rsidRDefault="006D47DE" w:rsidP="00EB416F">
            <w:pPr>
              <w:pStyle w:val="ListParagraph"/>
              <w:numPr>
                <w:ilvl w:val="0"/>
                <w:numId w:val="26"/>
              </w:numPr>
            </w:pPr>
            <w:r w:rsidRPr="00246A33">
              <w:t>Need to</w:t>
            </w:r>
            <w:r w:rsidR="00E02782" w:rsidRPr="00246A33">
              <w:t xml:space="preserve"> first</w:t>
            </w:r>
            <w:r w:rsidRPr="00246A33">
              <w:t xml:space="preserve"> identify more specific sources (reporters and publications)</w:t>
            </w:r>
          </w:p>
          <w:p w14:paraId="55A7C505" w14:textId="77777777" w:rsidR="006D47DE" w:rsidRPr="00246A33" w:rsidRDefault="006D47DE" w:rsidP="00EB416F">
            <w:pPr>
              <w:pStyle w:val="ListParagraph"/>
              <w:numPr>
                <w:ilvl w:val="0"/>
                <w:numId w:val="26"/>
              </w:numPr>
            </w:pPr>
            <w:r w:rsidRPr="00246A33">
              <w:t>Articles (once sources are identified) can be collated by ICANN staff</w:t>
            </w:r>
          </w:p>
          <w:p w14:paraId="59FB69A3" w14:textId="1BF53B76" w:rsidR="00B547FB" w:rsidRPr="00246A33" w:rsidRDefault="00B547FB" w:rsidP="00746FE3"/>
        </w:tc>
        <w:tc>
          <w:tcPr>
            <w:tcW w:w="0" w:type="auto"/>
          </w:tcPr>
          <w:p w14:paraId="1D106FBA" w14:textId="3D798855" w:rsidR="006D47DE" w:rsidRPr="00246A33" w:rsidRDefault="00E02782" w:rsidP="001C36FF">
            <w:r w:rsidRPr="00246A33">
              <w:t>This can be done immediately following agreement on which sources to use</w:t>
            </w:r>
          </w:p>
        </w:tc>
      </w:tr>
    </w:tbl>
    <w:p w14:paraId="513ED23F" w14:textId="77777777" w:rsidR="00EB416F" w:rsidRPr="001C36FF" w:rsidRDefault="00EB416F" w:rsidP="001C36FF">
      <w:pPr>
        <w:rPr>
          <w:u w:val="single"/>
        </w:rPr>
      </w:pPr>
    </w:p>
    <w:p w14:paraId="1E80EE2F" w14:textId="77777777" w:rsidR="001C36FF" w:rsidRPr="001C36FF" w:rsidRDefault="001C36FF" w:rsidP="001C36FF"/>
    <w:p w14:paraId="533E4CFA" w14:textId="77777777" w:rsidR="001C36FF" w:rsidRPr="001C36FF" w:rsidRDefault="001C36FF" w:rsidP="001C36FF">
      <w:pPr>
        <w:rPr>
          <w:b/>
          <w:bCs/>
        </w:rPr>
      </w:pPr>
      <w:r w:rsidRPr="001C36FF">
        <w:rPr>
          <w:b/>
          <w:bCs/>
        </w:rPr>
        <w:t>Question 8:</w:t>
      </w:r>
    </w:p>
    <w:p w14:paraId="181BECBD" w14:textId="77777777" w:rsidR="001C36FF" w:rsidRPr="001C36FF" w:rsidRDefault="001C36FF" w:rsidP="001C36FF">
      <w:pPr>
        <w:rPr>
          <w:u w:val="single"/>
        </w:rPr>
      </w:pPr>
      <w:proofErr w:type="gramStart"/>
      <w:r w:rsidRPr="001C36FF">
        <w:rPr>
          <w:u w:val="single"/>
        </w:rPr>
        <w:t>LRP ,</w:t>
      </w:r>
      <w:proofErr w:type="gramEnd"/>
      <w:r w:rsidRPr="001C36FF">
        <w:rPr>
          <w:u w:val="single"/>
        </w:rPr>
        <w:t xml:space="preserve"> ALP , QLP  – Limited Registration Periods, Approved Launch Programs and Qualified Launch Programs:</w:t>
      </w:r>
    </w:p>
    <w:p w14:paraId="0255C0F1" w14:textId="77777777" w:rsidR="001C36FF" w:rsidRPr="00246A33" w:rsidRDefault="001C36FF" w:rsidP="001C36FF">
      <w:pPr>
        <w:numPr>
          <w:ilvl w:val="0"/>
          <w:numId w:val="5"/>
        </w:numPr>
      </w:pPr>
      <w:r w:rsidRPr="00246A33">
        <w:t>Are Limited Registration Periods in need of review vis a vis the Sunrise Period? Approved Launch Programs? Qualified Launch programs?</w:t>
      </w:r>
    </w:p>
    <w:p w14:paraId="2ED78C75" w14:textId="77777777" w:rsidR="001C36FF" w:rsidRPr="001C36FF" w:rsidRDefault="001C36FF" w:rsidP="001C36FF">
      <w:pPr>
        <w:numPr>
          <w:ilvl w:val="0"/>
          <w:numId w:val="5"/>
        </w:numPr>
      </w:pPr>
      <w:r w:rsidRPr="001C36FF">
        <w:rPr>
          <w:bCs/>
        </w:rPr>
        <w:t>Are the ALP and QLP periods in need of review?</w:t>
      </w:r>
    </w:p>
    <w:p w14:paraId="1E34331C" w14:textId="77777777" w:rsidR="001C36FF" w:rsidRPr="001C36FF" w:rsidRDefault="001C36FF" w:rsidP="001C36FF">
      <w:pPr>
        <w:numPr>
          <w:ilvl w:val="0"/>
          <w:numId w:val="5"/>
        </w:numPr>
        <w:rPr>
          <w:bCs/>
        </w:rPr>
      </w:pPr>
      <w:r w:rsidRPr="001C36FF">
        <w:rPr>
          <w:bCs/>
        </w:rPr>
        <w:t xml:space="preserve">What aspects of the LRP are in need of review? </w:t>
      </w:r>
    </w:p>
    <w:p w14:paraId="5399720B" w14:textId="77777777" w:rsidR="001C36FF" w:rsidRPr="001C36FF" w:rsidRDefault="001C36FF" w:rsidP="001C36FF">
      <w:pPr>
        <w:rPr>
          <w:u w:val="single"/>
        </w:rPr>
      </w:pPr>
    </w:p>
    <w:tbl>
      <w:tblPr>
        <w:tblStyle w:val="TableGrid"/>
        <w:tblW w:w="0" w:type="auto"/>
        <w:tblLook w:val="04A0" w:firstRow="1" w:lastRow="0" w:firstColumn="1" w:lastColumn="0" w:noHBand="0" w:noVBand="1"/>
      </w:tblPr>
      <w:tblGrid>
        <w:gridCol w:w="2415"/>
        <w:gridCol w:w="4703"/>
        <w:gridCol w:w="5832"/>
      </w:tblGrid>
      <w:tr w:rsidR="00B547FB" w:rsidRPr="00246A33" w14:paraId="4DFE17BF" w14:textId="77777777" w:rsidTr="00246A33">
        <w:tc>
          <w:tcPr>
            <w:tcW w:w="0" w:type="auto"/>
            <w:shd w:val="clear" w:color="auto" w:fill="D9E2F3" w:themeFill="accent1" w:themeFillTint="33"/>
          </w:tcPr>
          <w:p w14:paraId="74DE9D1F" w14:textId="6508BB12" w:rsidR="00F87389" w:rsidRPr="00246A33" w:rsidRDefault="00F87389" w:rsidP="001C36FF">
            <w:pPr>
              <w:rPr>
                <w:b/>
              </w:rPr>
            </w:pPr>
            <w:r w:rsidRPr="00246A33">
              <w:rPr>
                <w:b/>
              </w:rPr>
              <w:t>Source</w:t>
            </w:r>
          </w:p>
        </w:tc>
        <w:tc>
          <w:tcPr>
            <w:tcW w:w="0" w:type="auto"/>
            <w:shd w:val="clear" w:color="auto" w:fill="D9E2F3" w:themeFill="accent1" w:themeFillTint="33"/>
          </w:tcPr>
          <w:p w14:paraId="1B3E96DD" w14:textId="1AFD8100" w:rsidR="00F87389" w:rsidRPr="00246A33" w:rsidRDefault="00F87389" w:rsidP="001C36FF">
            <w:pPr>
              <w:rPr>
                <w:b/>
              </w:rPr>
            </w:pPr>
            <w:r w:rsidRPr="00246A33">
              <w:rPr>
                <w:b/>
              </w:rPr>
              <w:t>Possible approach/methodology</w:t>
            </w:r>
          </w:p>
        </w:tc>
        <w:tc>
          <w:tcPr>
            <w:tcW w:w="0" w:type="auto"/>
            <w:shd w:val="clear" w:color="auto" w:fill="D9E2F3" w:themeFill="accent1" w:themeFillTint="33"/>
          </w:tcPr>
          <w:p w14:paraId="4B2E65A4" w14:textId="0A4AA037" w:rsidR="00F87389" w:rsidRPr="00246A33" w:rsidRDefault="00F87389" w:rsidP="001C36FF">
            <w:pPr>
              <w:rPr>
                <w:b/>
              </w:rPr>
            </w:pPr>
            <w:r w:rsidRPr="00246A33">
              <w:rPr>
                <w:b/>
              </w:rPr>
              <w:t>Comments</w:t>
            </w:r>
          </w:p>
        </w:tc>
      </w:tr>
      <w:tr w:rsidR="00B547FB" w:rsidRPr="00246A33" w14:paraId="47FD5136" w14:textId="77777777" w:rsidTr="00F87389">
        <w:tc>
          <w:tcPr>
            <w:tcW w:w="0" w:type="auto"/>
          </w:tcPr>
          <w:p w14:paraId="27E1EC0E" w14:textId="6BF10ED5" w:rsidR="00F87389" w:rsidRPr="00246A33" w:rsidRDefault="00F87389" w:rsidP="00746FE3">
            <w:pPr>
              <w:pStyle w:val="ListParagraph"/>
              <w:numPr>
                <w:ilvl w:val="0"/>
                <w:numId w:val="27"/>
              </w:numPr>
            </w:pPr>
            <w:r w:rsidRPr="00246A33">
              <w:t xml:space="preserve">ICANN New </w:t>
            </w:r>
            <w:proofErr w:type="spellStart"/>
            <w:r w:rsidRPr="00246A33">
              <w:t>gTLD</w:t>
            </w:r>
            <w:proofErr w:type="spellEnd"/>
            <w:r w:rsidRPr="00246A33">
              <w:t xml:space="preserve"> Startup Page</w:t>
            </w:r>
          </w:p>
        </w:tc>
        <w:tc>
          <w:tcPr>
            <w:tcW w:w="0" w:type="auto"/>
          </w:tcPr>
          <w:p w14:paraId="21299D9E" w14:textId="6FA1B074" w:rsidR="00F87389" w:rsidRPr="00246A33" w:rsidRDefault="00F87389" w:rsidP="00746FE3">
            <w:pPr>
              <w:pStyle w:val="ListParagraph"/>
              <w:numPr>
                <w:ilvl w:val="0"/>
                <w:numId w:val="28"/>
              </w:numPr>
            </w:pPr>
            <w:r w:rsidRPr="00246A33">
              <w:t>Information can be compiled by ICANN staff</w:t>
            </w:r>
          </w:p>
        </w:tc>
        <w:tc>
          <w:tcPr>
            <w:tcW w:w="0" w:type="auto"/>
          </w:tcPr>
          <w:p w14:paraId="4CDAF8D6" w14:textId="77777777" w:rsidR="00B547FB" w:rsidRPr="00246A33" w:rsidRDefault="00B547FB" w:rsidP="00F87389">
            <w:r w:rsidRPr="00246A33">
              <w:t>Note that</w:t>
            </w:r>
            <w:r w:rsidR="00F87389" w:rsidRPr="00246A33">
              <w:t xml:space="preserve"> information is limited only to listing the registry that ran a ALP, QLP and LRP and the relevant dates</w:t>
            </w:r>
          </w:p>
          <w:p w14:paraId="2DE5621B" w14:textId="77777777" w:rsidR="00B547FB" w:rsidRPr="00246A33" w:rsidRDefault="00B547FB" w:rsidP="00F87389"/>
          <w:p w14:paraId="28FB49CE" w14:textId="21BAFAEF" w:rsidR="00F87389" w:rsidRPr="00246A33" w:rsidRDefault="00B547FB" w:rsidP="00F87389">
            <w:r w:rsidRPr="00246A33">
              <w:t xml:space="preserve">The information </w:t>
            </w:r>
            <w:r w:rsidR="00F87389" w:rsidRPr="00246A33">
              <w:t>can be compiled im</w:t>
            </w:r>
            <w:r w:rsidRPr="00246A33">
              <w:t>mediately for further analysis</w:t>
            </w:r>
          </w:p>
          <w:p w14:paraId="549089A5" w14:textId="28A80DE5" w:rsidR="00F87389" w:rsidRPr="00246A33" w:rsidRDefault="00F87389" w:rsidP="00F87389"/>
        </w:tc>
      </w:tr>
      <w:tr w:rsidR="00B547FB" w:rsidRPr="00246A33" w14:paraId="746D49B5" w14:textId="77777777" w:rsidTr="00F87389">
        <w:tc>
          <w:tcPr>
            <w:tcW w:w="0" w:type="auto"/>
          </w:tcPr>
          <w:p w14:paraId="5C216F63" w14:textId="70BF0FE7" w:rsidR="00F87389" w:rsidRPr="00246A33" w:rsidRDefault="00F87389" w:rsidP="00746FE3">
            <w:pPr>
              <w:pStyle w:val="ListParagraph"/>
              <w:numPr>
                <w:ilvl w:val="0"/>
                <w:numId w:val="27"/>
              </w:numPr>
            </w:pPr>
            <w:r w:rsidRPr="00246A33">
              <w:t>Anecdotal data from registry operators</w:t>
            </w:r>
          </w:p>
        </w:tc>
        <w:tc>
          <w:tcPr>
            <w:tcW w:w="0" w:type="auto"/>
          </w:tcPr>
          <w:p w14:paraId="095A7BAE" w14:textId="77777777" w:rsidR="00F87389" w:rsidRPr="00246A33" w:rsidRDefault="00F87389" w:rsidP="00746FE3">
            <w:pPr>
              <w:pStyle w:val="ListParagraph"/>
              <w:numPr>
                <w:ilvl w:val="0"/>
                <w:numId w:val="28"/>
              </w:numPr>
            </w:pPr>
            <w:r w:rsidRPr="00246A33">
              <w:t xml:space="preserve">Survey or direct outreach to </w:t>
            </w:r>
            <w:proofErr w:type="spellStart"/>
            <w:r w:rsidRPr="00246A33">
              <w:t>RySG</w:t>
            </w:r>
            <w:proofErr w:type="spellEnd"/>
          </w:p>
          <w:p w14:paraId="5317BBD3" w14:textId="77777777" w:rsidR="00B547FB" w:rsidRPr="00246A33" w:rsidRDefault="00B547FB" w:rsidP="00746FE3">
            <w:pPr>
              <w:pStyle w:val="ListParagraph"/>
              <w:numPr>
                <w:ilvl w:val="0"/>
                <w:numId w:val="28"/>
              </w:numPr>
            </w:pPr>
            <w:r w:rsidRPr="00246A33">
              <w:t xml:space="preserve">If survey, will this be part of the “omnibus” survey noted above? </w:t>
            </w:r>
          </w:p>
          <w:p w14:paraId="708DC35D" w14:textId="77777777" w:rsidR="00B547FB" w:rsidRPr="00246A33" w:rsidRDefault="00B547FB" w:rsidP="00746FE3">
            <w:pPr>
              <w:pStyle w:val="ListParagraph"/>
              <w:numPr>
                <w:ilvl w:val="0"/>
                <w:numId w:val="28"/>
              </w:numPr>
            </w:pPr>
            <w:r w:rsidRPr="00246A33">
              <w:lastRenderedPageBreak/>
              <w:t>If direct outreach, this can be covered by the outreach letter noted in Question 5 (above)</w:t>
            </w:r>
          </w:p>
          <w:p w14:paraId="09BB22F4" w14:textId="2C7A72AB" w:rsidR="00B547FB" w:rsidRPr="00246A33" w:rsidRDefault="00B547FB" w:rsidP="00B547FB"/>
        </w:tc>
        <w:tc>
          <w:tcPr>
            <w:tcW w:w="0" w:type="auto"/>
          </w:tcPr>
          <w:p w14:paraId="3ED29590" w14:textId="2FC08FD4" w:rsidR="00B547FB" w:rsidRPr="00246A33" w:rsidRDefault="00F87389" w:rsidP="001C36FF">
            <w:r w:rsidRPr="00246A33">
              <w:lastRenderedPageBreak/>
              <w:t xml:space="preserve">Note comments made at ICANN59 </w:t>
            </w:r>
            <w:proofErr w:type="gramStart"/>
            <w:r w:rsidRPr="00246A33">
              <w:t>about .</w:t>
            </w:r>
            <w:proofErr w:type="spellStart"/>
            <w:r w:rsidRPr="00246A33">
              <w:t>madrid</w:t>
            </w:r>
            <w:proofErr w:type="spellEnd"/>
            <w:proofErr w:type="gramEnd"/>
            <w:r w:rsidRPr="00246A33">
              <w:t xml:space="preserve"> being the only registry that ran a ALP, and additional comments about difficulties with the ALP approval process.</w:t>
            </w:r>
          </w:p>
          <w:p w14:paraId="6B389306" w14:textId="77777777" w:rsidR="00F87389" w:rsidRPr="00246A33" w:rsidRDefault="00F87389" w:rsidP="001C36FF"/>
        </w:tc>
      </w:tr>
    </w:tbl>
    <w:p w14:paraId="304EA840" w14:textId="508D622C" w:rsidR="00F87389" w:rsidRDefault="00F87389" w:rsidP="001C36FF">
      <w:pPr>
        <w:rPr>
          <w:u w:val="single"/>
        </w:rPr>
      </w:pPr>
    </w:p>
    <w:p w14:paraId="30986B71" w14:textId="77777777" w:rsidR="00246A33" w:rsidRDefault="00246A33" w:rsidP="001C36FF">
      <w:pPr>
        <w:rPr>
          <w:b/>
          <w:bCs/>
        </w:rPr>
      </w:pPr>
      <w:bookmarkStart w:id="0" w:name="_GoBack"/>
      <w:bookmarkEnd w:id="0"/>
    </w:p>
    <w:p w14:paraId="17569972" w14:textId="77777777" w:rsidR="001C36FF" w:rsidRPr="001C36FF" w:rsidRDefault="001C36FF" w:rsidP="001C36FF">
      <w:pPr>
        <w:rPr>
          <w:b/>
          <w:bCs/>
        </w:rPr>
      </w:pPr>
      <w:r w:rsidRPr="001C36FF">
        <w:rPr>
          <w:b/>
          <w:bCs/>
        </w:rPr>
        <w:t>Question 11:</w:t>
      </w:r>
    </w:p>
    <w:p w14:paraId="70495EC9" w14:textId="77777777" w:rsidR="001C36FF" w:rsidRPr="001C36FF" w:rsidRDefault="001C36FF" w:rsidP="001C36FF">
      <w:r w:rsidRPr="001C36FF">
        <w:rPr>
          <w:u w:val="single"/>
        </w:rPr>
        <w:t>Question:</w:t>
      </w:r>
      <w:r w:rsidRPr="001C36FF">
        <w:t xml:space="preserve"> How effectively can trademark holders who use non-English scripts/languages able to participate in sunrise (including IDN sunrises), and should any of them be further “internationalized” (such as in terms of service providers, languages served)?</w:t>
      </w:r>
    </w:p>
    <w:p w14:paraId="359C67EC" w14:textId="77777777" w:rsidR="00E439C3" w:rsidRDefault="00E439C3" w:rsidP="001C36FF">
      <w:pPr>
        <w:rPr>
          <w:u w:val="single"/>
        </w:rPr>
      </w:pPr>
    </w:p>
    <w:tbl>
      <w:tblPr>
        <w:tblStyle w:val="TableGrid"/>
        <w:tblW w:w="0" w:type="auto"/>
        <w:tblLook w:val="04A0" w:firstRow="1" w:lastRow="0" w:firstColumn="1" w:lastColumn="0" w:noHBand="0" w:noVBand="1"/>
      </w:tblPr>
      <w:tblGrid>
        <w:gridCol w:w="5608"/>
        <w:gridCol w:w="3538"/>
        <w:gridCol w:w="3804"/>
      </w:tblGrid>
      <w:tr w:rsidR="00E02782" w:rsidRPr="00246A33" w14:paraId="66FAD757" w14:textId="77777777" w:rsidTr="00246A33">
        <w:tc>
          <w:tcPr>
            <w:tcW w:w="0" w:type="auto"/>
            <w:shd w:val="clear" w:color="auto" w:fill="D9E2F3" w:themeFill="accent1" w:themeFillTint="33"/>
          </w:tcPr>
          <w:p w14:paraId="51312660" w14:textId="04598C32" w:rsidR="00E02782" w:rsidRPr="00246A33" w:rsidRDefault="00E02782" w:rsidP="001C36FF">
            <w:pPr>
              <w:rPr>
                <w:b/>
              </w:rPr>
            </w:pPr>
            <w:r w:rsidRPr="00246A33">
              <w:rPr>
                <w:b/>
              </w:rPr>
              <w:t>Source</w:t>
            </w:r>
          </w:p>
        </w:tc>
        <w:tc>
          <w:tcPr>
            <w:tcW w:w="0" w:type="auto"/>
            <w:shd w:val="clear" w:color="auto" w:fill="D9E2F3" w:themeFill="accent1" w:themeFillTint="33"/>
          </w:tcPr>
          <w:p w14:paraId="659A1474" w14:textId="7A641FD8" w:rsidR="00E02782" w:rsidRPr="00246A33" w:rsidRDefault="00E02782" w:rsidP="001C36FF">
            <w:pPr>
              <w:rPr>
                <w:b/>
              </w:rPr>
            </w:pPr>
            <w:r w:rsidRPr="00246A33">
              <w:rPr>
                <w:b/>
              </w:rPr>
              <w:t>Possible approach/methodology</w:t>
            </w:r>
          </w:p>
        </w:tc>
        <w:tc>
          <w:tcPr>
            <w:tcW w:w="0" w:type="auto"/>
            <w:shd w:val="clear" w:color="auto" w:fill="D9E2F3" w:themeFill="accent1" w:themeFillTint="33"/>
          </w:tcPr>
          <w:p w14:paraId="630F8F57" w14:textId="6E269ED2" w:rsidR="00E02782" w:rsidRPr="00246A33" w:rsidRDefault="00E02782" w:rsidP="001C36FF">
            <w:pPr>
              <w:rPr>
                <w:b/>
              </w:rPr>
            </w:pPr>
            <w:r w:rsidRPr="00246A33">
              <w:rPr>
                <w:b/>
              </w:rPr>
              <w:t>Comments</w:t>
            </w:r>
          </w:p>
        </w:tc>
      </w:tr>
      <w:tr w:rsidR="00E02782" w:rsidRPr="00246A33" w14:paraId="262F5833" w14:textId="77777777" w:rsidTr="00E02782">
        <w:tc>
          <w:tcPr>
            <w:tcW w:w="0" w:type="auto"/>
          </w:tcPr>
          <w:p w14:paraId="40242389" w14:textId="62C03B2C" w:rsidR="00E02782" w:rsidRPr="00246A33" w:rsidRDefault="00E02782" w:rsidP="00746FE3">
            <w:pPr>
              <w:pStyle w:val="ListParagraph"/>
              <w:numPr>
                <w:ilvl w:val="0"/>
                <w:numId w:val="29"/>
              </w:numPr>
            </w:pPr>
            <w:r w:rsidRPr="00246A33">
              <w:t xml:space="preserve">Ask IDN </w:t>
            </w:r>
            <w:proofErr w:type="spellStart"/>
            <w:r w:rsidRPr="00246A33">
              <w:t>gTLD</w:t>
            </w:r>
            <w:proofErr w:type="spellEnd"/>
            <w:r w:rsidRPr="00246A33">
              <w:t xml:space="preserve"> registries for the number of Sunrise Registrations they had</w:t>
            </w:r>
          </w:p>
        </w:tc>
        <w:tc>
          <w:tcPr>
            <w:tcW w:w="0" w:type="auto"/>
          </w:tcPr>
          <w:p w14:paraId="03AAECF7" w14:textId="77777777" w:rsidR="00E02782" w:rsidRPr="00246A33" w:rsidRDefault="00E02782" w:rsidP="00746FE3">
            <w:pPr>
              <w:pStyle w:val="ListParagraph"/>
              <w:numPr>
                <w:ilvl w:val="0"/>
                <w:numId w:val="28"/>
              </w:numPr>
            </w:pPr>
            <w:r w:rsidRPr="00246A33">
              <w:t>This can be done by ICANN staff</w:t>
            </w:r>
          </w:p>
          <w:p w14:paraId="45740D12" w14:textId="77777777" w:rsidR="00E02782" w:rsidRPr="00246A33" w:rsidRDefault="00E02782" w:rsidP="001C36FF"/>
        </w:tc>
        <w:tc>
          <w:tcPr>
            <w:tcW w:w="0" w:type="auto"/>
          </w:tcPr>
          <w:p w14:paraId="10263E43" w14:textId="59C472B1" w:rsidR="00E02782" w:rsidRPr="00246A33" w:rsidRDefault="00E02782" w:rsidP="001C36FF">
            <w:r w:rsidRPr="00246A33">
              <w:t>Will there be any business confidentiality issues?</w:t>
            </w:r>
          </w:p>
        </w:tc>
      </w:tr>
    </w:tbl>
    <w:p w14:paraId="7A6FF8A5" w14:textId="77777777" w:rsidR="00E02782" w:rsidRDefault="00E02782" w:rsidP="001C36FF">
      <w:pPr>
        <w:rPr>
          <w:u w:val="single"/>
        </w:rPr>
      </w:pPr>
    </w:p>
    <w:p w14:paraId="56298FBA" w14:textId="77777777" w:rsidR="001C36FF" w:rsidRPr="001C36FF" w:rsidRDefault="001C36FF" w:rsidP="001C36FF">
      <w:pPr>
        <w:rPr>
          <w:b/>
          <w:bCs/>
        </w:rPr>
      </w:pPr>
    </w:p>
    <w:p w14:paraId="137BB33B" w14:textId="77777777" w:rsidR="001C36FF" w:rsidRPr="001C36FF" w:rsidRDefault="001C36FF" w:rsidP="001C36FF">
      <w:pPr>
        <w:rPr>
          <w:b/>
          <w:bCs/>
        </w:rPr>
      </w:pPr>
      <w:r w:rsidRPr="001C36FF">
        <w:rPr>
          <w:b/>
          <w:bCs/>
        </w:rPr>
        <w:t>Question 12:</w:t>
      </w:r>
    </w:p>
    <w:p w14:paraId="0B979E0D" w14:textId="77777777" w:rsidR="001C36FF" w:rsidRPr="001C36FF" w:rsidRDefault="001C36FF" w:rsidP="001C36FF">
      <w:r w:rsidRPr="001C36FF">
        <w:rPr>
          <w:u w:val="single"/>
        </w:rPr>
        <w:t>Question:</w:t>
      </w:r>
      <w:r w:rsidRPr="001C36FF">
        <w:t xml:space="preserve"> </w:t>
      </w:r>
      <w:r w:rsidRPr="001C36FF">
        <w:rPr>
          <w:bCs/>
        </w:rPr>
        <w:t xml:space="preserve">Should Sunrise Registrations have priority over other registrations under specialized </w:t>
      </w:r>
      <w:proofErr w:type="spellStart"/>
      <w:r w:rsidRPr="001C36FF">
        <w:rPr>
          <w:bCs/>
        </w:rPr>
        <w:t>gTLDs</w:t>
      </w:r>
      <w:proofErr w:type="spellEnd"/>
      <w:r w:rsidRPr="001C36FF">
        <w:rPr>
          <w:bCs/>
        </w:rPr>
        <w:t xml:space="preserve">? Should there be a different rule for some registries, such as specialized </w:t>
      </w:r>
      <w:proofErr w:type="spellStart"/>
      <w:r w:rsidRPr="001C36FF">
        <w:rPr>
          <w:bCs/>
        </w:rPr>
        <w:t>gTLDs</w:t>
      </w:r>
      <w:proofErr w:type="spellEnd"/>
      <w:r w:rsidRPr="001C36FF">
        <w:rPr>
          <w:bCs/>
        </w:rPr>
        <w:t xml:space="preserve"> (e.g. community or geo TLDs), based on their published registration/eligibility policies? Examples include POLICE.PARIS and POLICE.NYC for geo-TLDs, and WINDOWS.CONSTRUCTION for specialized </w:t>
      </w:r>
      <w:proofErr w:type="spellStart"/>
      <w:r w:rsidRPr="001C36FF">
        <w:rPr>
          <w:bCs/>
        </w:rPr>
        <w:t>gTLDs</w:t>
      </w:r>
      <w:proofErr w:type="spellEnd"/>
    </w:p>
    <w:p w14:paraId="5297145D" w14:textId="77777777" w:rsidR="001C36FF" w:rsidRDefault="001C36FF" w:rsidP="001C36FF">
      <w:pPr>
        <w:rPr>
          <w:u w:val="single"/>
        </w:rPr>
      </w:pPr>
    </w:p>
    <w:tbl>
      <w:tblPr>
        <w:tblStyle w:val="TableGrid"/>
        <w:tblW w:w="0" w:type="auto"/>
        <w:tblLook w:val="04A0" w:firstRow="1" w:lastRow="0" w:firstColumn="1" w:lastColumn="0" w:noHBand="0" w:noVBand="1"/>
      </w:tblPr>
      <w:tblGrid>
        <w:gridCol w:w="4419"/>
        <w:gridCol w:w="5116"/>
        <w:gridCol w:w="3415"/>
      </w:tblGrid>
      <w:tr w:rsidR="005A5F19" w:rsidRPr="00246A33" w14:paraId="0178E9A8" w14:textId="77777777" w:rsidTr="00246A33">
        <w:tc>
          <w:tcPr>
            <w:tcW w:w="0" w:type="auto"/>
            <w:shd w:val="clear" w:color="auto" w:fill="D9E2F3" w:themeFill="accent1" w:themeFillTint="33"/>
          </w:tcPr>
          <w:p w14:paraId="597913D5" w14:textId="77777777" w:rsidR="00E02782" w:rsidRPr="00246A33" w:rsidRDefault="00E02782" w:rsidP="00B131A9">
            <w:pPr>
              <w:rPr>
                <w:b/>
              </w:rPr>
            </w:pPr>
            <w:r w:rsidRPr="00246A33">
              <w:rPr>
                <w:b/>
              </w:rPr>
              <w:t>Source</w:t>
            </w:r>
          </w:p>
        </w:tc>
        <w:tc>
          <w:tcPr>
            <w:tcW w:w="0" w:type="auto"/>
            <w:shd w:val="clear" w:color="auto" w:fill="D9E2F3" w:themeFill="accent1" w:themeFillTint="33"/>
          </w:tcPr>
          <w:p w14:paraId="14FAA8ED" w14:textId="77777777" w:rsidR="00E02782" w:rsidRPr="00246A33" w:rsidRDefault="00E02782" w:rsidP="00B131A9">
            <w:pPr>
              <w:rPr>
                <w:b/>
              </w:rPr>
            </w:pPr>
            <w:r w:rsidRPr="00246A33">
              <w:rPr>
                <w:b/>
              </w:rPr>
              <w:t>Possible approach/methodology</w:t>
            </w:r>
          </w:p>
        </w:tc>
        <w:tc>
          <w:tcPr>
            <w:tcW w:w="0" w:type="auto"/>
            <w:shd w:val="clear" w:color="auto" w:fill="D9E2F3" w:themeFill="accent1" w:themeFillTint="33"/>
          </w:tcPr>
          <w:p w14:paraId="6F2F37B4" w14:textId="77777777" w:rsidR="00E02782" w:rsidRPr="00246A33" w:rsidRDefault="00E02782" w:rsidP="00B131A9">
            <w:pPr>
              <w:rPr>
                <w:b/>
              </w:rPr>
            </w:pPr>
            <w:r w:rsidRPr="00246A33">
              <w:rPr>
                <w:b/>
              </w:rPr>
              <w:t>Comments</w:t>
            </w:r>
          </w:p>
        </w:tc>
      </w:tr>
      <w:tr w:rsidR="005A5F19" w:rsidRPr="00246A33" w14:paraId="40CEA2E8" w14:textId="77777777" w:rsidTr="00B131A9">
        <w:tc>
          <w:tcPr>
            <w:tcW w:w="0" w:type="auto"/>
          </w:tcPr>
          <w:p w14:paraId="16A88FDA" w14:textId="17F3B70B" w:rsidR="00E02782" w:rsidRPr="00246A33" w:rsidRDefault="00E02782" w:rsidP="00746FE3">
            <w:pPr>
              <w:pStyle w:val="ListParagraph"/>
              <w:numPr>
                <w:ilvl w:val="0"/>
                <w:numId w:val="30"/>
              </w:numPr>
            </w:pPr>
            <w:r w:rsidRPr="00246A33">
              <w:t>Anecdotal evidence from registries</w:t>
            </w:r>
          </w:p>
        </w:tc>
        <w:tc>
          <w:tcPr>
            <w:tcW w:w="0" w:type="auto"/>
          </w:tcPr>
          <w:p w14:paraId="5BA34C0D" w14:textId="58D2772B" w:rsidR="00E02782" w:rsidRPr="00246A33" w:rsidRDefault="00E02782" w:rsidP="00B131A9">
            <w:pPr>
              <w:pStyle w:val="ListParagraph"/>
              <w:numPr>
                <w:ilvl w:val="0"/>
                <w:numId w:val="28"/>
              </w:numPr>
            </w:pPr>
            <w:r w:rsidRPr="00246A33">
              <w:t>Direct outreach given the prescriptive nature of the question?</w:t>
            </w:r>
          </w:p>
          <w:p w14:paraId="22A97A5C" w14:textId="77777777" w:rsidR="00E02782" w:rsidRPr="00246A33" w:rsidRDefault="00E02782" w:rsidP="00B131A9"/>
        </w:tc>
        <w:tc>
          <w:tcPr>
            <w:tcW w:w="0" w:type="auto"/>
          </w:tcPr>
          <w:p w14:paraId="5AC7DF4E" w14:textId="289F533B" w:rsidR="00E02782" w:rsidRPr="00246A33" w:rsidRDefault="00E02782" w:rsidP="00E02782">
            <w:r w:rsidRPr="00246A33">
              <w:t>This can be covered by the SO/AC outreach letter (</w:t>
            </w:r>
            <w:r w:rsidR="00B547FB" w:rsidRPr="00246A33">
              <w:t xml:space="preserve">see </w:t>
            </w:r>
            <w:r w:rsidRPr="00246A33">
              <w:t>above)</w:t>
            </w:r>
          </w:p>
        </w:tc>
      </w:tr>
      <w:tr w:rsidR="005A5F19" w:rsidRPr="00246A33" w14:paraId="7D37D792" w14:textId="77777777" w:rsidTr="00B131A9">
        <w:tc>
          <w:tcPr>
            <w:tcW w:w="0" w:type="auto"/>
          </w:tcPr>
          <w:p w14:paraId="658596D8" w14:textId="3A217354" w:rsidR="00E02782" w:rsidRPr="00246A33" w:rsidRDefault="00E02782" w:rsidP="00E02782">
            <w:pPr>
              <w:pStyle w:val="ListParagraph"/>
              <w:numPr>
                <w:ilvl w:val="0"/>
                <w:numId w:val="30"/>
              </w:numPr>
            </w:pPr>
            <w:r w:rsidRPr="00246A33">
              <w:t>Industry blogs and forums</w:t>
            </w:r>
            <w:r w:rsidR="005A5F19" w:rsidRPr="00246A33">
              <w:t xml:space="preserve"> e.g. domaining.com; Name Pros, DN Forum</w:t>
            </w:r>
          </w:p>
        </w:tc>
        <w:tc>
          <w:tcPr>
            <w:tcW w:w="0" w:type="auto"/>
          </w:tcPr>
          <w:p w14:paraId="50F8D76D" w14:textId="17D1A73D" w:rsidR="00E02782" w:rsidRPr="00246A33" w:rsidRDefault="00E02782" w:rsidP="00B131A9">
            <w:pPr>
              <w:pStyle w:val="ListParagraph"/>
              <w:numPr>
                <w:ilvl w:val="0"/>
                <w:numId w:val="28"/>
              </w:numPr>
            </w:pPr>
            <w:r w:rsidRPr="00246A33">
              <w:t>The information can be collected by ICANN staff, once sources are confirmed</w:t>
            </w:r>
          </w:p>
        </w:tc>
        <w:tc>
          <w:tcPr>
            <w:tcW w:w="0" w:type="auto"/>
          </w:tcPr>
          <w:p w14:paraId="78E91985" w14:textId="77777777" w:rsidR="00E02782" w:rsidRPr="00246A33" w:rsidRDefault="005A5F19" w:rsidP="00E02782">
            <w:r w:rsidRPr="00246A33">
              <w:t>Need to specify any additional sources</w:t>
            </w:r>
          </w:p>
          <w:p w14:paraId="756D4D35" w14:textId="77777777" w:rsidR="005A5F19" w:rsidRPr="00246A33" w:rsidRDefault="005A5F19" w:rsidP="00E02782"/>
        </w:tc>
      </w:tr>
    </w:tbl>
    <w:p w14:paraId="2039FC12" w14:textId="2184FF2D" w:rsidR="00E02782" w:rsidRDefault="00E02782" w:rsidP="001C36FF">
      <w:pPr>
        <w:rPr>
          <w:u w:val="single"/>
        </w:rPr>
      </w:pPr>
    </w:p>
    <w:p w14:paraId="4E2F76B2" w14:textId="77777777" w:rsidR="001C36FF" w:rsidRPr="001C36FF" w:rsidRDefault="001C36FF" w:rsidP="001C36FF"/>
    <w:p w14:paraId="0DE97C8F" w14:textId="77777777" w:rsidR="001C36FF" w:rsidRPr="001C36FF" w:rsidRDefault="001C36FF" w:rsidP="001C36FF">
      <w:pPr>
        <w:rPr>
          <w:b/>
          <w:bCs/>
        </w:rPr>
      </w:pPr>
      <w:r w:rsidRPr="001C36FF">
        <w:rPr>
          <w:b/>
          <w:bCs/>
        </w:rPr>
        <w:t>Original Charter Question 21 (No rewording – referred to full WG):</w:t>
      </w:r>
    </w:p>
    <w:p w14:paraId="515C3105" w14:textId="77777777" w:rsidR="001C36FF" w:rsidRPr="001C36FF" w:rsidRDefault="001C36FF" w:rsidP="001C36FF">
      <w:r w:rsidRPr="001C36FF">
        <w:rPr>
          <w:u w:val="single"/>
        </w:rPr>
        <w:lastRenderedPageBreak/>
        <w:t>Question:</w:t>
      </w:r>
      <w:r w:rsidRPr="001C36FF">
        <w:t xml:space="preserve"> In the light of concrete cases (case law) and from the perspective of owners of protected signs and of marks, which are the identified deficits of RPMs?</w:t>
      </w:r>
    </w:p>
    <w:p w14:paraId="5C758FFB" w14:textId="77777777" w:rsidR="00246A33" w:rsidRDefault="00246A33" w:rsidP="001C36FF">
      <w:pPr>
        <w:rPr>
          <w:u w:val="single"/>
        </w:rPr>
      </w:pPr>
    </w:p>
    <w:tbl>
      <w:tblPr>
        <w:tblStyle w:val="TableGrid"/>
        <w:tblW w:w="0" w:type="auto"/>
        <w:tblLook w:val="04A0" w:firstRow="1" w:lastRow="0" w:firstColumn="1" w:lastColumn="0" w:noHBand="0" w:noVBand="1"/>
      </w:tblPr>
      <w:tblGrid>
        <w:gridCol w:w="2983"/>
        <w:gridCol w:w="3884"/>
        <w:gridCol w:w="6083"/>
      </w:tblGrid>
      <w:tr w:rsidR="005A5F19" w:rsidRPr="00246A33" w14:paraId="09CED5B0" w14:textId="77777777" w:rsidTr="00246A33">
        <w:tc>
          <w:tcPr>
            <w:tcW w:w="0" w:type="auto"/>
            <w:shd w:val="clear" w:color="auto" w:fill="D9E2F3" w:themeFill="accent1" w:themeFillTint="33"/>
          </w:tcPr>
          <w:p w14:paraId="64CEA4F2" w14:textId="77777777" w:rsidR="005A5F19" w:rsidRPr="00246A33" w:rsidRDefault="005A5F19" w:rsidP="00B131A9">
            <w:pPr>
              <w:rPr>
                <w:b/>
              </w:rPr>
            </w:pPr>
            <w:r w:rsidRPr="00246A33">
              <w:rPr>
                <w:b/>
              </w:rPr>
              <w:t>Source</w:t>
            </w:r>
          </w:p>
        </w:tc>
        <w:tc>
          <w:tcPr>
            <w:tcW w:w="0" w:type="auto"/>
            <w:shd w:val="clear" w:color="auto" w:fill="D9E2F3" w:themeFill="accent1" w:themeFillTint="33"/>
          </w:tcPr>
          <w:p w14:paraId="669AC6CE" w14:textId="77777777" w:rsidR="005A5F19" w:rsidRPr="00246A33" w:rsidRDefault="005A5F19" w:rsidP="00B131A9">
            <w:pPr>
              <w:rPr>
                <w:b/>
              </w:rPr>
            </w:pPr>
            <w:r w:rsidRPr="00246A33">
              <w:rPr>
                <w:b/>
              </w:rPr>
              <w:t>Possible approach/methodology</w:t>
            </w:r>
          </w:p>
        </w:tc>
        <w:tc>
          <w:tcPr>
            <w:tcW w:w="0" w:type="auto"/>
            <w:shd w:val="clear" w:color="auto" w:fill="D9E2F3" w:themeFill="accent1" w:themeFillTint="33"/>
          </w:tcPr>
          <w:p w14:paraId="5AC9C671" w14:textId="77777777" w:rsidR="005A5F19" w:rsidRPr="00246A33" w:rsidRDefault="005A5F19" w:rsidP="00B131A9">
            <w:pPr>
              <w:rPr>
                <w:b/>
              </w:rPr>
            </w:pPr>
            <w:r w:rsidRPr="00246A33">
              <w:rPr>
                <w:b/>
              </w:rPr>
              <w:t>Comments</w:t>
            </w:r>
          </w:p>
        </w:tc>
      </w:tr>
      <w:tr w:rsidR="005A5F19" w:rsidRPr="00246A33" w14:paraId="2F3020A2" w14:textId="77777777" w:rsidTr="00B131A9">
        <w:tc>
          <w:tcPr>
            <w:tcW w:w="0" w:type="auto"/>
          </w:tcPr>
          <w:p w14:paraId="5EE88558" w14:textId="31F75BD1" w:rsidR="005A5F19" w:rsidRPr="00246A33" w:rsidRDefault="005A5F19" w:rsidP="00746FE3">
            <w:pPr>
              <w:pStyle w:val="ListParagraph"/>
              <w:numPr>
                <w:ilvl w:val="0"/>
                <w:numId w:val="31"/>
              </w:numPr>
            </w:pPr>
            <w:r w:rsidRPr="00246A33">
              <w:t>Anecdotal evidence (e.g. from the INTA Survey)</w:t>
            </w:r>
          </w:p>
        </w:tc>
        <w:tc>
          <w:tcPr>
            <w:tcW w:w="0" w:type="auto"/>
          </w:tcPr>
          <w:p w14:paraId="19507AF4" w14:textId="27BBEEF4" w:rsidR="005A5F19" w:rsidRPr="00246A33" w:rsidRDefault="005A5F19" w:rsidP="005A5F19">
            <w:pPr>
              <w:pStyle w:val="ListParagraph"/>
              <w:numPr>
                <w:ilvl w:val="0"/>
                <w:numId w:val="28"/>
              </w:numPr>
            </w:pPr>
            <w:r w:rsidRPr="00246A33">
              <w:t>This can be added to the analysis under Question 2</w:t>
            </w:r>
          </w:p>
          <w:p w14:paraId="3F89B164" w14:textId="77777777" w:rsidR="005A5F19" w:rsidRPr="00246A33" w:rsidRDefault="005A5F19" w:rsidP="00B131A9"/>
        </w:tc>
        <w:tc>
          <w:tcPr>
            <w:tcW w:w="0" w:type="auto"/>
          </w:tcPr>
          <w:p w14:paraId="20671F7F" w14:textId="0348D85A" w:rsidR="005A5F19" w:rsidRPr="00246A33" w:rsidRDefault="005A5F19" w:rsidP="005A5F19">
            <w:r w:rsidRPr="00246A33">
              <w:t>Is there a need to add this question to any survey to be done of TM/brand owners (e.g. as is recommended for Question 2</w:t>
            </w:r>
            <w:r w:rsidR="00B547FB" w:rsidRPr="00246A33">
              <w:t>, above</w:t>
            </w:r>
            <w:r w:rsidRPr="00246A33">
              <w:t xml:space="preserve">)? </w:t>
            </w:r>
          </w:p>
        </w:tc>
      </w:tr>
    </w:tbl>
    <w:p w14:paraId="3BA3124A" w14:textId="423E06F5" w:rsidR="00D14776" w:rsidRDefault="00D14776" w:rsidP="00E02782">
      <w:r>
        <w:t xml:space="preserve"> </w:t>
      </w:r>
    </w:p>
    <w:sectPr w:rsidR="00D14776" w:rsidSect="00746FE3">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0FEAA" w14:textId="77777777" w:rsidR="00BA4983" w:rsidRDefault="00BA4983" w:rsidP="008E23AC">
      <w:r>
        <w:separator/>
      </w:r>
    </w:p>
  </w:endnote>
  <w:endnote w:type="continuationSeparator" w:id="0">
    <w:p w14:paraId="7F38A014" w14:textId="77777777" w:rsidR="00BA4983" w:rsidRDefault="00BA4983" w:rsidP="008E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C032" w14:textId="77777777" w:rsidR="00B131A9" w:rsidRDefault="00B131A9" w:rsidP="008E23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D826C9" w14:textId="77777777" w:rsidR="00B131A9" w:rsidRDefault="00B131A9" w:rsidP="008E23A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D1BDA" w14:textId="77777777" w:rsidR="00B131A9" w:rsidRDefault="00B131A9" w:rsidP="008E23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0744">
      <w:rPr>
        <w:rStyle w:val="PageNumber"/>
        <w:noProof/>
      </w:rPr>
      <w:t>1</w:t>
    </w:r>
    <w:r>
      <w:rPr>
        <w:rStyle w:val="PageNumber"/>
      </w:rPr>
      <w:fldChar w:fldCharType="end"/>
    </w:r>
  </w:p>
  <w:p w14:paraId="01DE4B58" w14:textId="77777777" w:rsidR="00B131A9" w:rsidRDefault="00B131A9" w:rsidP="008E23A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9A485" w14:textId="77777777" w:rsidR="00BA4983" w:rsidRDefault="00BA4983" w:rsidP="008E23AC">
      <w:r>
        <w:separator/>
      </w:r>
    </w:p>
  </w:footnote>
  <w:footnote w:type="continuationSeparator" w:id="0">
    <w:p w14:paraId="796A5831" w14:textId="77777777" w:rsidR="00BA4983" w:rsidRDefault="00BA4983" w:rsidP="008E23AC">
      <w:r>
        <w:continuationSeparator/>
      </w:r>
    </w:p>
  </w:footnote>
  <w:footnote w:id="1">
    <w:p w14:paraId="71E2445C" w14:textId="3BF0A3DD" w:rsidR="00B131A9" w:rsidRPr="00746FE3" w:rsidRDefault="00B131A9">
      <w:pPr>
        <w:pStyle w:val="FootnoteText"/>
        <w:rPr>
          <w:sz w:val="20"/>
          <w:szCs w:val="20"/>
        </w:rPr>
      </w:pPr>
      <w:r w:rsidRPr="00746FE3">
        <w:rPr>
          <w:rStyle w:val="FootnoteReference"/>
          <w:sz w:val="20"/>
          <w:szCs w:val="20"/>
        </w:rPr>
        <w:footnoteRef/>
      </w:r>
      <w:r w:rsidRPr="00746FE3">
        <w:rPr>
          <w:sz w:val="20"/>
          <w:szCs w:val="20"/>
        </w:rPr>
        <w:t xml:space="preserve"> The Metrics Request Form developed by the DMPM Working Group was incorporated into the GNSO Operating Procedures as Section 4.5 of the GNSO Working Group Guidelines: </w:t>
      </w:r>
      <w:hyperlink r:id="rId1" w:history="1">
        <w:r w:rsidRPr="00746FE3">
          <w:rPr>
            <w:rStyle w:val="Hyperlink"/>
            <w:sz w:val="20"/>
            <w:szCs w:val="20"/>
          </w:rPr>
          <w:t>https://gnso.icann.org/en/council/annex-1-gnso-wg-guidelines-01sep16-en.pdf</w:t>
        </w:r>
      </w:hyperlink>
      <w:r w:rsidRPr="00746FE3">
        <w:rPr>
          <w:sz w:val="20"/>
          <w:szCs w:val="20"/>
        </w:rPr>
        <w:t xml:space="preserve">. </w:t>
      </w:r>
    </w:p>
  </w:footnote>
  <w:footnote w:id="2">
    <w:p w14:paraId="716F6F1A" w14:textId="52AC55BF" w:rsidR="00B131A9" w:rsidRPr="00746FE3" w:rsidRDefault="00B131A9">
      <w:pPr>
        <w:pStyle w:val="FootnoteText"/>
        <w:rPr>
          <w:sz w:val="20"/>
          <w:szCs w:val="20"/>
        </w:rPr>
      </w:pPr>
      <w:r w:rsidRPr="00746FE3">
        <w:rPr>
          <w:rStyle w:val="FootnoteReference"/>
          <w:sz w:val="20"/>
          <w:szCs w:val="20"/>
        </w:rPr>
        <w:footnoteRef/>
      </w:r>
      <w:r w:rsidRPr="00746FE3">
        <w:rPr>
          <w:sz w:val="20"/>
          <w:szCs w:val="20"/>
        </w:rPr>
        <w:t xml:space="preserve"> See Pages 17-18 of the DMPM Working Group’s </w:t>
      </w:r>
      <w:hyperlink r:id="rId2" w:history="1">
        <w:r w:rsidRPr="00746FE3">
          <w:rPr>
            <w:rStyle w:val="Hyperlink"/>
            <w:sz w:val="20"/>
            <w:szCs w:val="20"/>
          </w:rPr>
          <w:t>Final Report</w:t>
        </w:r>
      </w:hyperlink>
      <w:r w:rsidRPr="00746FE3">
        <w:rPr>
          <w:sz w:val="20"/>
          <w:szCs w:val="20"/>
        </w:rPr>
        <w:t xml:space="preserve"> (dated October 2015).</w:t>
      </w:r>
    </w:p>
  </w:footnote>
  <w:footnote w:id="3">
    <w:p w14:paraId="1F8CAA3A" w14:textId="4545A2D3" w:rsidR="00B131A9" w:rsidRDefault="00B131A9">
      <w:pPr>
        <w:pStyle w:val="FootnoteText"/>
      </w:pPr>
      <w:r w:rsidRPr="00746FE3">
        <w:rPr>
          <w:rStyle w:val="FootnoteReference"/>
          <w:sz w:val="20"/>
          <w:szCs w:val="20"/>
        </w:rPr>
        <w:footnoteRef/>
      </w:r>
      <w:r w:rsidRPr="00746FE3">
        <w:rPr>
          <w:sz w:val="20"/>
          <w:szCs w:val="20"/>
        </w:rPr>
        <w:t xml:space="preserve"> See Annex B of the DMPM Final Report.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7DC9"/>
    <w:multiLevelType w:val="hybridMultilevel"/>
    <w:tmpl w:val="A496AF2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2F44A3"/>
    <w:multiLevelType w:val="hybridMultilevel"/>
    <w:tmpl w:val="B470E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D2FE5"/>
    <w:multiLevelType w:val="hybridMultilevel"/>
    <w:tmpl w:val="244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A6ED3"/>
    <w:multiLevelType w:val="hybridMultilevel"/>
    <w:tmpl w:val="33A497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7574BC"/>
    <w:multiLevelType w:val="hybridMultilevel"/>
    <w:tmpl w:val="75943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E03098"/>
    <w:multiLevelType w:val="hybridMultilevel"/>
    <w:tmpl w:val="228CCEC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6F4DFA"/>
    <w:multiLevelType w:val="hybridMultilevel"/>
    <w:tmpl w:val="B54EE8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8B0344"/>
    <w:multiLevelType w:val="hybridMultilevel"/>
    <w:tmpl w:val="FDAC5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022D5"/>
    <w:multiLevelType w:val="hybridMultilevel"/>
    <w:tmpl w:val="5BE494A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291161"/>
    <w:multiLevelType w:val="hybridMultilevel"/>
    <w:tmpl w:val="AD307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84F7F"/>
    <w:multiLevelType w:val="hybridMultilevel"/>
    <w:tmpl w:val="E17E33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A77AB5"/>
    <w:multiLevelType w:val="hybridMultilevel"/>
    <w:tmpl w:val="389E629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0A1A16"/>
    <w:multiLevelType w:val="hybridMultilevel"/>
    <w:tmpl w:val="E17E33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E41F71"/>
    <w:multiLevelType w:val="hybridMultilevel"/>
    <w:tmpl w:val="07EC6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E72E5"/>
    <w:multiLevelType w:val="hybridMultilevel"/>
    <w:tmpl w:val="BCB033D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8217EB"/>
    <w:multiLevelType w:val="hybridMultilevel"/>
    <w:tmpl w:val="926A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B6BA2"/>
    <w:multiLevelType w:val="hybridMultilevel"/>
    <w:tmpl w:val="F4F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C0798A"/>
    <w:multiLevelType w:val="hybridMultilevel"/>
    <w:tmpl w:val="F69081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116ED7"/>
    <w:multiLevelType w:val="hybridMultilevel"/>
    <w:tmpl w:val="F8A4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878CD"/>
    <w:multiLevelType w:val="hybridMultilevel"/>
    <w:tmpl w:val="48F43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1C7A10"/>
    <w:multiLevelType w:val="hybridMultilevel"/>
    <w:tmpl w:val="007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954D4C"/>
    <w:multiLevelType w:val="hybridMultilevel"/>
    <w:tmpl w:val="5A7A4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DC4735"/>
    <w:multiLevelType w:val="hybridMultilevel"/>
    <w:tmpl w:val="021C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043D91"/>
    <w:multiLevelType w:val="hybridMultilevel"/>
    <w:tmpl w:val="635053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3E48F7"/>
    <w:multiLevelType w:val="hybridMultilevel"/>
    <w:tmpl w:val="EA06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531BF8"/>
    <w:multiLevelType w:val="hybridMultilevel"/>
    <w:tmpl w:val="4D6CBE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DD4D03"/>
    <w:multiLevelType w:val="hybridMultilevel"/>
    <w:tmpl w:val="50D8E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B83DB2"/>
    <w:multiLevelType w:val="hybridMultilevel"/>
    <w:tmpl w:val="27E6263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0"/>
  </w:num>
  <w:num w:numId="3">
    <w:abstractNumId w:val="18"/>
  </w:num>
  <w:num w:numId="4">
    <w:abstractNumId w:val="24"/>
  </w:num>
  <w:num w:numId="5">
    <w:abstractNumId w:val="1"/>
  </w:num>
  <w:num w:numId="6">
    <w:abstractNumId w:val="30"/>
  </w:num>
  <w:num w:numId="7">
    <w:abstractNumId w:val="5"/>
  </w:num>
  <w:num w:numId="8">
    <w:abstractNumId w:val="10"/>
  </w:num>
  <w:num w:numId="9">
    <w:abstractNumId w:val="13"/>
  </w:num>
  <w:num w:numId="10">
    <w:abstractNumId w:val="19"/>
  </w:num>
  <w:num w:numId="11">
    <w:abstractNumId w:val="16"/>
  </w:num>
  <w:num w:numId="12">
    <w:abstractNumId w:val="29"/>
  </w:num>
  <w:num w:numId="13">
    <w:abstractNumId w:val="25"/>
  </w:num>
  <w:num w:numId="14">
    <w:abstractNumId w:val="7"/>
  </w:num>
  <w:num w:numId="15">
    <w:abstractNumId w:val="17"/>
  </w:num>
  <w:num w:numId="16">
    <w:abstractNumId w:val="22"/>
  </w:num>
  <w:num w:numId="17">
    <w:abstractNumId w:val="26"/>
  </w:num>
  <w:num w:numId="18">
    <w:abstractNumId w:val="6"/>
  </w:num>
  <w:num w:numId="19">
    <w:abstractNumId w:val="9"/>
  </w:num>
  <w:num w:numId="20">
    <w:abstractNumId w:val="21"/>
  </w:num>
  <w:num w:numId="21">
    <w:abstractNumId w:val="11"/>
  </w:num>
  <w:num w:numId="22">
    <w:abstractNumId w:val="27"/>
  </w:num>
  <w:num w:numId="23">
    <w:abstractNumId w:val="23"/>
  </w:num>
  <w:num w:numId="24">
    <w:abstractNumId w:val="3"/>
  </w:num>
  <w:num w:numId="25">
    <w:abstractNumId w:val="4"/>
  </w:num>
  <w:num w:numId="26">
    <w:abstractNumId w:val="2"/>
  </w:num>
  <w:num w:numId="27">
    <w:abstractNumId w:val="8"/>
  </w:num>
  <w:num w:numId="28">
    <w:abstractNumId w:val="15"/>
  </w:num>
  <w:num w:numId="29">
    <w:abstractNumId w:val="0"/>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1F"/>
    <w:rsid w:val="00033185"/>
    <w:rsid w:val="0008387E"/>
    <w:rsid w:val="00095DA0"/>
    <w:rsid w:val="00125FAA"/>
    <w:rsid w:val="001C36FF"/>
    <w:rsid w:val="001E41C4"/>
    <w:rsid w:val="002012DB"/>
    <w:rsid w:val="00232965"/>
    <w:rsid w:val="00246A33"/>
    <w:rsid w:val="00261634"/>
    <w:rsid w:val="00297022"/>
    <w:rsid w:val="003538CC"/>
    <w:rsid w:val="00363759"/>
    <w:rsid w:val="003906D7"/>
    <w:rsid w:val="00481C34"/>
    <w:rsid w:val="004973B4"/>
    <w:rsid w:val="00590543"/>
    <w:rsid w:val="005A5F19"/>
    <w:rsid w:val="005C23C9"/>
    <w:rsid w:val="005E154C"/>
    <w:rsid w:val="0062061C"/>
    <w:rsid w:val="00632425"/>
    <w:rsid w:val="006B4923"/>
    <w:rsid w:val="006D47DE"/>
    <w:rsid w:val="00716B81"/>
    <w:rsid w:val="00717D4C"/>
    <w:rsid w:val="00746FE3"/>
    <w:rsid w:val="007B4FCC"/>
    <w:rsid w:val="007C02E8"/>
    <w:rsid w:val="00825415"/>
    <w:rsid w:val="008A7C0D"/>
    <w:rsid w:val="008E23AC"/>
    <w:rsid w:val="00976CB2"/>
    <w:rsid w:val="00A30514"/>
    <w:rsid w:val="00A3594C"/>
    <w:rsid w:val="00A70744"/>
    <w:rsid w:val="00A811CA"/>
    <w:rsid w:val="00AB163B"/>
    <w:rsid w:val="00AD0FC9"/>
    <w:rsid w:val="00B131A9"/>
    <w:rsid w:val="00B547FB"/>
    <w:rsid w:val="00BA4877"/>
    <w:rsid w:val="00BA4983"/>
    <w:rsid w:val="00BA4E80"/>
    <w:rsid w:val="00BB76C7"/>
    <w:rsid w:val="00CA001E"/>
    <w:rsid w:val="00CC134D"/>
    <w:rsid w:val="00CE570F"/>
    <w:rsid w:val="00D0220E"/>
    <w:rsid w:val="00D14776"/>
    <w:rsid w:val="00DB5DC9"/>
    <w:rsid w:val="00DD1B81"/>
    <w:rsid w:val="00DE6D79"/>
    <w:rsid w:val="00E02782"/>
    <w:rsid w:val="00E21893"/>
    <w:rsid w:val="00E358C9"/>
    <w:rsid w:val="00E37657"/>
    <w:rsid w:val="00E439C3"/>
    <w:rsid w:val="00E62FDD"/>
    <w:rsid w:val="00EB2D9C"/>
    <w:rsid w:val="00EB416F"/>
    <w:rsid w:val="00F22E1F"/>
    <w:rsid w:val="00F438ED"/>
    <w:rsid w:val="00F479FB"/>
    <w:rsid w:val="00F87389"/>
    <w:rsid w:val="00FA2BD6"/>
    <w:rsid w:val="00FA6F10"/>
    <w:rsid w:val="00FB599A"/>
    <w:rsid w:val="00FF1D37"/>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4712DD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87E"/>
    <w:rPr>
      <w:color w:val="0563C1" w:themeColor="hyperlink"/>
      <w:u w:val="single"/>
    </w:rPr>
  </w:style>
  <w:style w:type="paragraph" w:styleId="ListParagraph">
    <w:name w:val="List Paragraph"/>
    <w:basedOn w:val="Normal"/>
    <w:uiPriority w:val="34"/>
    <w:qFormat/>
    <w:rsid w:val="00632425"/>
    <w:pPr>
      <w:ind w:left="720"/>
      <w:contextualSpacing/>
    </w:pPr>
  </w:style>
  <w:style w:type="character" w:styleId="CommentReference">
    <w:name w:val="annotation reference"/>
    <w:basedOn w:val="DefaultParagraphFont"/>
    <w:uiPriority w:val="99"/>
    <w:semiHidden/>
    <w:unhideWhenUsed/>
    <w:rsid w:val="001C36FF"/>
    <w:rPr>
      <w:sz w:val="18"/>
      <w:szCs w:val="18"/>
    </w:rPr>
  </w:style>
  <w:style w:type="paragraph" w:styleId="CommentText">
    <w:name w:val="annotation text"/>
    <w:basedOn w:val="Normal"/>
    <w:link w:val="CommentTextChar"/>
    <w:uiPriority w:val="99"/>
    <w:semiHidden/>
    <w:unhideWhenUsed/>
    <w:rsid w:val="001C36FF"/>
  </w:style>
  <w:style w:type="character" w:customStyle="1" w:styleId="CommentTextChar">
    <w:name w:val="Comment Text Char"/>
    <w:basedOn w:val="DefaultParagraphFont"/>
    <w:link w:val="CommentText"/>
    <w:uiPriority w:val="99"/>
    <w:semiHidden/>
    <w:rsid w:val="001C36FF"/>
  </w:style>
  <w:style w:type="paragraph" w:styleId="BalloonText">
    <w:name w:val="Balloon Text"/>
    <w:basedOn w:val="Normal"/>
    <w:link w:val="BalloonTextChar"/>
    <w:uiPriority w:val="99"/>
    <w:semiHidden/>
    <w:unhideWhenUsed/>
    <w:rsid w:val="001C36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36F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1E41C4"/>
    <w:rPr>
      <w:color w:val="954F72" w:themeColor="followedHyperlink"/>
      <w:u w:val="single"/>
    </w:rPr>
  </w:style>
  <w:style w:type="table" w:styleId="TableGrid">
    <w:name w:val="Table Grid"/>
    <w:basedOn w:val="TableNormal"/>
    <w:uiPriority w:val="39"/>
    <w:rsid w:val="00297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E23AC"/>
    <w:pPr>
      <w:tabs>
        <w:tab w:val="center" w:pos="4680"/>
        <w:tab w:val="right" w:pos="9360"/>
      </w:tabs>
    </w:pPr>
  </w:style>
  <w:style w:type="character" w:customStyle="1" w:styleId="FooterChar">
    <w:name w:val="Footer Char"/>
    <w:basedOn w:val="DefaultParagraphFont"/>
    <w:link w:val="Footer"/>
    <w:uiPriority w:val="99"/>
    <w:rsid w:val="008E23AC"/>
  </w:style>
  <w:style w:type="character" w:styleId="PageNumber">
    <w:name w:val="page number"/>
    <w:basedOn w:val="DefaultParagraphFont"/>
    <w:uiPriority w:val="99"/>
    <w:semiHidden/>
    <w:unhideWhenUsed/>
    <w:rsid w:val="008E23AC"/>
  </w:style>
  <w:style w:type="paragraph" w:styleId="FootnoteText">
    <w:name w:val="footnote text"/>
    <w:basedOn w:val="Normal"/>
    <w:link w:val="FootnoteTextChar"/>
    <w:uiPriority w:val="99"/>
    <w:unhideWhenUsed/>
    <w:rsid w:val="00CE570F"/>
  </w:style>
  <w:style w:type="character" w:customStyle="1" w:styleId="FootnoteTextChar">
    <w:name w:val="Footnote Text Char"/>
    <w:basedOn w:val="DefaultParagraphFont"/>
    <w:link w:val="FootnoteText"/>
    <w:uiPriority w:val="99"/>
    <w:rsid w:val="00CE570F"/>
  </w:style>
  <w:style w:type="character" w:styleId="FootnoteReference">
    <w:name w:val="footnote reference"/>
    <w:basedOn w:val="DefaultParagraphFont"/>
    <w:uiPriority w:val="99"/>
    <w:unhideWhenUsed/>
    <w:rsid w:val="00CE570F"/>
    <w:rPr>
      <w:vertAlign w:val="superscript"/>
    </w:rPr>
  </w:style>
  <w:style w:type="paragraph" w:styleId="CommentSubject">
    <w:name w:val="annotation subject"/>
    <w:basedOn w:val="CommentText"/>
    <w:next w:val="CommentText"/>
    <w:link w:val="CommentSubjectChar"/>
    <w:uiPriority w:val="99"/>
    <w:semiHidden/>
    <w:unhideWhenUsed/>
    <w:rsid w:val="00DD1B81"/>
    <w:rPr>
      <w:b/>
      <w:bCs/>
      <w:sz w:val="20"/>
      <w:szCs w:val="20"/>
    </w:rPr>
  </w:style>
  <w:style w:type="character" w:customStyle="1" w:styleId="CommentSubjectChar">
    <w:name w:val="Comment Subject Char"/>
    <w:basedOn w:val="CommentTextChar"/>
    <w:link w:val="CommentSubject"/>
    <w:uiPriority w:val="99"/>
    <w:semiHidden/>
    <w:rsid w:val="00DD1B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27700">
      <w:bodyDiv w:val="1"/>
      <w:marLeft w:val="0"/>
      <w:marRight w:val="0"/>
      <w:marTop w:val="0"/>
      <w:marBottom w:val="0"/>
      <w:divBdr>
        <w:top w:val="none" w:sz="0" w:space="0" w:color="auto"/>
        <w:left w:val="none" w:sz="0" w:space="0" w:color="auto"/>
        <w:bottom w:val="none" w:sz="0" w:space="0" w:color="auto"/>
        <w:right w:val="none" w:sz="0" w:space="0" w:color="auto"/>
      </w:divBdr>
    </w:div>
    <w:div w:id="1158960684">
      <w:bodyDiv w:val="1"/>
      <w:marLeft w:val="0"/>
      <w:marRight w:val="0"/>
      <w:marTop w:val="0"/>
      <w:marBottom w:val="0"/>
      <w:divBdr>
        <w:top w:val="none" w:sz="0" w:space="0" w:color="auto"/>
        <w:left w:val="none" w:sz="0" w:space="0" w:color="auto"/>
        <w:bottom w:val="none" w:sz="0" w:space="0" w:color="auto"/>
        <w:right w:val="none" w:sz="0" w:space="0" w:color="auto"/>
      </w:divBdr>
    </w:div>
    <w:div w:id="1384135662">
      <w:bodyDiv w:val="1"/>
      <w:marLeft w:val="0"/>
      <w:marRight w:val="0"/>
      <w:marTop w:val="0"/>
      <w:marBottom w:val="0"/>
      <w:divBdr>
        <w:top w:val="none" w:sz="0" w:space="0" w:color="auto"/>
        <w:left w:val="none" w:sz="0" w:space="0" w:color="auto"/>
        <w:bottom w:val="none" w:sz="0" w:space="0" w:color="auto"/>
        <w:right w:val="none" w:sz="0" w:space="0" w:color="auto"/>
      </w:divBdr>
    </w:div>
    <w:div w:id="1396319191">
      <w:bodyDiv w:val="1"/>
      <w:marLeft w:val="0"/>
      <w:marRight w:val="0"/>
      <w:marTop w:val="0"/>
      <w:marBottom w:val="0"/>
      <w:divBdr>
        <w:top w:val="none" w:sz="0" w:space="0" w:color="auto"/>
        <w:left w:val="none" w:sz="0" w:space="0" w:color="auto"/>
        <w:bottom w:val="none" w:sz="0" w:space="0" w:color="auto"/>
        <w:right w:val="none" w:sz="0" w:space="0" w:color="auto"/>
      </w:divBdr>
    </w:div>
    <w:div w:id="1404447706">
      <w:bodyDiv w:val="1"/>
      <w:marLeft w:val="0"/>
      <w:marRight w:val="0"/>
      <w:marTop w:val="0"/>
      <w:marBottom w:val="0"/>
      <w:divBdr>
        <w:top w:val="none" w:sz="0" w:space="0" w:color="auto"/>
        <w:left w:val="none" w:sz="0" w:space="0" w:color="auto"/>
        <w:bottom w:val="none" w:sz="0" w:space="0" w:color="auto"/>
        <w:right w:val="none" w:sz="0" w:space="0" w:color="auto"/>
      </w:divBdr>
    </w:div>
    <w:div w:id="1413964661">
      <w:bodyDiv w:val="1"/>
      <w:marLeft w:val="0"/>
      <w:marRight w:val="0"/>
      <w:marTop w:val="0"/>
      <w:marBottom w:val="0"/>
      <w:divBdr>
        <w:top w:val="none" w:sz="0" w:space="0" w:color="auto"/>
        <w:left w:val="none" w:sz="0" w:space="0" w:color="auto"/>
        <w:bottom w:val="none" w:sz="0" w:space="0" w:color="auto"/>
        <w:right w:val="none" w:sz="0" w:space="0" w:color="auto"/>
      </w:divBdr>
    </w:div>
    <w:div w:id="1740059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49358271/DMPM_Metrics_Request_DecisionTree_InitialReport.pdf?version=1&amp;modificationDate=1437863851034&amp;api=v2" TargetMode="External"/><Relationship Id="rId8" Type="http://schemas.openxmlformats.org/officeDocument/2006/relationships/hyperlink" Target="https://newgtlds.icann.org/en/program-status/sunrise-claims-periods)"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council/annex-1-gnso-wg-guidelines-01sep16-en.pdf" TargetMode="External"/><Relationship Id="rId2" Type="http://schemas.openxmlformats.org/officeDocument/2006/relationships/hyperlink" Target="https://gnso.icann.org/en/issues/dmpm-final-09oct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11327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2017-08-01T23:08:00Z</dcterms:created>
  <dcterms:modified xsi:type="dcterms:W3CDTF">2017-08-01T23:08:00Z</dcterms:modified>
</cp:coreProperties>
</file>