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45154" w14:textId="2A9F27FC" w:rsidR="004C7DCC" w:rsidRPr="004C7DCC" w:rsidRDefault="000B13DA" w:rsidP="004C7DCC">
      <w:pPr>
        <w:pStyle w:val="Heading1"/>
        <w:jc w:val="center"/>
      </w:pPr>
      <w:r>
        <w:t xml:space="preserve">Consideration of Multiple Changes and the Inclusion of </w:t>
      </w:r>
      <w:r w:rsidR="004C7DCC">
        <w:t>DNS Operations</w:t>
      </w:r>
      <w:r w:rsidR="004C7DCC">
        <w:br/>
        <w:t xml:space="preserve">Input to the </w:t>
      </w:r>
      <w:r w:rsidR="004C7DCC" w:rsidRPr="004C7DCC">
        <w:t>Transfer Policy Review (TPR) Working Group</w:t>
      </w:r>
      <w:r w:rsidR="004C7DCC">
        <w:br/>
      </w:r>
    </w:p>
    <w:p w14:paraId="33A2B5D0" w14:textId="4420EE83" w:rsidR="004C7DCC" w:rsidRDefault="004C7DCC" w:rsidP="004C7DCC">
      <w:pPr>
        <w:jc w:val="center"/>
      </w:pPr>
      <w:r>
        <w:t>Steve Crocker, invited subject matter expert</w:t>
      </w:r>
    </w:p>
    <w:p w14:paraId="073CE3EE" w14:textId="13E7311C" w:rsidR="004C7DCC" w:rsidRPr="004C7DCC" w:rsidRDefault="004C7DCC" w:rsidP="004C7DCC">
      <w:pPr>
        <w:jc w:val="center"/>
      </w:pPr>
      <w:r>
        <w:t>1</w:t>
      </w:r>
      <w:r w:rsidR="00730D7A">
        <w:t>5</w:t>
      </w:r>
      <w:r>
        <w:t xml:space="preserve"> May 2021</w:t>
      </w:r>
    </w:p>
    <w:p w14:paraId="254746F5" w14:textId="77777777" w:rsidR="000B13DA" w:rsidRDefault="000B13DA" w:rsidP="00367713">
      <w:pPr>
        <w:pStyle w:val="Heading2"/>
      </w:pPr>
    </w:p>
    <w:p w14:paraId="0412FC97" w14:textId="0FD2CE76" w:rsidR="00390CA4" w:rsidRDefault="00EA0FF3" w:rsidP="00367713">
      <w:pPr>
        <w:pStyle w:val="Heading2"/>
      </w:pPr>
      <w:r>
        <w:t>Transfer Scenarios</w:t>
      </w:r>
    </w:p>
    <w:p w14:paraId="4EFE6CFB" w14:textId="11A7BDD1" w:rsidR="00DD68D6" w:rsidRDefault="00DD68D6"/>
    <w:p w14:paraId="6B29B7B1" w14:textId="471F7564" w:rsidR="00DD68D6" w:rsidRDefault="00DD68D6">
      <w:r>
        <w:t>The charter distinguishes between inter-registrant and inter-registrar transfers.  A natural question is whether it is possible to change both the registrant and registra</w:t>
      </w:r>
      <w:r w:rsidR="00603FCD">
        <w:t>r</w:t>
      </w:r>
      <w:r>
        <w:t xml:space="preserve"> change at the same time.</w:t>
      </w:r>
    </w:p>
    <w:p w14:paraId="2B36B4CC" w14:textId="6CC2C109" w:rsidR="00D6290D" w:rsidRDefault="00D6290D"/>
    <w:p w14:paraId="067468B0" w14:textId="20D0CF35" w:rsidR="00D6290D" w:rsidRDefault="00D6290D">
      <w:r>
        <w:t xml:space="preserve">A separate issue is the disposition of the registrant’s DNS service.  For some transfers, </w:t>
      </w:r>
      <w:proofErr w:type="gramStart"/>
      <w:r>
        <w:t>e.g.</w:t>
      </w:r>
      <w:proofErr w:type="gramEnd"/>
      <w:r>
        <w:t xml:space="preserve"> the sale of a parked domain that is not in active use, there’s no need to worry about the DNS service.  However, in situations when the domain is in active use, it may be important for the DNS service to continue without interruption.</w:t>
      </w:r>
    </w:p>
    <w:p w14:paraId="61BA6A13" w14:textId="47843DF5" w:rsidR="00D6290D" w:rsidRDefault="00D6290D"/>
    <w:p w14:paraId="3749BECA" w14:textId="259A716A" w:rsidR="00D6290D" w:rsidRDefault="00D6290D">
      <w:r>
        <w:t xml:space="preserve">During the call </w:t>
      </w:r>
      <w:r w:rsidR="00485CCC">
        <w:t>on Friday</w:t>
      </w:r>
      <w:r>
        <w:t>, I suggested a two-by-two matrix of possibilities: Registrar transfer or Registrant transfer</w:t>
      </w:r>
      <w:r w:rsidR="004C7DCC">
        <w:t xml:space="preserve"> as one dimension and </w:t>
      </w:r>
      <w:r>
        <w:t>transfer or no transfer of the DNS service</w:t>
      </w:r>
      <w:r w:rsidR="004C7DCC">
        <w:t xml:space="preserve"> as the other dimension</w:t>
      </w:r>
      <w:r>
        <w:t>.  After some more thought, I realized the list of possibilities is a bit longer.  The registration transfer might be:</w:t>
      </w:r>
      <w:r>
        <w:br/>
      </w:r>
    </w:p>
    <w:p w14:paraId="30F41B72" w14:textId="4B1E1AFF" w:rsidR="00D6290D" w:rsidRDefault="00D6290D" w:rsidP="00D6290D">
      <w:pPr>
        <w:pStyle w:val="ListParagraph"/>
        <w:numPr>
          <w:ilvl w:val="0"/>
          <w:numId w:val="1"/>
        </w:numPr>
      </w:pPr>
      <w:r>
        <w:t>No transfer (included for completeness)</w:t>
      </w:r>
    </w:p>
    <w:p w14:paraId="5CFE9342" w14:textId="6935A28F" w:rsidR="00D6290D" w:rsidRDefault="00D6290D" w:rsidP="00D6290D">
      <w:pPr>
        <w:pStyle w:val="ListParagraph"/>
        <w:numPr>
          <w:ilvl w:val="0"/>
          <w:numId w:val="1"/>
        </w:numPr>
      </w:pPr>
      <w:r>
        <w:t>Change of Registrant</w:t>
      </w:r>
      <w:r w:rsidR="00367713">
        <w:t xml:space="preserve"> (New Rt)</w:t>
      </w:r>
    </w:p>
    <w:p w14:paraId="2E6DD692" w14:textId="68E6B02D" w:rsidR="00D6290D" w:rsidRDefault="00D6290D" w:rsidP="00D6290D">
      <w:pPr>
        <w:pStyle w:val="ListParagraph"/>
        <w:numPr>
          <w:ilvl w:val="0"/>
          <w:numId w:val="1"/>
        </w:numPr>
      </w:pPr>
      <w:r>
        <w:t>Change of Registrar</w:t>
      </w:r>
      <w:r w:rsidR="00367713">
        <w:t xml:space="preserve"> (New Rr)</w:t>
      </w:r>
    </w:p>
    <w:p w14:paraId="66B0E7E8" w14:textId="7C199F7A" w:rsidR="00D6290D" w:rsidRDefault="00D6290D" w:rsidP="00D6290D">
      <w:pPr>
        <w:pStyle w:val="ListParagraph"/>
        <w:numPr>
          <w:ilvl w:val="0"/>
          <w:numId w:val="1"/>
        </w:numPr>
      </w:pPr>
      <w:r>
        <w:t>Change of both Registrant and Registrar</w:t>
      </w:r>
      <w:r w:rsidR="00367713">
        <w:t xml:space="preserve"> (New </w:t>
      </w:r>
      <w:proofErr w:type="gramStart"/>
      <w:r w:rsidR="00367713">
        <w:t>Rt;</w:t>
      </w:r>
      <w:proofErr w:type="gramEnd"/>
      <w:r w:rsidR="00367713">
        <w:t xml:space="preserve"> New Rr)</w:t>
      </w:r>
    </w:p>
    <w:p w14:paraId="524F7924" w14:textId="70C8D306" w:rsidR="00D6290D" w:rsidRDefault="00D6290D" w:rsidP="00D6290D"/>
    <w:p w14:paraId="635478DA" w14:textId="05C4EBB8" w:rsidR="00D6290D" w:rsidRDefault="00D6290D" w:rsidP="00D6290D">
      <w:r>
        <w:t xml:space="preserve">At the same time, there are three possibilities </w:t>
      </w:r>
      <w:r w:rsidR="00367713">
        <w:t>pertaining to the DNS service:</w:t>
      </w:r>
    </w:p>
    <w:p w14:paraId="6E9398A7" w14:textId="2F544251" w:rsidR="00367713" w:rsidRDefault="00367713" w:rsidP="00D6290D"/>
    <w:p w14:paraId="4E80FCCF" w14:textId="47CB76DF" w:rsidR="00367713" w:rsidRDefault="00367713" w:rsidP="00367713">
      <w:pPr>
        <w:pStyle w:val="ListParagraph"/>
        <w:numPr>
          <w:ilvl w:val="0"/>
          <w:numId w:val="2"/>
        </w:numPr>
      </w:pPr>
      <w:r>
        <w:t>No change</w:t>
      </w:r>
    </w:p>
    <w:p w14:paraId="639C209A" w14:textId="16BB40DA" w:rsidR="00367713" w:rsidRDefault="00367713" w:rsidP="00367713">
      <w:pPr>
        <w:pStyle w:val="ListParagraph"/>
        <w:numPr>
          <w:ilvl w:val="0"/>
          <w:numId w:val="2"/>
        </w:numPr>
      </w:pPr>
      <w:r>
        <w:t xml:space="preserve">Transfer of unsigned DNS service (Unsigned </w:t>
      </w:r>
      <w:proofErr w:type="spellStart"/>
      <w:r>
        <w:t>xfr</w:t>
      </w:r>
      <w:proofErr w:type="spellEnd"/>
      <w:r>
        <w:t>)</w:t>
      </w:r>
    </w:p>
    <w:p w14:paraId="44C28C6F" w14:textId="7E080B38" w:rsidR="00367713" w:rsidRDefault="00367713" w:rsidP="00367713">
      <w:pPr>
        <w:pStyle w:val="ListParagraph"/>
        <w:numPr>
          <w:ilvl w:val="0"/>
          <w:numId w:val="2"/>
        </w:numPr>
      </w:pPr>
      <w:r>
        <w:t xml:space="preserve">Transfer of DNSSEC signed service (Signed </w:t>
      </w:r>
      <w:proofErr w:type="spellStart"/>
      <w:r>
        <w:t>xfr</w:t>
      </w:r>
      <w:proofErr w:type="spellEnd"/>
      <w:r>
        <w:t>)</w:t>
      </w:r>
    </w:p>
    <w:p w14:paraId="15A365F2" w14:textId="7C63C8C3" w:rsidR="00367713" w:rsidRDefault="00367713" w:rsidP="00367713"/>
    <w:p w14:paraId="1B19E996" w14:textId="0A1FE95D" w:rsidR="00367713" w:rsidRDefault="00367713" w:rsidP="00367713">
      <w:r>
        <w:t xml:space="preserve">These two effects create a total of twelve possible scenarios, including the null scenario where nothing changes.  The following table presents these in tabular form, </w:t>
      </w:r>
      <w:r w:rsidR="004C7DCC">
        <w:t xml:space="preserve">with the null scenario </w:t>
      </w:r>
      <w:r>
        <w:t>numbered 0.</w:t>
      </w:r>
    </w:p>
    <w:p w14:paraId="30CAD2C8" w14:textId="436AFB0F" w:rsidR="002C4E6F" w:rsidRDefault="002C4E6F">
      <w:r>
        <w:br w:type="page"/>
      </w:r>
    </w:p>
    <w:p w14:paraId="7A2E583F" w14:textId="77777777" w:rsidR="00EA0FF3" w:rsidRDefault="00EA0FF3"/>
    <w:tbl>
      <w:tblPr>
        <w:tblStyle w:val="TableGrid"/>
        <w:tblW w:w="0" w:type="auto"/>
        <w:tblLayout w:type="fixed"/>
        <w:tblLook w:val="04A0" w:firstRow="1" w:lastRow="0" w:firstColumn="1" w:lastColumn="0" w:noHBand="0" w:noVBand="1"/>
      </w:tblPr>
      <w:tblGrid>
        <w:gridCol w:w="720"/>
        <w:gridCol w:w="3600"/>
        <w:gridCol w:w="1080"/>
        <w:gridCol w:w="1080"/>
        <w:gridCol w:w="1080"/>
        <w:gridCol w:w="1080"/>
      </w:tblGrid>
      <w:tr w:rsidR="00DD68D6" w14:paraId="3A897124" w14:textId="77777777" w:rsidTr="00DD68D6">
        <w:tc>
          <w:tcPr>
            <w:tcW w:w="3600" w:type="dxa"/>
            <w:gridSpan w:val="2"/>
          </w:tcPr>
          <w:p w14:paraId="11BA8F7C" w14:textId="770A079E" w:rsidR="00DD68D6" w:rsidRDefault="00DD68D6" w:rsidP="00DD68D6">
            <w:pPr>
              <w:jc w:val="center"/>
            </w:pPr>
            <w:r>
              <w:t>Scenario</w:t>
            </w:r>
          </w:p>
        </w:tc>
        <w:tc>
          <w:tcPr>
            <w:tcW w:w="1080" w:type="dxa"/>
          </w:tcPr>
          <w:p w14:paraId="3D1F524D" w14:textId="3BD61904" w:rsidR="00DD68D6" w:rsidRDefault="00DD68D6" w:rsidP="00DD68D6">
            <w:pPr>
              <w:jc w:val="center"/>
            </w:pPr>
            <w:r>
              <w:t>New Rt</w:t>
            </w:r>
          </w:p>
        </w:tc>
        <w:tc>
          <w:tcPr>
            <w:tcW w:w="1080" w:type="dxa"/>
          </w:tcPr>
          <w:p w14:paraId="75A52E09" w14:textId="0A4C9947" w:rsidR="00DD68D6" w:rsidRDefault="00DD68D6" w:rsidP="00DD68D6">
            <w:pPr>
              <w:jc w:val="center"/>
            </w:pPr>
            <w:r>
              <w:t>New Rr</w:t>
            </w:r>
          </w:p>
        </w:tc>
        <w:tc>
          <w:tcPr>
            <w:tcW w:w="1080" w:type="dxa"/>
          </w:tcPr>
          <w:p w14:paraId="5CE3F5D8" w14:textId="253EC135" w:rsidR="00DD68D6" w:rsidRDefault="00DD68D6" w:rsidP="00DD68D6">
            <w:pPr>
              <w:jc w:val="center"/>
            </w:pPr>
            <w:r>
              <w:t>DNS</w:t>
            </w:r>
          </w:p>
        </w:tc>
        <w:tc>
          <w:tcPr>
            <w:tcW w:w="1080" w:type="dxa"/>
          </w:tcPr>
          <w:p w14:paraId="305B52EF" w14:textId="163798A0" w:rsidR="00DD68D6" w:rsidRDefault="00DD68D6" w:rsidP="00DD68D6">
            <w:pPr>
              <w:jc w:val="center"/>
            </w:pPr>
            <w:r>
              <w:t>DNSSEC</w:t>
            </w:r>
          </w:p>
        </w:tc>
      </w:tr>
      <w:tr w:rsidR="00DD68D6" w14:paraId="0D8C4597" w14:textId="77777777" w:rsidTr="00DD68D6">
        <w:tc>
          <w:tcPr>
            <w:tcW w:w="720" w:type="dxa"/>
          </w:tcPr>
          <w:p w14:paraId="3CAEBA9A" w14:textId="5FD11686" w:rsidR="00EA0FF3" w:rsidRDefault="005B4023" w:rsidP="005B4023">
            <w:pPr>
              <w:jc w:val="center"/>
            </w:pPr>
            <w:r>
              <w:t>0</w:t>
            </w:r>
          </w:p>
        </w:tc>
        <w:tc>
          <w:tcPr>
            <w:tcW w:w="3600" w:type="dxa"/>
          </w:tcPr>
          <w:p w14:paraId="45C65582" w14:textId="314D002C" w:rsidR="00EA0FF3" w:rsidRDefault="00EA0FF3">
            <w:r>
              <w:t>No change</w:t>
            </w:r>
          </w:p>
        </w:tc>
        <w:tc>
          <w:tcPr>
            <w:tcW w:w="1080" w:type="dxa"/>
          </w:tcPr>
          <w:p w14:paraId="64CB377D" w14:textId="563C984F" w:rsidR="00EA0FF3" w:rsidRDefault="00EA0FF3" w:rsidP="00DD68D6">
            <w:pPr>
              <w:jc w:val="center"/>
            </w:pPr>
          </w:p>
        </w:tc>
        <w:tc>
          <w:tcPr>
            <w:tcW w:w="1080" w:type="dxa"/>
          </w:tcPr>
          <w:p w14:paraId="631C9963" w14:textId="4F3096D9" w:rsidR="00EA0FF3" w:rsidRDefault="00EA0FF3" w:rsidP="00DD68D6">
            <w:pPr>
              <w:jc w:val="center"/>
            </w:pPr>
          </w:p>
        </w:tc>
        <w:tc>
          <w:tcPr>
            <w:tcW w:w="1080" w:type="dxa"/>
          </w:tcPr>
          <w:p w14:paraId="5B356925" w14:textId="4A45D282" w:rsidR="00EA0FF3" w:rsidRDefault="00EA0FF3" w:rsidP="00DD68D6">
            <w:pPr>
              <w:jc w:val="center"/>
            </w:pPr>
          </w:p>
        </w:tc>
        <w:tc>
          <w:tcPr>
            <w:tcW w:w="1080" w:type="dxa"/>
          </w:tcPr>
          <w:p w14:paraId="2B0F85C9" w14:textId="4F1F8BA3" w:rsidR="00EA0FF3" w:rsidRDefault="00EA0FF3" w:rsidP="00DD68D6">
            <w:pPr>
              <w:jc w:val="center"/>
            </w:pPr>
          </w:p>
        </w:tc>
      </w:tr>
      <w:tr w:rsidR="00DD68D6" w14:paraId="42363600" w14:textId="77777777" w:rsidTr="00DD68D6">
        <w:tc>
          <w:tcPr>
            <w:tcW w:w="720" w:type="dxa"/>
          </w:tcPr>
          <w:p w14:paraId="38CAFDF7" w14:textId="441C53C8" w:rsidR="001E2AB4" w:rsidRDefault="001E2AB4" w:rsidP="001E2AB4">
            <w:pPr>
              <w:jc w:val="center"/>
            </w:pPr>
            <w:r>
              <w:t>1</w:t>
            </w:r>
          </w:p>
        </w:tc>
        <w:tc>
          <w:tcPr>
            <w:tcW w:w="3600" w:type="dxa"/>
          </w:tcPr>
          <w:p w14:paraId="595675F7" w14:textId="63CEA805" w:rsidR="001E2AB4" w:rsidRDefault="00DD68D6" w:rsidP="001E2AB4">
            <w:r>
              <w:t>U</w:t>
            </w:r>
            <w:r w:rsidR="001E2AB4">
              <w:t>nsigned</w:t>
            </w:r>
            <w:r>
              <w:t xml:space="preserve"> </w:t>
            </w:r>
            <w:proofErr w:type="spellStart"/>
            <w:r>
              <w:t>xfr</w:t>
            </w:r>
            <w:proofErr w:type="spellEnd"/>
          </w:p>
        </w:tc>
        <w:tc>
          <w:tcPr>
            <w:tcW w:w="1080" w:type="dxa"/>
          </w:tcPr>
          <w:p w14:paraId="64F862D7" w14:textId="7ACA9C59" w:rsidR="001E2AB4" w:rsidRDefault="001E2AB4" w:rsidP="00DD68D6">
            <w:pPr>
              <w:jc w:val="center"/>
            </w:pPr>
          </w:p>
        </w:tc>
        <w:tc>
          <w:tcPr>
            <w:tcW w:w="1080" w:type="dxa"/>
          </w:tcPr>
          <w:p w14:paraId="27F4B157" w14:textId="2F4DE391" w:rsidR="001E2AB4" w:rsidRDefault="001E2AB4" w:rsidP="00DD68D6">
            <w:pPr>
              <w:jc w:val="center"/>
            </w:pPr>
          </w:p>
        </w:tc>
        <w:tc>
          <w:tcPr>
            <w:tcW w:w="1080" w:type="dxa"/>
          </w:tcPr>
          <w:p w14:paraId="71442B46" w14:textId="06F77B83" w:rsidR="001E2AB4" w:rsidRDefault="00404BEB" w:rsidP="00DD68D6">
            <w:pPr>
              <w:jc w:val="center"/>
            </w:pPr>
            <w:r>
              <w:t>√</w:t>
            </w:r>
          </w:p>
        </w:tc>
        <w:tc>
          <w:tcPr>
            <w:tcW w:w="1080" w:type="dxa"/>
          </w:tcPr>
          <w:p w14:paraId="5F3D0002" w14:textId="20AEBFEE" w:rsidR="001E2AB4" w:rsidRDefault="001E2AB4" w:rsidP="00DD68D6">
            <w:pPr>
              <w:jc w:val="center"/>
            </w:pPr>
          </w:p>
        </w:tc>
      </w:tr>
      <w:tr w:rsidR="00DD68D6" w14:paraId="427A3C3A" w14:textId="77777777" w:rsidTr="00DD68D6">
        <w:tc>
          <w:tcPr>
            <w:tcW w:w="720" w:type="dxa"/>
          </w:tcPr>
          <w:p w14:paraId="19E16498" w14:textId="23CEC0C9" w:rsidR="001E2AB4" w:rsidRDefault="001E2AB4" w:rsidP="001E2AB4">
            <w:pPr>
              <w:jc w:val="center"/>
            </w:pPr>
            <w:r>
              <w:t>2</w:t>
            </w:r>
          </w:p>
        </w:tc>
        <w:tc>
          <w:tcPr>
            <w:tcW w:w="3600" w:type="dxa"/>
          </w:tcPr>
          <w:p w14:paraId="34C27FB5" w14:textId="12F77D85" w:rsidR="001E2AB4" w:rsidRDefault="00DD68D6" w:rsidP="001E2AB4">
            <w:r>
              <w:t>S</w:t>
            </w:r>
            <w:r w:rsidR="001E2AB4">
              <w:t>igned</w:t>
            </w:r>
            <w:r>
              <w:t xml:space="preserve"> </w:t>
            </w:r>
            <w:proofErr w:type="spellStart"/>
            <w:r>
              <w:t>xfr</w:t>
            </w:r>
            <w:proofErr w:type="spellEnd"/>
          </w:p>
        </w:tc>
        <w:tc>
          <w:tcPr>
            <w:tcW w:w="1080" w:type="dxa"/>
          </w:tcPr>
          <w:p w14:paraId="24AA1733" w14:textId="3E219A3E" w:rsidR="001E2AB4" w:rsidRDefault="001E2AB4" w:rsidP="00DD68D6">
            <w:pPr>
              <w:jc w:val="center"/>
            </w:pPr>
          </w:p>
        </w:tc>
        <w:tc>
          <w:tcPr>
            <w:tcW w:w="1080" w:type="dxa"/>
          </w:tcPr>
          <w:p w14:paraId="2C48CE34" w14:textId="19EDDE0F" w:rsidR="001E2AB4" w:rsidRDefault="001E2AB4" w:rsidP="00DD68D6">
            <w:pPr>
              <w:jc w:val="center"/>
            </w:pPr>
          </w:p>
        </w:tc>
        <w:tc>
          <w:tcPr>
            <w:tcW w:w="1080" w:type="dxa"/>
          </w:tcPr>
          <w:p w14:paraId="001B7018" w14:textId="0A98ACE4" w:rsidR="001E2AB4" w:rsidRDefault="00732FBA" w:rsidP="00DD68D6">
            <w:pPr>
              <w:jc w:val="center"/>
            </w:pPr>
            <w:r>
              <w:t>√</w:t>
            </w:r>
          </w:p>
        </w:tc>
        <w:tc>
          <w:tcPr>
            <w:tcW w:w="1080" w:type="dxa"/>
          </w:tcPr>
          <w:p w14:paraId="37A7FBF8" w14:textId="4C335C6A" w:rsidR="001E2AB4" w:rsidRDefault="00732FBA" w:rsidP="00DD68D6">
            <w:pPr>
              <w:jc w:val="center"/>
            </w:pPr>
            <w:r>
              <w:t>√</w:t>
            </w:r>
          </w:p>
        </w:tc>
      </w:tr>
      <w:tr w:rsidR="00DD68D6" w14:paraId="480E72ED" w14:textId="77777777" w:rsidTr="00DD68D6">
        <w:tc>
          <w:tcPr>
            <w:tcW w:w="720" w:type="dxa"/>
          </w:tcPr>
          <w:p w14:paraId="1128C65F" w14:textId="5B38C6E5" w:rsidR="00DD68D6" w:rsidRDefault="00DD68D6" w:rsidP="00DD68D6">
            <w:pPr>
              <w:jc w:val="center"/>
            </w:pPr>
            <w:r>
              <w:t>3</w:t>
            </w:r>
          </w:p>
        </w:tc>
        <w:tc>
          <w:tcPr>
            <w:tcW w:w="3600" w:type="dxa"/>
          </w:tcPr>
          <w:p w14:paraId="66654AD8" w14:textId="5FDB4A49" w:rsidR="00DD68D6" w:rsidRDefault="00DD68D6" w:rsidP="00DD68D6">
            <w:r>
              <w:t>New Rr</w:t>
            </w:r>
          </w:p>
        </w:tc>
        <w:tc>
          <w:tcPr>
            <w:tcW w:w="1080" w:type="dxa"/>
          </w:tcPr>
          <w:p w14:paraId="56F52F23" w14:textId="372A6FA0" w:rsidR="00DD68D6" w:rsidRDefault="00DD68D6" w:rsidP="00DD68D6">
            <w:pPr>
              <w:jc w:val="center"/>
            </w:pPr>
          </w:p>
        </w:tc>
        <w:tc>
          <w:tcPr>
            <w:tcW w:w="1080" w:type="dxa"/>
          </w:tcPr>
          <w:p w14:paraId="171E366C" w14:textId="1B8691F2" w:rsidR="00DD68D6" w:rsidRDefault="00732FBA" w:rsidP="00DD68D6">
            <w:pPr>
              <w:jc w:val="center"/>
            </w:pPr>
            <w:r>
              <w:t>√</w:t>
            </w:r>
          </w:p>
        </w:tc>
        <w:tc>
          <w:tcPr>
            <w:tcW w:w="1080" w:type="dxa"/>
          </w:tcPr>
          <w:p w14:paraId="7D1A8581" w14:textId="5A3C87E7" w:rsidR="00DD68D6" w:rsidRDefault="00DD68D6" w:rsidP="00DD68D6">
            <w:pPr>
              <w:jc w:val="center"/>
            </w:pPr>
          </w:p>
        </w:tc>
        <w:tc>
          <w:tcPr>
            <w:tcW w:w="1080" w:type="dxa"/>
          </w:tcPr>
          <w:p w14:paraId="7D808F82" w14:textId="58DE30CE" w:rsidR="00DD68D6" w:rsidRDefault="00DD68D6" w:rsidP="00DD68D6">
            <w:pPr>
              <w:jc w:val="center"/>
            </w:pPr>
          </w:p>
        </w:tc>
      </w:tr>
      <w:tr w:rsidR="00DD68D6" w14:paraId="0C3D8776" w14:textId="77777777" w:rsidTr="00DD68D6">
        <w:tc>
          <w:tcPr>
            <w:tcW w:w="720" w:type="dxa"/>
          </w:tcPr>
          <w:p w14:paraId="42E5EAB8" w14:textId="4195DF95" w:rsidR="00DD68D6" w:rsidRDefault="00DD68D6" w:rsidP="00DD68D6">
            <w:pPr>
              <w:jc w:val="center"/>
            </w:pPr>
            <w:r>
              <w:t>4</w:t>
            </w:r>
          </w:p>
        </w:tc>
        <w:tc>
          <w:tcPr>
            <w:tcW w:w="3600" w:type="dxa"/>
          </w:tcPr>
          <w:p w14:paraId="6D5BBBF2" w14:textId="43FE595C" w:rsidR="00DD68D6" w:rsidRDefault="00DD68D6" w:rsidP="00DD68D6">
            <w:r>
              <w:t xml:space="preserve">New Rr; unsigned </w:t>
            </w:r>
            <w:proofErr w:type="spellStart"/>
            <w:r>
              <w:t>xfr</w:t>
            </w:r>
            <w:proofErr w:type="spellEnd"/>
          </w:p>
        </w:tc>
        <w:tc>
          <w:tcPr>
            <w:tcW w:w="1080" w:type="dxa"/>
          </w:tcPr>
          <w:p w14:paraId="7346288C" w14:textId="60CD2A12" w:rsidR="00DD68D6" w:rsidRDefault="00DD68D6" w:rsidP="00DD68D6">
            <w:pPr>
              <w:jc w:val="center"/>
            </w:pPr>
          </w:p>
        </w:tc>
        <w:tc>
          <w:tcPr>
            <w:tcW w:w="1080" w:type="dxa"/>
          </w:tcPr>
          <w:p w14:paraId="658E89F4" w14:textId="68B6DA4B" w:rsidR="00DD68D6" w:rsidRDefault="00732FBA" w:rsidP="00DD68D6">
            <w:pPr>
              <w:jc w:val="center"/>
            </w:pPr>
            <w:r>
              <w:t>√</w:t>
            </w:r>
          </w:p>
        </w:tc>
        <w:tc>
          <w:tcPr>
            <w:tcW w:w="1080" w:type="dxa"/>
          </w:tcPr>
          <w:p w14:paraId="284F42AA" w14:textId="688BBFCD" w:rsidR="00DD68D6" w:rsidRDefault="00732FBA" w:rsidP="00DD68D6">
            <w:pPr>
              <w:jc w:val="center"/>
            </w:pPr>
            <w:r>
              <w:t>√</w:t>
            </w:r>
          </w:p>
        </w:tc>
        <w:tc>
          <w:tcPr>
            <w:tcW w:w="1080" w:type="dxa"/>
          </w:tcPr>
          <w:p w14:paraId="03BD3241" w14:textId="1747C601" w:rsidR="00DD68D6" w:rsidRDefault="00DD68D6" w:rsidP="00DD68D6">
            <w:pPr>
              <w:jc w:val="center"/>
            </w:pPr>
          </w:p>
        </w:tc>
      </w:tr>
      <w:tr w:rsidR="00DD68D6" w14:paraId="5B903506" w14:textId="77777777" w:rsidTr="00DD68D6">
        <w:tc>
          <w:tcPr>
            <w:tcW w:w="720" w:type="dxa"/>
          </w:tcPr>
          <w:p w14:paraId="504AE218" w14:textId="373DF183" w:rsidR="00DD68D6" w:rsidRDefault="00DD68D6" w:rsidP="00DD68D6">
            <w:pPr>
              <w:jc w:val="center"/>
            </w:pPr>
            <w:r>
              <w:t>5</w:t>
            </w:r>
          </w:p>
        </w:tc>
        <w:tc>
          <w:tcPr>
            <w:tcW w:w="3600" w:type="dxa"/>
          </w:tcPr>
          <w:p w14:paraId="2F8274E9" w14:textId="16C50334" w:rsidR="00DD68D6" w:rsidRDefault="00DD68D6" w:rsidP="00DD68D6">
            <w:r>
              <w:t xml:space="preserve">New Rr; signed </w:t>
            </w:r>
            <w:proofErr w:type="spellStart"/>
            <w:r>
              <w:t>xfr</w:t>
            </w:r>
            <w:proofErr w:type="spellEnd"/>
          </w:p>
        </w:tc>
        <w:tc>
          <w:tcPr>
            <w:tcW w:w="1080" w:type="dxa"/>
          </w:tcPr>
          <w:p w14:paraId="3ACBED94" w14:textId="0E4229AC" w:rsidR="00DD68D6" w:rsidRDefault="00DD68D6" w:rsidP="00DD68D6">
            <w:pPr>
              <w:jc w:val="center"/>
            </w:pPr>
          </w:p>
        </w:tc>
        <w:tc>
          <w:tcPr>
            <w:tcW w:w="1080" w:type="dxa"/>
          </w:tcPr>
          <w:p w14:paraId="3C6625ED" w14:textId="36ECD1DC" w:rsidR="00DD68D6" w:rsidRDefault="00732FBA" w:rsidP="00DD68D6">
            <w:pPr>
              <w:jc w:val="center"/>
            </w:pPr>
            <w:r>
              <w:t>√</w:t>
            </w:r>
          </w:p>
        </w:tc>
        <w:tc>
          <w:tcPr>
            <w:tcW w:w="1080" w:type="dxa"/>
          </w:tcPr>
          <w:p w14:paraId="35C9C2CD" w14:textId="2E11E501" w:rsidR="00DD68D6" w:rsidRDefault="00732FBA" w:rsidP="00DD68D6">
            <w:pPr>
              <w:jc w:val="center"/>
            </w:pPr>
            <w:r>
              <w:t>√</w:t>
            </w:r>
          </w:p>
        </w:tc>
        <w:tc>
          <w:tcPr>
            <w:tcW w:w="1080" w:type="dxa"/>
          </w:tcPr>
          <w:p w14:paraId="1842F3D0" w14:textId="16A12F75" w:rsidR="00DD68D6" w:rsidRDefault="00732FBA" w:rsidP="00DD68D6">
            <w:pPr>
              <w:jc w:val="center"/>
            </w:pPr>
            <w:r>
              <w:t>√</w:t>
            </w:r>
          </w:p>
        </w:tc>
      </w:tr>
      <w:tr w:rsidR="00DD68D6" w14:paraId="1F36FE1E" w14:textId="77777777" w:rsidTr="00DD68D6">
        <w:tc>
          <w:tcPr>
            <w:tcW w:w="720" w:type="dxa"/>
          </w:tcPr>
          <w:p w14:paraId="543F8984" w14:textId="32C6899B" w:rsidR="00DD68D6" w:rsidRDefault="00DD68D6" w:rsidP="00DD68D6">
            <w:pPr>
              <w:jc w:val="center"/>
            </w:pPr>
            <w:r>
              <w:t>6</w:t>
            </w:r>
          </w:p>
        </w:tc>
        <w:tc>
          <w:tcPr>
            <w:tcW w:w="3600" w:type="dxa"/>
          </w:tcPr>
          <w:p w14:paraId="464F0570" w14:textId="3AA1568E" w:rsidR="00DD68D6" w:rsidRDefault="00DD68D6" w:rsidP="00DD68D6">
            <w:r>
              <w:t>New Rt</w:t>
            </w:r>
          </w:p>
        </w:tc>
        <w:tc>
          <w:tcPr>
            <w:tcW w:w="1080" w:type="dxa"/>
          </w:tcPr>
          <w:p w14:paraId="609086DB" w14:textId="49DCE613" w:rsidR="00DD68D6" w:rsidRDefault="00732FBA" w:rsidP="00DD68D6">
            <w:pPr>
              <w:jc w:val="center"/>
            </w:pPr>
            <w:r>
              <w:t>√</w:t>
            </w:r>
          </w:p>
        </w:tc>
        <w:tc>
          <w:tcPr>
            <w:tcW w:w="1080" w:type="dxa"/>
          </w:tcPr>
          <w:p w14:paraId="2392725A" w14:textId="45136CA9" w:rsidR="00DD68D6" w:rsidRDefault="00DD68D6" w:rsidP="00DD68D6">
            <w:pPr>
              <w:jc w:val="center"/>
            </w:pPr>
          </w:p>
        </w:tc>
        <w:tc>
          <w:tcPr>
            <w:tcW w:w="1080" w:type="dxa"/>
          </w:tcPr>
          <w:p w14:paraId="4439A4A9" w14:textId="58CC6FCA" w:rsidR="00DD68D6" w:rsidRDefault="00DD68D6" w:rsidP="00DD68D6">
            <w:pPr>
              <w:jc w:val="center"/>
            </w:pPr>
          </w:p>
        </w:tc>
        <w:tc>
          <w:tcPr>
            <w:tcW w:w="1080" w:type="dxa"/>
          </w:tcPr>
          <w:p w14:paraId="726EC98C" w14:textId="5956B4CA" w:rsidR="00DD68D6" w:rsidRDefault="00DD68D6" w:rsidP="00DD68D6">
            <w:pPr>
              <w:jc w:val="center"/>
            </w:pPr>
          </w:p>
        </w:tc>
      </w:tr>
      <w:tr w:rsidR="00DD68D6" w14:paraId="78D9C8B2" w14:textId="77777777" w:rsidTr="00DD68D6">
        <w:tc>
          <w:tcPr>
            <w:tcW w:w="720" w:type="dxa"/>
          </w:tcPr>
          <w:p w14:paraId="12A88EC9" w14:textId="7A29789A" w:rsidR="00DD68D6" w:rsidRDefault="00DD68D6" w:rsidP="00DD68D6">
            <w:pPr>
              <w:jc w:val="center"/>
            </w:pPr>
            <w:r>
              <w:t>7</w:t>
            </w:r>
          </w:p>
        </w:tc>
        <w:tc>
          <w:tcPr>
            <w:tcW w:w="3600" w:type="dxa"/>
          </w:tcPr>
          <w:p w14:paraId="1BBF7AED" w14:textId="41F82E75" w:rsidR="00DD68D6" w:rsidRDefault="00DD68D6" w:rsidP="00DD68D6">
            <w:r>
              <w:t xml:space="preserve">New Rt; unsigned </w:t>
            </w:r>
            <w:proofErr w:type="spellStart"/>
            <w:r>
              <w:t>xfr</w:t>
            </w:r>
            <w:proofErr w:type="spellEnd"/>
          </w:p>
        </w:tc>
        <w:tc>
          <w:tcPr>
            <w:tcW w:w="1080" w:type="dxa"/>
          </w:tcPr>
          <w:p w14:paraId="1BDB8827" w14:textId="74F46EC2" w:rsidR="00DD68D6" w:rsidRDefault="00732FBA" w:rsidP="00DD68D6">
            <w:pPr>
              <w:jc w:val="center"/>
            </w:pPr>
            <w:r>
              <w:t>√</w:t>
            </w:r>
          </w:p>
        </w:tc>
        <w:tc>
          <w:tcPr>
            <w:tcW w:w="1080" w:type="dxa"/>
          </w:tcPr>
          <w:p w14:paraId="50030088" w14:textId="4C6C9423" w:rsidR="00DD68D6" w:rsidRDefault="00DD68D6" w:rsidP="00DD68D6">
            <w:pPr>
              <w:jc w:val="center"/>
            </w:pPr>
          </w:p>
        </w:tc>
        <w:tc>
          <w:tcPr>
            <w:tcW w:w="1080" w:type="dxa"/>
          </w:tcPr>
          <w:p w14:paraId="1E383C5F" w14:textId="11FF9B30" w:rsidR="00DD68D6" w:rsidRDefault="00732FBA" w:rsidP="00DD68D6">
            <w:pPr>
              <w:jc w:val="center"/>
            </w:pPr>
            <w:r>
              <w:t>√</w:t>
            </w:r>
          </w:p>
        </w:tc>
        <w:tc>
          <w:tcPr>
            <w:tcW w:w="1080" w:type="dxa"/>
          </w:tcPr>
          <w:p w14:paraId="6E70CF9E" w14:textId="567E9A4A" w:rsidR="00DD68D6" w:rsidRDefault="00DD68D6" w:rsidP="00DD68D6">
            <w:pPr>
              <w:jc w:val="center"/>
            </w:pPr>
          </w:p>
        </w:tc>
      </w:tr>
      <w:tr w:rsidR="00DD68D6" w14:paraId="0F5E7D63" w14:textId="77777777" w:rsidTr="00DD68D6">
        <w:tc>
          <w:tcPr>
            <w:tcW w:w="720" w:type="dxa"/>
          </w:tcPr>
          <w:p w14:paraId="5CC5B04B" w14:textId="62D9D923" w:rsidR="00DD68D6" w:rsidRDefault="00DD68D6" w:rsidP="00DD68D6">
            <w:pPr>
              <w:jc w:val="center"/>
            </w:pPr>
            <w:r>
              <w:t>8</w:t>
            </w:r>
          </w:p>
        </w:tc>
        <w:tc>
          <w:tcPr>
            <w:tcW w:w="3600" w:type="dxa"/>
          </w:tcPr>
          <w:p w14:paraId="55F54EDF" w14:textId="7BED7D1B" w:rsidR="00DD68D6" w:rsidRDefault="00DD68D6" w:rsidP="00DD68D6">
            <w:r>
              <w:t xml:space="preserve">New Rt; signed </w:t>
            </w:r>
            <w:proofErr w:type="spellStart"/>
            <w:r>
              <w:t>xfr</w:t>
            </w:r>
            <w:proofErr w:type="spellEnd"/>
          </w:p>
        </w:tc>
        <w:tc>
          <w:tcPr>
            <w:tcW w:w="1080" w:type="dxa"/>
          </w:tcPr>
          <w:p w14:paraId="3EDFA4BE" w14:textId="614D4A95" w:rsidR="00DD68D6" w:rsidRDefault="00732FBA" w:rsidP="00DD68D6">
            <w:pPr>
              <w:jc w:val="center"/>
            </w:pPr>
            <w:r>
              <w:t>√</w:t>
            </w:r>
          </w:p>
        </w:tc>
        <w:tc>
          <w:tcPr>
            <w:tcW w:w="1080" w:type="dxa"/>
          </w:tcPr>
          <w:p w14:paraId="24BFDDCC" w14:textId="378C7C77" w:rsidR="00DD68D6" w:rsidRDefault="00DD68D6" w:rsidP="00DD68D6">
            <w:pPr>
              <w:jc w:val="center"/>
            </w:pPr>
          </w:p>
        </w:tc>
        <w:tc>
          <w:tcPr>
            <w:tcW w:w="1080" w:type="dxa"/>
          </w:tcPr>
          <w:p w14:paraId="6FACAD9A" w14:textId="5F39DDC0" w:rsidR="00DD68D6" w:rsidRDefault="00732FBA" w:rsidP="00DD68D6">
            <w:pPr>
              <w:jc w:val="center"/>
            </w:pPr>
            <w:r>
              <w:t>√</w:t>
            </w:r>
          </w:p>
        </w:tc>
        <w:tc>
          <w:tcPr>
            <w:tcW w:w="1080" w:type="dxa"/>
          </w:tcPr>
          <w:p w14:paraId="4E8CEC9F" w14:textId="080BE82B" w:rsidR="00DD68D6" w:rsidRDefault="00732FBA" w:rsidP="00DD68D6">
            <w:pPr>
              <w:jc w:val="center"/>
            </w:pPr>
            <w:r>
              <w:t>√</w:t>
            </w:r>
          </w:p>
        </w:tc>
      </w:tr>
      <w:tr w:rsidR="00DD68D6" w14:paraId="6440A136" w14:textId="77777777" w:rsidTr="00DD68D6">
        <w:tc>
          <w:tcPr>
            <w:tcW w:w="720" w:type="dxa"/>
          </w:tcPr>
          <w:p w14:paraId="207E675F" w14:textId="7DAFA246" w:rsidR="00DD68D6" w:rsidRDefault="00DD68D6" w:rsidP="00DD68D6">
            <w:pPr>
              <w:jc w:val="center"/>
            </w:pPr>
            <w:r>
              <w:t>9</w:t>
            </w:r>
          </w:p>
        </w:tc>
        <w:tc>
          <w:tcPr>
            <w:tcW w:w="3600" w:type="dxa"/>
          </w:tcPr>
          <w:p w14:paraId="36FCE87A" w14:textId="038C916B" w:rsidR="00DD68D6" w:rsidRDefault="00DD68D6" w:rsidP="00DD68D6">
            <w:r>
              <w:t>New Rt; new Rr</w:t>
            </w:r>
          </w:p>
        </w:tc>
        <w:tc>
          <w:tcPr>
            <w:tcW w:w="1080" w:type="dxa"/>
          </w:tcPr>
          <w:p w14:paraId="1F6F5BED" w14:textId="7A9D3B57" w:rsidR="00DD68D6" w:rsidRDefault="00732FBA" w:rsidP="00DD68D6">
            <w:pPr>
              <w:jc w:val="center"/>
            </w:pPr>
            <w:r>
              <w:t>√</w:t>
            </w:r>
          </w:p>
        </w:tc>
        <w:tc>
          <w:tcPr>
            <w:tcW w:w="1080" w:type="dxa"/>
          </w:tcPr>
          <w:p w14:paraId="0E265124" w14:textId="2DA94997" w:rsidR="00DD68D6" w:rsidRDefault="00732FBA" w:rsidP="00DD68D6">
            <w:pPr>
              <w:jc w:val="center"/>
            </w:pPr>
            <w:r>
              <w:t>√</w:t>
            </w:r>
          </w:p>
        </w:tc>
        <w:tc>
          <w:tcPr>
            <w:tcW w:w="1080" w:type="dxa"/>
          </w:tcPr>
          <w:p w14:paraId="6F0394D6" w14:textId="486E1B0D" w:rsidR="00DD68D6" w:rsidRDefault="00DD68D6" w:rsidP="00DD68D6">
            <w:pPr>
              <w:jc w:val="center"/>
            </w:pPr>
          </w:p>
        </w:tc>
        <w:tc>
          <w:tcPr>
            <w:tcW w:w="1080" w:type="dxa"/>
          </w:tcPr>
          <w:p w14:paraId="7771CFDF" w14:textId="6E2A009F" w:rsidR="00DD68D6" w:rsidRDefault="00DD68D6" w:rsidP="00DD68D6">
            <w:pPr>
              <w:jc w:val="center"/>
            </w:pPr>
          </w:p>
        </w:tc>
      </w:tr>
      <w:tr w:rsidR="00DD68D6" w14:paraId="00E674B5" w14:textId="77777777" w:rsidTr="00DD68D6">
        <w:tc>
          <w:tcPr>
            <w:tcW w:w="720" w:type="dxa"/>
          </w:tcPr>
          <w:p w14:paraId="2700B10F" w14:textId="27820A9A" w:rsidR="00DD68D6" w:rsidRDefault="00DD68D6" w:rsidP="00DD68D6">
            <w:pPr>
              <w:jc w:val="center"/>
            </w:pPr>
            <w:r>
              <w:t>10</w:t>
            </w:r>
          </w:p>
        </w:tc>
        <w:tc>
          <w:tcPr>
            <w:tcW w:w="3600" w:type="dxa"/>
          </w:tcPr>
          <w:p w14:paraId="1E75708E" w14:textId="0F33AE1F" w:rsidR="00DD68D6" w:rsidRDefault="00DD68D6" w:rsidP="00DD68D6">
            <w:r w:rsidRPr="0051361A">
              <w:t>New Rt; new Rr</w:t>
            </w:r>
            <w:r>
              <w:t xml:space="preserve">; unsigned </w:t>
            </w:r>
            <w:proofErr w:type="spellStart"/>
            <w:r>
              <w:t>xfr</w:t>
            </w:r>
            <w:proofErr w:type="spellEnd"/>
          </w:p>
        </w:tc>
        <w:tc>
          <w:tcPr>
            <w:tcW w:w="1080" w:type="dxa"/>
          </w:tcPr>
          <w:p w14:paraId="1A6BCC8F" w14:textId="02F10FA3" w:rsidR="00DD68D6" w:rsidRDefault="00732FBA" w:rsidP="00DD68D6">
            <w:pPr>
              <w:jc w:val="center"/>
            </w:pPr>
            <w:r>
              <w:t>√</w:t>
            </w:r>
          </w:p>
        </w:tc>
        <w:tc>
          <w:tcPr>
            <w:tcW w:w="1080" w:type="dxa"/>
          </w:tcPr>
          <w:p w14:paraId="34933CAD" w14:textId="754B217C" w:rsidR="00DD68D6" w:rsidRDefault="00732FBA" w:rsidP="00DD68D6">
            <w:pPr>
              <w:jc w:val="center"/>
            </w:pPr>
            <w:r>
              <w:t>√</w:t>
            </w:r>
          </w:p>
        </w:tc>
        <w:tc>
          <w:tcPr>
            <w:tcW w:w="1080" w:type="dxa"/>
          </w:tcPr>
          <w:p w14:paraId="0F8B9191" w14:textId="54972C88" w:rsidR="00DD68D6" w:rsidRDefault="00732FBA" w:rsidP="00DD68D6">
            <w:pPr>
              <w:jc w:val="center"/>
            </w:pPr>
            <w:r>
              <w:t>√</w:t>
            </w:r>
          </w:p>
        </w:tc>
        <w:tc>
          <w:tcPr>
            <w:tcW w:w="1080" w:type="dxa"/>
          </w:tcPr>
          <w:p w14:paraId="785C1D8C" w14:textId="6DE4933C" w:rsidR="00DD68D6" w:rsidRDefault="00DD68D6" w:rsidP="00DD68D6">
            <w:pPr>
              <w:jc w:val="center"/>
            </w:pPr>
          </w:p>
        </w:tc>
      </w:tr>
      <w:tr w:rsidR="00DD68D6" w14:paraId="5C86E007" w14:textId="77777777" w:rsidTr="00DD68D6">
        <w:tc>
          <w:tcPr>
            <w:tcW w:w="720" w:type="dxa"/>
          </w:tcPr>
          <w:p w14:paraId="5CDE496F" w14:textId="46721FC1" w:rsidR="00DD68D6" w:rsidRDefault="00DD68D6" w:rsidP="00DD68D6">
            <w:pPr>
              <w:jc w:val="center"/>
            </w:pPr>
            <w:r>
              <w:t>11</w:t>
            </w:r>
          </w:p>
        </w:tc>
        <w:tc>
          <w:tcPr>
            <w:tcW w:w="3600" w:type="dxa"/>
          </w:tcPr>
          <w:p w14:paraId="2417E626" w14:textId="7C41EA33" w:rsidR="00DD68D6" w:rsidRDefault="00DD68D6" w:rsidP="00DD68D6">
            <w:r w:rsidRPr="0051361A">
              <w:t>New Rt; new Rr</w:t>
            </w:r>
            <w:r>
              <w:t xml:space="preserve">; signed </w:t>
            </w:r>
            <w:proofErr w:type="spellStart"/>
            <w:r>
              <w:t>xfr</w:t>
            </w:r>
            <w:proofErr w:type="spellEnd"/>
          </w:p>
        </w:tc>
        <w:tc>
          <w:tcPr>
            <w:tcW w:w="1080" w:type="dxa"/>
          </w:tcPr>
          <w:p w14:paraId="43E50198" w14:textId="3DF02AE1" w:rsidR="00DD68D6" w:rsidRDefault="00732FBA" w:rsidP="00DD68D6">
            <w:pPr>
              <w:jc w:val="center"/>
            </w:pPr>
            <w:r>
              <w:t>√</w:t>
            </w:r>
          </w:p>
        </w:tc>
        <w:tc>
          <w:tcPr>
            <w:tcW w:w="1080" w:type="dxa"/>
          </w:tcPr>
          <w:p w14:paraId="437AF5A1" w14:textId="2B7442F2" w:rsidR="00DD68D6" w:rsidRDefault="00732FBA" w:rsidP="00DD68D6">
            <w:pPr>
              <w:jc w:val="center"/>
            </w:pPr>
            <w:r>
              <w:t>√</w:t>
            </w:r>
          </w:p>
        </w:tc>
        <w:tc>
          <w:tcPr>
            <w:tcW w:w="1080" w:type="dxa"/>
          </w:tcPr>
          <w:p w14:paraId="5F2DF5B5" w14:textId="77D272F6" w:rsidR="00DD68D6" w:rsidRDefault="00732FBA" w:rsidP="00DD68D6">
            <w:pPr>
              <w:jc w:val="center"/>
            </w:pPr>
            <w:r>
              <w:t>√</w:t>
            </w:r>
          </w:p>
        </w:tc>
        <w:tc>
          <w:tcPr>
            <w:tcW w:w="1080" w:type="dxa"/>
          </w:tcPr>
          <w:p w14:paraId="013800E4" w14:textId="645693A4" w:rsidR="00DD68D6" w:rsidRDefault="00732FBA" w:rsidP="00DD68D6">
            <w:pPr>
              <w:jc w:val="center"/>
            </w:pPr>
            <w:r>
              <w:t>√</w:t>
            </w:r>
          </w:p>
        </w:tc>
      </w:tr>
    </w:tbl>
    <w:p w14:paraId="05649231" w14:textId="77777777" w:rsidR="00EA0FF3" w:rsidRDefault="00EA0FF3"/>
    <w:p w14:paraId="715124B5" w14:textId="77777777" w:rsidR="00367713" w:rsidRDefault="00367713"/>
    <w:p w14:paraId="3D5F4935" w14:textId="1C1A17C5" w:rsidR="00EA0FF3" w:rsidRDefault="00367713" w:rsidP="00367713">
      <w:pPr>
        <w:pStyle w:val="Heading2"/>
      </w:pPr>
      <w:r>
        <w:t>One at a time or all at once?</w:t>
      </w:r>
    </w:p>
    <w:p w14:paraId="300E9D56" w14:textId="3BB6ABA2" w:rsidR="00367713" w:rsidRDefault="00367713" w:rsidP="00367713"/>
    <w:p w14:paraId="69E332F3" w14:textId="21FCACBE" w:rsidR="00367713" w:rsidRDefault="00367713" w:rsidP="00367713">
      <w:r>
        <w:t>Is it necessary to consider all</w:t>
      </w:r>
      <w:r w:rsidR="00750FD9">
        <w:t xml:space="preserve"> </w:t>
      </w:r>
      <w:r>
        <w:t xml:space="preserve">the scenarios?  Should we focus on the scenarios involving just a single change, </w:t>
      </w:r>
      <w:proofErr w:type="gramStart"/>
      <w:r>
        <w:t>e.g.</w:t>
      </w:r>
      <w:proofErr w:type="gramEnd"/>
      <w:r>
        <w:t xml:space="preserve"> scenarios 3 and 6, or should we focus on scenario 11, the most difficult scenario.</w:t>
      </w:r>
    </w:p>
    <w:p w14:paraId="16047A01" w14:textId="44C922C6" w:rsidR="00367713" w:rsidRDefault="00367713" w:rsidP="00367713"/>
    <w:p w14:paraId="7347D86C" w14:textId="2852D71A" w:rsidR="00367713" w:rsidRDefault="00367713" w:rsidP="00367713">
      <w:r>
        <w:t>In my experience, both approaches are important.  It is much easier to think through the details of a single change</w:t>
      </w:r>
      <w:r w:rsidR="00750FD9">
        <w:t>.  This is a good starting point in the design process.  It helps build intuition and understanding of the necessary steps.</w:t>
      </w:r>
    </w:p>
    <w:p w14:paraId="0D12D112" w14:textId="25EB641A" w:rsidR="00750FD9" w:rsidRDefault="00750FD9" w:rsidP="00367713"/>
    <w:p w14:paraId="526BF4A3" w14:textId="7043234B" w:rsidR="00750FD9" w:rsidRDefault="00750FD9" w:rsidP="00367713">
      <w:r>
        <w:t xml:space="preserve">However, thinking through the details of each of the single change scenarios is not enough.  There are usually complications involved in making multiple changes at the same time.  Some may view these as “corner cases,” which carries the connotation these are rare and possibly unimportant.  I prefer to refer </w:t>
      </w:r>
      <w:r w:rsidR="004C7DCC">
        <w:t xml:space="preserve">to </w:t>
      </w:r>
      <w:r>
        <w:t xml:space="preserve">this as the most general case.  If it’s possible to handle the general case, then each of the other scenarios will also be covered.  Many of the other scenarios will be simpler, </w:t>
      </w:r>
      <w:r w:rsidR="002C4E6F">
        <w:t>of course</w:t>
      </w:r>
      <w:r>
        <w:t xml:space="preserve">.    However, I would not recommend focusing only the simple scenarios.  This </w:t>
      </w:r>
      <w:r w:rsidR="004C7DCC">
        <w:t xml:space="preserve">is </w:t>
      </w:r>
      <w:r>
        <w:t xml:space="preserve">the time to </w:t>
      </w:r>
      <w:r w:rsidR="009D032F">
        <w:t>cover the full range of possibilities.</w:t>
      </w:r>
    </w:p>
    <w:p w14:paraId="3EAFA8D8" w14:textId="73ED46D3" w:rsidR="009D032F" w:rsidRDefault="009D032F" w:rsidP="00367713"/>
    <w:p w14:paraId="70C2FD1E" w14:textId="21118ADB" w:rsidR="009D032F" w:rsidRDefault="009D032F" w:rsidP="00367713">
      <w:r>
        <w:t xml:space="preserve">Thus, in response to the questions I posed in the first paragraph of this section, we should focus on both the scenarios involving a single change </w:t>
      </w:r>
      <w:r>
        <w:rPr>
          <w:u w:val="single"/>
        </w:rPr>
        <w:t>and</w:t>
      </w:r>
      <w:r>
        <w:t xml:space="preserve"> the scenario where everything changes at the same time.</w:t>
      </w:r>
    </w:p>
    <w:p w14:paraId="3908B6B2" w14:textId="1E559AEA" w:rsidR="009D032F" w:rsidRDefault="009D032F" w:rsidP="00367713"/>
    <w:p w14:paraId="7F900127" w14:textId="77777777" w:rsidR="009D032F" w:rsidRDefault="009D032F" w:rsidP="009D032F">
      <w:pPr>
        <w:pStyle w:val="Heading2"/>
      </w:pPr>
      <w:r>
        <w:t>A few words about transferring DNS service</w:t>
      </w:r>
    </w:p>
    <w:p w14:paraId="5289202A" w14:textId="77777777" w:rsidR="009D032F" w:rsidRDefault="009D032F" w:rsidP="009D032F"/>
    <w:p w14:paraId="707DD538" w14:textId="018BE85D" w:rsidR="009D032F" w:rsidRDefault="009D032F" w:rsidP="009D032F">
      <w:r>
        <w:t xml:space="preserve">Changing DNS providers while maintaining continuity of service has some technical challenges.  The main requirement is to bring up service under the new operator and have it in operation in parallel with the existing service.  To do this, the name servers of the new operator must be </w:t>
      </w:r>
      <w:r>
        <w:lastRenderedPageBreak/>
        <w:t>added to the list of name servers for the domain in the old operation.  This requires technical and administrative cooperation from the losing operator.</w:t>
      </w:r>
    </w:p>
    <w:p w14:paraId="6F5DDE39" w14:textId="7F231183" w:rsidR="009D032F" w:rsidRDefault="009D032F" w:rsidP="009D032F"/>
    <w:p w14:paraId="7F63CE0A" w14:textId="0324522C" w:rsidR="009D032F" w:rsidRDefault="009D032F" w:rsidP="009D032F">
      <w:r>
        <w:t xml:space="preserve">If the zone is signed separately by each operator, there is an added requirement of including the key(s) of each operator in the keysets of each operator.  Again, this requires specific cooperation from the losing operator.  Worse, yet, neither existing DNSSEC protocol standards nor the </w:t>
      </w:r>
      <w:r w:rsidR="000902CD">
        <w:t xml:space="preserve">software packages from the major DNS software providers, </w:t>
      </w:r>
      <w:proofErr w:type="gramStart"/>
      <w:r w:rsidR="000902CD">
        <w:t>e.g.</w:t>
      </w:r>
      <w:proofErr w:type="gramEnd"/>
      <w:r w:rsidR="000902CD">
        <w:t xml:space="preserve"> BIND, NSD, </w:t>
      </w:r>
      <w:proofErr w:type="spellStart"/>
      <w:r w:rsidR="000902CD">
        <w:t>PowerDNS</w:t>
      </w:r>
      <w:proofErr w:type="spellEnd"/>
      <w:r w:rsidR="000902CD">
        <w:t>, Knot, include interfaces that make it possible to automate the transfer.</w:t>
      </w:r>
    </w:p>
    <w:p w14:paraId="23710466" w14:textId="41C276FF" w:rsidR="000902CD" w:rsidRDefault="000902CD" w:rsidP="009D032F"/>
    <w:p w14:paraId="5C5BE6E8" w14:textId="46C94B25" w:rsidR="000902CD" w:rsidRDefault="000902CD" w:rsidP="009D032F">
      <w:r>
        <w:t>That’s the bad news.  Here’s the good news.</w:t>
      </w:r>
    </w:p>
    <w:p w14:paraId="47041F38" w14:textId="77777777" w:rsidR="000902CD" w:rsidRDefault="000902CD" w:rsidP="009D032F"/>
    <w:p w14:paraId="42A6FF5D" w14:textId="51C0F18F" w:rsidR="009D032F" w:rsidRDefault="000902CD" w:rsidP="009D032F">
      <w:pPr>
        <w:pStyle w:val="ListParagraph"/>
        <w:numPr>
          <w:ilvl w:val="0"/>
          <w:numId w:val="3"/>
        </w:numPr>
      </w:pPr>
      <w:r>
        <w:t>Even without programmable interfaces, the necessary steps can be carried out manually.  In 2009, when PIR was preparing to sign the .org zone, it asked for assurance that a registrant could sign his</w:t>
      </w:r>
      <w:r w:rsidR="00603FCD">
        <w:t xml:space="preserve"> domain</w:t>
      </w:r>
      <w:r>
        <w:t xml:space="preserve"> under one of the registrars and still be able to transfer the registration to another registrar if desired.</w:t>
      </w:r>
      <w:r>
        <w:br/>
      </w:r>
      <w:r>
        <w:br/>
        <w:t xml:space="preserve">At the time, my group at </w:t>
      </w:r>
      <w:proofErr w:type="spellStart"/>
      <w:r>
        <w:t>Shinkuro</w:t>
      </w:r>
      <w:proofErr w:type="spellEnd"/>
      <w:r>
        <w:t xml:space="preserve">, Inc., was part of a team under contract to </w:t>
      </w:r>
      <w:r w:rsidR="00603FCD">
        <w:t xml:space="preserve">the U.S. Dept of Homeland Security to </w:t>
      </w:r>
      <w:r>
        <w:t>facilitate the deployment of DNSSEC.  We worked through the scenarios for accomplishing the transfers and demonstrated each of them.  We didn’t include a change of registrant, so in terms of the table above, we covered scenarios 1 through 5.  We further distinguished between DNS service that was provided by the registrar and DNS service that was independent of the registrar.</w:t>
      </w:r>
      <w:r>
        <w:br/>
      </w:r>
    </w:p>
    <w:p w14:paraId="1BEAF6A9" w14:textId="77777777" w:rsidR="00CB5F70" w:rsidRDefault="00CB5F70" w:rsidP="009D032F">
      <w:pPr>
        <w:pStyle w:val="ListParagraph"/>
        <w:numPr>
          <w:ilvl w:val="0"/>
          <w:numId w:val="3"/>
        </w:numPr>
      </w:pPr>
      <w:r>
        <w:t>The old DNS operator is not always a “loser”</w:t>
      </w:r>
      <w:r>
        <w:br/>
      </w:r>
    </w:p>
    <w:p w14:paraId="54ACFA5C" w14:textId="42002DD4" w:rsidR="000902CD" w:rsidRDefault="000902CD" w:rsidP="00CB5F70">
      <w:pPr>
        <w:pStyle w:val="ListParagraph"/>
      </w:pPr>
      <w:r>
        <w:t xml:space="preserve">Changing the DNS operator </w:t>
      </w:r>
      <w:r w:rsidR="00CB5F70">
        <w:t>involves three distinct steps:</w:t>
      </w:r>
      <w:r w:rsidR="00CB5F70">
        <w:br/>
      </w:r>
    </w:p>
    <w:p w14:paraId="738077E2" w14:textId="4E1FF8B1" w:rsidR="00CB5F70" w:rsidRDefault="00CB5F70" w:rsidP="00CB5F70">
      <w:pPr>
        <w:pStyle w:val="ListParagraph"/>
        <w:numPr>
          <w:ilvl w:val="1"/>
          <w:numId w:val="3"/>
        </w:numPr>
      </w:pPr>
      <w:r>
        <w:t>The new DNS operator acquires a copy of the zone and puts it into operation. Both old and new DNS operators includes both sets of name servers in their list of name servers.</w:t>
      </w:r>
      <w:r>
        <w:br/>
      </w:r>
    </w:p>
    <w:p w14:paraId="3B946E66" w14:textId="521BADAB" w:rsidR="00CB5F70" w:rsidRDefault="00CB5F70" w:rsidP="00CB5F70">
      <w:pPr>
        <w:pStyle w:val="ListParagraph"/>
        <w:numPr>
          <w:ilvl w:val="1"/>
          <w:numId w:val="3"/>
        </w:numPr>
      </w:pPr>
      <w:r>
        <w:t>The two DNS services remain in operation together for some period.</w:t>
      </w:r>
      <w:r>
        <w:br/>
      </w:r>
    </w:p>
    <w:p w14:paraId="701176E4" w14:textId="49EBFFEF" w:rsidR="00CB5F70" w:rsidRDefault="00CB5F70" w:rsidP="00CB5F70">
      <w:pPr>
        <w:pStyle w:val="ListParagraph"/>
        <w:numPr>
          <w:ilvl w:val="1"/>
          <w:numId w:val="3"/>
        </w:numPr>
      </w:pPr>
      <w:r>
        <w:t>The old DNS service ends, and the corresponding data is removed from the new operator’s zone.</w:t>
      </w:r>
      <w:r>
        <w:br/>
      </w:r>
    </w:p>
    <w:p w14:paraId="281EEA18" w14:textId="65D70D92" w:rsidR="00CB5F70" w:rsidRDefault="00CB5F70" w:rsidP="00CB5F70">
      <w:pPr>
        <w:ind w:left="1080"/>
      </w:pPr>
      <w:r>
        <w:t>If the zone is signed, then step (a) includes signing by the new operator and cross-sharing of the keys.</w:t>
      </w:r>
    </w:p>
    <w:p w14:paraId="06308411" w14:textId="0E47347B" w:rsidR="00CB5F70" w:rsidRDefault="00CB5F70" w:rsidP="00CB5F70">
      <w:pPr>
        <w:ind w:left="1080"/>
      </w:pPr>
    </w:p>
    <w:p w14:paraId="5CB4FDEA" w14:textId="75D91C09" w:rsidR="00CB5F70" w:rsidRDefault="00CB5F70" w:rsidP="00CB5F70">
      <w:pPr>
        <w:ind w:left="1080"/>
      </w:pPr>
      <w:r>
        <w:t xml:space="preserve">Step (b) must be long enough to make sure all the caching resolvers have updated copies of the list of name servers and, in the case of a signed zone, updated copies of the list of keys.  The time required for this depends on the TTL (Time to Live) settings in the zone.  Typical TTLs are 48 hours, and it may take a bit more time to be </w:t>
      </w:r>
      <w:r>
        <w:lastRenderedPageBreak/>
        <w:t>certain everything has settled down.</w:t>
      </w:r>
      <w:r>
        <w:br/>
      </w:r>
    </w:p>
    <w:p w14:paraId="2AC87A55" w14:textId="60387700" w:rsidR="009E08A3" w:rsidRDefault="00CB5F70" w:rsidP="009E08A3">
      <w:pPr>
        <w:ind w:left="1080"/>
      </w:pPr>
      <w:r>
        <w:t xml:space="preserve">The above requirement </w:t>
      </w:r>
      <w:r w:rsidR="006F68C8">
        <w:t xml:space="preserve">determines the </w:t>
      </w:r>
      <w:r w:rsidR="009E08A3">
        <w:t xml:space="preserve">minimal amount of time for Step (b).  What is the maximum time?   There isn’t any.  With both DNS operations running, the customer has the benefit of increased DNS service and increased protection against disruption of DNS service.  </w:t>
      </w:r>
      <w:r w:rsidR="006F68C8">
        <w:t>W</w:t>
      </w:r>
      <w:r w:rsidR="009E08A3">
        <w:t>ith respect to DNS service</w:t>
      </w:r>
      <w:r w:rsidR="006F68C8">
        <w:t xml:space="preserve">, as opposed to registration, it is perfectly reasonable to have multiple DNS services.  Therefore, instead of thinking only in terms of transferring DNS service from a losing operator a gaining operator, </w:t>
      </w:r>
      <w:r w:rsidR="009E08A3">
        <w:t>it is useful to think of the transfer as composed of two distinct and separable actions: (1) adding a new DNS operation; (2) removing a DNS operation.  Step 1 is the same for initiating concurrent operation of multiple DNS services and for moving from one DNS operator to another.  Thus, the existing DNS operator has at least some motivation to support this step to cooperate in providing the customer with the service they want.</w:t>
      </w:r>
      <w:r w:rsidR="004C7DCC">
        <w:br/>
      </w:r>
    </w:p>
    <w:p w14:paraId="144DB388" w14:textId="366B4119" w:rsidR="000B13DA" w:rsidRDefault="009E08A3" w:rsidP="009E08A3">
      <w:pPr>
        <w:pStyle w:val="ListParagraph"/>
        <w:numPr>
          <w:ilvl w:val="0"/>
          <w:numId w:val="3"/>
        </w:numPr>
      </w:pPr>
      <w:r>
        <w:t xml:space="preserve">There is active work underway to automate the multi-signer scenario.  RFC 8901 documents the protocol steps, and a small consortium of companies </w:t>
      </w:r>
      <w:r w:rsidR="006F68C8">
        <w:t>is</w:t>
      </w:r>
      <w:r>
        <w:t xml:space="preserve"> actively working on the design</w:t>
      </w:r>
      <w:r w:rsidR="000B13DA">
        <w:t>, implementation, and demonstration of software to fully automate the steps.  This work is presented regularly at the DNSSEC Workshops during ICANN meetings.</w:t>
      </w:r>
      <w:r w:rsidR="004C7DCC">
        <w:t xml:space="preserve">  Th</w:t>
      </w:r>
      <w:r w:rsidR="00603FCD">
        <w:t>e project</w:t>
      </w:r>
      <w:r w:rsidR="004C7DCC">
        <w:t xml:space="preserve"> includes working with the major DNS software vendors to have programmable interfaces added to their software and augmenting the relevant RFCs to include the required functionality.</w:t>
      </w:r>
      <w:r w:rsidR="004C7DCC">
        <w:br/>
      </w:r>
      <w:r w:rsidR="004C7DCC">
        <w:br/>
      </w:r>
      <w:r w:rsidR="000B13DA">
        <w:t>Here is a list of the panel sessions on DNSSEC Provisioning Automation at the last four ICANN meetings.</w:t>
      </w:r>
      <w:r w:rsidR="000B13DA">
        <w:br/>
      </w:r>
    </w:p>
    <w:tbl>
      <w:tblPr>
        <w:tblStyle w:val="TableGrid"/>
        <w:tblW w:w="0" w:type="auto"/>
        <w:tblInd w:w="720" w:type="dxa"/>
        <w:tblLook w:val="04A0" w:firstRow="1" w:lastRow="0" w:firstColumn="1" w:lastColumn="0" w:noHBand="0" w:noVBand="1"/>
      </w:tblPr>
      <w:tblGrid>
        <w:gridCol w:w="535"/>
        <w:gridCol w:w="1710"/>
        <w:gridCol w:w="3150"/>
        <w:gridCol w:w="3235"/>
      </w:tblGrid>
      <w:tr w:rsidR="000B13DA" w14:paraId="53A37D1E" w14:textId="7FFF3452" w:rsidTr="000B13DA">
        <w:tc>
          <w:tcPr>
            <w:tcW w:w="535" w:type="dxa"/>
          </w:tcPr>
          <w:p w14:paraId="0C85BB84" w14:textId="4B3DB5A6" w:rsidR="000B13DA" w:rsidRDefault="000B13DA" w:rsidP="000B13DA">
            <w:pPr>
              <w:pStyle w:val="ListParagraph"/>
              <w:ind w:left="0"/>
              <w:jc w:val="center"/>
            </w:pPr>
            <w:r>
              <w:t>#</w:t>
            </w:r>
          </w:p>
        </w:tc>
        <w:tc>
          <w:tcPr>
            <w:tcW w:w="1710" w:type="dxa"/>
          </w:tcPr>
          <w:p w14:paraId="01776EA1" w14:textId="05EF5F4B" w:rsidR="000B13DA" w:rsidRDefault="000B13DA" w:rsidP="000B13DA">
            <w:pPr>
              <w:pStyle w:val="ListParagraph"/>
              <w:ind w:left="0"/>
            </w:pPr>
            <w:r>
              <w:t>Date</w:t>
            </w:r>
          </w:p>
        </w:tc>
        <w:tc>
          <w:tcPr>
            <w:tcW w:w="3150" w:type="dxa"/>
          </w:tcPr>
          <w:p w14:paraId="5DDBC864" w14:textId="25F9B134" w:rsidR="000B13DA" w:rsidRDefault="000B13DA" w:rsidP="000B13DA">
            <w:pPr>
              <w:pStyle w:val="ListParagraph"/>
              <w:ind w:left="0"/>
            </w:pPr>
            <w:r>
              <w:t>Meeting</w:t>
            </w:r>
          </w:p>
        </w:tc>
        <w:tc>
          <w:tcPr>
            <w:tcW w:w="3235" w:type="dxa"/>
          </w:tcPr>
          <w:p w14:paraId="7C872CF0" w14:textId="349B64DA" w:rsidR="000B13DA" w:rsidRDefault="000B13DA" w:rsidP="000B13DA">
            <w:pPr>
              <w:pStyle w:val="ListParagraph"/>
              <w:ind w:left="0"/>
            </w:pPr>
            <w:r>
              <w:t>Presentation URLs</w:t>
            </w:r>
          </w:p>
        </w:tc>
      </w:tr>
      <w:tr w:rsidR="000B13DA" w14:paraId="2F41C4A9" w14:textId="68D3FCD4" w:rsidTr="000B13DA">
        <w:tc>
          <w:tcPr>
            <w:tcW w:w="535" w:type="dxa"/>
          </w:tcPr>
          <w:p w14:paraId="4203D691" w14:textId="68E8EFA0" w:rsidR="000B13DA" w:rsidRPr="000B13DA" w:rsidRDefault="000B13DA" w:rsidP="000B13DA">
            <w:pPr>
              <w:pStyle w:val="ListParagraph"/>
              <w:ind w:left="0"/>
              <w:jc w:val="center"/>
              <w:rPr>
                <w:rFonts w:ascii="Calibri" w:hAnsi="Calibri" w:cs="Arial"/>
                <w:color w:val="000000" w:themeColor="dark1"/>
                <w:kern w:val="24"/>
              </w:rPr>
            </w:pPr>
            <w:r>
              <w:rPr>
                <w:rFonts w:ascii="Calibri" w:hAnsi="Calibri" w:cs="Arial"/>
                <w:color w:val="000000" w:themeColor="dark1"/>
                <w:kern w:val="24"/>
              </w:rPr>
              <w:t>1</w:t>
            </w:r>
          </w:p>
        </w:tc>
        <w:tc>
          <w:tcPr>
            <w:tcW w:w="1710" w:type="dxa"/>
          </w:tcPr>
          <w:p w14:paraId="284B5D62" w14:textId="3463E0F3" w:rsidR="000B13DA" w:rsidRPr="000B13DA" w:rsidRDefault="000B13DA" w:rsidP="000B13DA">
            <w:pPr>
              <w:pStyle w:val="ListParagraph"/>
              <w:ind w:left="0"/>
              <w:rPr>
                <w:rFonts w:ascii="Calibri" w:hAnsi="Calibri" w:cs="Arial"/>
                <w:color w:val="000000" w:themeColor="dark1"/>
                <w:kern w:val="24"/>
              </w:rPr>
            </w:pPr>
            <w:r w:rsidRPr="000B13DA">
              <w:rPr>
                <w:rFonts w:ascii="Calibri" w:hAnsi="Calibri" w:cs="Arial"/>
                <w:color w:val="000000" w:themeColor="dark1"/>
                <w:kern w:val="24"/>
              </w:rPr>
              <w:t>11 Mar 2020</w:t>
            </w:r>
          </w:p>
        </w:tc>
        <w:tc>
          <w:tcPr>
            <w:tcW w:w="3150" w:type="dxa"/>
          </w:tcPr>
          <w:p w14:paraId="6E4A30DF" w14:textId="76B9A10B" w:rsidR="000B13DA" w:rsidRPr="000B13DA" w:rsidRDefault="000B13DA" w:rsidP="000B13DA">
            <w:pPr>
              <w:pStyle w:val="ListParagraph"/>
              <w:ind w:left="0"/>
              <w:rPr>
                <w:rFonts w:ascii="Calibri" w:hAnsi="Calibri" w:cs="Arial"/>
                <w:color w:val="000000" w:themeColor="dark1"/>
                <w:kern w:val="24"/>
              </w:rPr>
            </w:pPr>
            <w:r w:rsidRPr="000B13DA">
              <w:rPr>
                <w:rFonts w:ascii="Calibri" w:hAnsi="Calibri" w:cs="Arial"/>
                <w:color w:val="000000" w:themeColor="dark1"/>
                <w:kern w:val="24"/>
              </w:rPr>
              <w:t>ICANN 67 “Cancún”</w:t>
            </w:r>
          </w:p>
        </w:tc>
        <w:tc>
          <w:tcPr>
            <w:tcW w:w="3235" w:type="dxa"/>
          </w:tcPr>
          <w:p w14:paraId="279744C8" w14:textId="4A6409DF" w:rsidR="000B13DA" w:rsidRPr="000B13DA" w:rsidRDefault="00C20963" w:rsidP="000B13DA">
            <w:pPr>
              <w:pStyle w:val="ListParagraph"/>
              <w:ind w:left="0"/>
              <w:rPr>
                <w:rFonts w:ascii="Calibri" w:hAnsi="Calibri" w:cs="Arial"/>
                <w:color w:val="000000" w:themeColor="dark1"/>
                <w:kern w:val="24"/>
              </w:rPr>
            </w:pPr>
            <w:hyperlink r:id="rId7" w:history="1">
              <w:r w:rsidR="000B13DA" w:rsidRPr="000B13DA">
                <w:rPr>
                  <w:color w:val="000000" w:themeColor="dark1"/>
                </w:rPr>
                <w:t>https://tinyurl.com/5dwxfz2v</w:t>
              </w:r>
            </w:hyperlink>
          </w:p>
        </w:tc>
      </w:tr>
      <w:tr w:rsidR="000B13DA" w14:paraId="1A26CDF1" w14:textId="7136787B" w:rsidTr="000B13DA">
        <w:tc>
          <w:tcPr>
            <w:tcW w:w="535" w:type="dxa"/>
          </w:tcPr>
          <w:p w14:paraId="092265BC" w14:textId="7ADB98FC" w:rsidR="000B13DA" w:rsidRPr="000B13DA" w:rsidRDefault="000B13DA" w:rsidP="000B13DA">
            <w:pPr>
              <w:pStyle w:val="ListParagraph"/>
              <w:ind w:left="0"/>
              <w:jc w:val="center"/>
            </w:pPr>
            <w:r w:rsidRPr="000B13DA">
              <w:rPr>
                <w:rFonts w:ascii="Calibri" w:hAnsi="Calibri" w:cs="Arial"/>
                <w:color w:val="000000" w:themeColor="dark1"/>
                <w:kern w:val="24"/>
              </w:rPr>
              <w:t>2</w:t>
            </w:r>
          </w:p>
        </w:tc>
        <w:tc>
          <w:tcPr>
            <w:tcW w:w="1710" w:type="dxa"/>
          </w:tcPr>
          <w:p w14:paraId="07A584B7" w14:textId="5588E7BE" w:rsidR="000B13DA" w:rsidRPr="000B13DA" w:rsidRDefault="000B13DA" w:rsidP="000B13DA">
            <w:pPr>
              <w:pStyle w:val="ListParagraph"/>
              <w:ind w:left="0"/>
            </w:pPr>
            <w:r w:rsidRPr="000B13DA">
              <w:rPr>
                <w:rFonts w:ascii="Calibri" w:hAnsi="Calibri" w:cs="Arial"/>
                <w:color w:val="000000" w:themeColor="dark1"/>
                <w:kern w:val="24"/>
              </w:rPr>
              <w:t>22 Jun 2020</w:t>
            </w:r>
          </w:p>
        </w:tc>
        <w:tc>
          <w:tcPr>
            <w:tcW w:w="3150" w:type="dxa"/>
          </w:tcPr>
          <w:p w14:paraId="73E1026C" w14:textId="002F48F5" w:rsidR="000B13DA" w:rsidRPr="000B13DA" w:rsidRDefault="000B13DA" w:rsidP="000B13DA">
            <w:pPr>
              <w:pStyle w:val="ListParagraph"/>
              <w:ind w:left="0"/>
            </w:pPr>
            <w:r w:rsidRPr="000B13DA">
              <w:rPr>
                <w:rFonts w:ascii="Calibri" w:hAnsi="Calibri" w:cs="Arial"/>
                <w:color w:val="000000" w:themeColor="dark1"/>
                <w:kern w:val="24"/>
              </w:rPr>
              <w:t>ICANN 68 “Kuala Lumpur”</w:t>
            </w:r>
          </w:p>
        </w:tc>
        <w:tc>
          <w:tcPr>
            <w:tcW w:w="3235" w:type="dxa"/>
          </w:tcPr>
          <w:p w14:paraId="51B8FFFE" w14:textId="310E85D1" w:rsidR="000B13DA" w:rsidRPr="000B13DA" w:rsidRDefault="00C20963" w:rsidP="000B13DA">
            <w:pPr>
              <w:pStyle w:val="ListParagraph"/>
              <w:ind w:left="0"/>
            </w:pPr>
            <w:hyperlink r:id="rId8" w:history="1">
              <w:r w:rsidR="000B13DA" w:rsidRPr="000B13DA">
                <w:rPr>
                  <w:rStyle w:val="Hyperlink"/>
                  <w:rFonts w:ascii="Calibri" w:hAnsi="Calibri" w:cs="Arial"/>
                  <w:color w:val="000000" w:themeColor="dark1"/>
                  <w:kern w:val="24"/>
                </w:rPr>
                <w:t>xhttps://tinyurl.com/m8eraezu</w:t>
              </w:r>
            </w:hyperlink>
          </w:p>
        </w:tc>
      </w:tr>
      <w:tr w:rsidR="000B13DA" w14:paraId="077032B8" w14:textId="4141901C" w:rsidTr="000B13DA">
        <w:tc>
          <w:tcPr>
            <w:tcW w:w="535" w:type="dxa"/>
          </w:tcPr>
          <w:p w14:paraId="5DB74ED2" w14:textId="15308037" w:rsidR="000B13DA" w:rsidRPr="000B13DA" w:rsidRDefault="000B13DA" w:rsidP="000B13DA">
            <w:pPr>
              <w:pStyle w:val="ListParagraph"/>
              <w:ind w:left="0"/>
              <w:jc w:val="center"/>
            </w:pPr>
            <w:r w:rsidRPr="000B13DA">
              <w:rPr>
                <w:rFonts w:ascii="Calibri" w:hAnsi="Calibri" w:cs="Arial"/>
                <w:color w:val="000000" w:themeColor="dark1"/>
                <w:kern w:val="24"/>
              </w:rPr>
              <w:t>3</w:t>
            </w:r>
          </w:p>
        </w:tc>
        <w:tc>
          <w:tcPr>
            <w:tcW w:w="1710" w:type="dxa"/>
          </w:tcPr>
          <w:p w14:paraId="5C57B7F0" w14:textId="00B38551" w:rsidR="000B13DA" w:rsidRPr="000B13DA" w:rsidRDefault="000B13DA" w:rsidP="000B13DA">
            <w:pPr>
              <w:pStyle w:val="ListParagraph"/>
              <w:ind w:left="0"/>
            </w:pPr>
            <w:r w:rsidRPr="000B13DA">
              <w:rPr>
                <w:rFonts w:ascii="Calibri" w:hAnsi="Calibri" w:cs="Arial"/>
                <w:color w:val="000000" w:themeColor="dark1"/>
                <w:kern w:val="24"/>
              </w:rPr>
              <w:t>21 Oct 2020</w:t>
            </w:r>
          </w:p>
        </w:tc>
        <w:tc>
          <w:tcPr>
            <w:tcW w:w="3150" w:type="dxa"/>
          </w:tcPr>
          <w:p w14:paraId="2C385060" w14:textId="020E24E9" w:rsidR="000B13DA" w:rsidRPr="000B13DA" w:rsidRDefault="000B13DA" w:rsidP="000B13DA">
            <w:pPr>
              <w:pStyle w:val="ListParagraph"/>
              <w:ind w:left="0"/>
            </w:pPr>
            <w:r w:rsidRPr="000B13DA">
              <w:rPr>
                <w:rFonts w:ascii="Calibri" w:hAnsi="Calibri" w:cs="Arial"/>
                <w:color w:val="000000" w:themeColor="dark1"/>
                <w:kern w:val="24"/>
              </w:rPr>
              <w:t>ICANN 69 “Hamburg”</w:t>
            </w:r>
          </w:p>
        </w:tc>
        <w:tc>
          <w:tcPr>
            <w:tcW w:w="3235" w:type="dxa"/>
          </w:tcPr>
          <w:p w14:paraId="0B425E0A" w14:textId="73AA9FC3" w:rsidR="000B13DA" w:rsidRPr="000B13DA" w:rsidRDefault="00C20963" w:rsidP="000B13DA">
            <w:pPr>
              <w:pStyle w:val="ListParagraph"/>
              <w:ind w:left="0"/>
            </w:pPr>
            <w:hyperlink r:id="rId9" w:history="1">
              <w:r w:rsidR="000B13DA" w:rsidRPr="000B13DA">
                <w:rPr>
                  <w:rStyle w:val="Hyperlink"/>
                  <w:rFonts w:ascii="Calibri" w:hAnsi="Calibri" w:cs="Arial"/>
                  <w:color w:val="000000" w:themeColor="dark1"/>
                  <w:kern w:val="24"/>
                </w:rPr>
                <w:t>https://tinyurl.com/f8ma6347</w:t>
              </w:r>
            </w:hyperlink>
          </w:p>
        </w:tc>
      </w:tr>
      <w:tr w:rsidR="000B13DA" w14:paraId="004263E1" w14:textId="0C1E4D46" w:rsidTr="000B13DA">
        <w:tc>
          <w:tcPr>
            <w:tcW w:w="535" w:type="dxa"/>
          </w:tcPr>
          <w:p w14:paraId="76566707" w14:textId="73BFEC1D" w:rsidR="000B13DA" w:rsidRPr="000B13DA" w:rsidRDefault="000B13DA" w:rsidP="000B13DA">
            <w:pPr>
              <w:pStyle w:val="ListParagraph"/>
              <w:ind w:left="0"/>
              <w:jc w:val="center"/>
            </w:pPr>
            <w:r w:rsidRPr="000B13DA">
              <w:rPr>
                <w:rFonts w:ascii="Calibri" w:hAnsi="Calibri" w:cs="Arial"/>
                <w:color w:val="000000" w:themeColor="dark1"/>
                <w:kern w:val="24"/>
              </w:rPr>
              <w:t>4</w:t>
            </w:r>
          </w:p>
        </w:tc>
        <w:tc>
          <w:tcPr>
            <w:tcW w:w="1710" w:type="dxa"/>
          </w:tcPr>
          <w:p w14:paraId="6BBB5B7F" w14:textId="24D21830" w:rsidR="000B13DA" w:rsidRPr="000B13DA" w:rsidRDefault="000B13DA" w:rsidP="000B13DA">
            <w:pPr>
              <w:pStyle w:val="ListParagraph"/>
              <w:ind w:left="0"/>
            </w:pPr>
            <w:r w:rsidRPr="000B13DA">
              <w:rPr>
                <w:rFonts w:ascii="Calibri" w:hAnsi="Calibri" w:cs="Arial"/>
                <w:color w:val="000000" w:themeColor="dark1"/>
                <w:kern w:val="24"/>
              </w:rPr>
              <w:t>24 Mar 2021</w:t>
            </w:r>
          </w:p>
        </w:tc>
        <w:tc>
          <w:tcPr>
            <w:tcW w:w="3150" w:type="dxa"/>
          </w:tcPr>
          <w:p w14:paraId="0DB1FCF8" w14:textId="2AF6A276" w:rsidR="000B13DA" w:rsidRPr="000B13DA" w:rsidRDefault="000B13DA" w:rsidP="000B13DA">
            <w:pPr>
              <w:pStyle w:val="ListParagraph"/>
              <w:ind w:left="0"/>
            </w:pPr>
            <w:r w:rsidRPr="000B13DA">
              <w:rPr>
                <w:rFonts w:ascii="Calibri" w:hAnsi="Calibri" w:cs="Arial"/>
                <w:color w:val="000000" w:themeColor="dark1"/>
                <w:kern w:val="24"/>
              </w:rPr>
              <w:t>ICANN 70 “Cancún”</w:t>
            </w:r>
          </w:p>
        </w:tc>
        <w:tc>
          <w:tcPr>
            <w:tcW w:w="3235" w:type="dxa"/>
          </w:tcPr>
          <w:p w14:paraId="01872D48" w14:textId="52C3451C" w:rsidR="000B13DA" w:rsidRPr="000B13DA" w:rsidRDefault="00C20963" w:rsidP="000B13DA">
            <w:pPr>
              <w:pStyle w:val="ListParagraph"/>
              <w:ind w:left="0"/>
            </w:pPr>
            <w:hyperlink r:id="rId10" w:history="1">
              <w:r w:rsidR="000B13DA" w:rsidRPr="000B13DA">
                <w:rPr>
                  <w:rStyle w:val="Hyperlink"/>
                  <w:rFonts w:ascii="Calibri" w:hAnsi="Calibri" w:cs="Arial"/>
                  <w:color w:val="000000" w:themeColor="dark1"/>
                  <w:kern w:val="24"/>
                </w:rPr>
                <w:t>https://tinyurl.com/bj69sn87</w:t>
              </w:r>
            </w:hyperlink>
          </w:p>
        </w:tc>
      </w:tr>
    </w:tbl>
    <w:p w14:paraId="4B92F091" w14:textId="77777777" w:rsidR="009D032F" w:rsidRDefault="009D032F" w:rsidP="009D032F"/>
    <w:p w14:paraId="66A22A4F" w14:textId="2A1C4244" w:rsidR="00CB5F70" w:rsidRDefault="000B13DA" w:rsidP="009D032F">
      <w:r>
        <w:tab/>
        <w:t>This is a continuing series.  The next session will be on Monday, 14 June.</w:t>
      </w:r>
    </w:p>
    <w:p w14:paraId="5524CB16" w14:textId="5AADD919" w:rsidR="009D032F" w:rsidRDefault="009D032F" w:rsidP="00367713"/>
    <w:p w14:paraId="5A6E80CD" w14:textId="2B33F04E" w:rsidR="002C4E6F" w:rsidRDefault="002C4E6F" w:rsidP="002C4E6F">
      <w:pPr>
        <w:pStyle w:val="Heading2"/>
      </w:pPr>
      <w:r>
        <w:t>Conclusion</w:t>
      </w:r>
    </w:p>
    <w:p w14:paraId="0296A32D" w14:textId="67FEA9B8" w:rsidR="002C4E6F" w:rsidRDefault="002C4E6F" w:rsidP="00367713"/>
    <w:p w14:paraId="2FC1F6C7" w14:textId="3F95E1B1" w:rsidR="002C4E6F" w:rsidRPr="009D032F" w:rsidRDefault="002C4E6F" w:rsidP="00367713">
      <w:r>
        <w:t>It is worthwhile considering the full set of scenarios.  It requires a bit of work, but much of that work has been done and is accessible.</w:t>
      </w:r>
    </w:p>
    <w:sectPr w:rsidR="002C4E6F" w:rsidRPr="009D032F" w:rsidSect="003D78C3">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D33CF" w14:textId="77777777" w:rsidR="00C20963" w:rsidRDefault="00C20963" w:rsidP="004C7DCC">
      <w:r>
        <w:separator/>
      </w:r>
    </w:p>
  </w:endnote>
  <w:endnote w:type="continuationSeparator" w:id="0">
    <w:p w14:paraId="7DFFDCA8" w14:textId="77777777" w:rsidR="00C20963" w:rsidRDefault="00C20963" w:rsidP="004C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4365977"/>
      <w:docPartObj>
        <w:docPartGallery w:val="Page Numbers (Bottom of Page)"/>
        <w:docPartUnique/>
      </w:docPartObj>
    </w:sdtPr>
    <w:sdtEndPr>
      <w:rPr>
        <w:rStyle w:val="PageNumber"/>
      </w:rPr>
    </w:sdtEndPr>
    <w:sdtContent>
      <w:p w14:paraId="0BBC6D0E" w14:textId="469449BD" w:rsidR="004C7DCC" w:rsidRDefault="004C7DCC" w:rsidP="005342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AD9F12" w14:textId="77777777" w:rsidR="004C7DCC" w:rsidRDefault="004C7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5301074"/>
      <w:docPartObj>
        <w:docPartGallery w:val="Page Numbers (Bottom of Page)"/>
        <w:docPartUnique/>
      </w:docPartObj>
    </w:sdtPr>
    <w:sdtEndPr>
      <w:rPr>
        <w:rStyle w:val="PageNumber"/>
      </w:rPr>
    </w:sdtEndPr>
    <w:sdtContent>
      <w:p w14:paraId="66947B05" w14:textId="4333D4BB" w:rsidR="004C7DCC" w:rsidRDefault="004C7DCC" w:rsidP="005342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F24D84" w14:textId="77777777" w:rsidR="004C7DCC" w:rsidRDefault="004C7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070B2" w14:textId="77777777" w:rsidR="00C20963" w:rsidRDefault="00C20963" w:rsidP="004C7DCC">
      <w:r>
        <w:separator/>
      </w:r>
    </w:p>
  </w:footnote>
  <w:footnote w:type="continuationSeparator" w:id="0">
    <w:p w14:paraId="326171B6" w14:textId="77777777" w:rsidR="00C20963" w:rsidRDefault="00C20963" w:rsidP="004C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D2FA4"/>
    <w:multiLevelType w:val="hybridMultilevel"/>
    <w:tmpl w:val="ABF6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E5FB9"/>
    <w:multiLevelType w:val="hybridMultilevel"/>
    <w:tmpl w:val="21F4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86C2B"/>
    <w:multiLevelType w:val="hybridMultilevel"/>
    <w:tmpl w:val="EF7AA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06B23"/>
    <w:multiLevelType w:val="hybridMultilevel"/>
    <w:tmpl w:val="D0F83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F3"/>
    <w:rsid w:val="00083BFF"/>
    <w:rsid w:val="000902CD"/>
    <w:rsid w:val="000B13DA"/>
    <w:rsid w:val="001E2AB4"/>
    <w:rsid w:val="002341B8"/>
    <w:rsid w:val="002C4E6F"/>
    <w:rsid w:val="00367713"/>
    <w:rsid w:val="003D78C3"/>
    <w:rsid w:val="00404BEB"/>
    <w:rsid w:val="00485CCC"/>
    <w:rsid w:val="00496829"/>
    <w:rsid w:val="004C7DCC"/>
    <w:rsid w:val="005B4023"/>
    <w:rsid w:val="00603FCD"/>
    <w:rsid w:val="006F68C8"/>
    <w:rsid w:val="00730D7A"/>
    <w:rsid w:val="00732FBA"/>
    <w:rsid w:val="00750FD9"/>
    <w:rsid w:val="009D032F"/>
    <w:rsid w:val="009E08A3"/>
    <w:rsid w:val="009F1B87"/>
    <w:rsid w:val="00A14770"/>
    <w:rsid w:val="00C20963"/>
    <w:rsid w:val="00CB5F70"/>
    <w:rsid w:val="00D31C9F"/>
    <w:rsid w:val="00D6290D"/>
    <w:rsid w:val="00DD68D6"/>
    <w:rsid w:val="00EA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110"/>
  <w14:defaultImageDpi w14:val="32767"/>
  <w15:chartTrackingRefBased/>
  <w15:docId w15:val="{181F07BB-5DBC-EB4E-8542-63CDD518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D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77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ckerComment">
    <w:name w:val="Crocker Comment"/>
    <w:basedOn w:val="Normal"/>
    <w:qFormat/>
    <w:rsid w:val="00496829"/>
    <w:rPr>
      <w:rFonts w:eastAsiaTheme="minorEastAsia"/>
      <w:color w:val="FF0000"/>
    </w:rPr>
  </w:style>
  <w:style w:type="table" w:styleId="TableGrid">
    <w:name w:val="Table Grid"/>
    <w:basedOn w:val="TableNormal"/>
    <w:uiPriority w:val="39"/>
    <w:rsid w:val="00EA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90D"/>
    <w:pPr>
      <w:ind w:left="720"/>
      <w:contextualSpacing/>
    </w:pPr>
  </w:style>
  <w:style w:type="character" w:customStyle="1" w:styleId="Heading2Char">
    <w:name w:val="Heading 2 Char"/>
    <w:basedOn w:val="DefaultParagraphFont"/>
    <w:link w:val="Heading2"/>
    <w:uiPriority w:val="9"/>
    <w:rsid w:val="0036771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B13DA"/>
    <w:rPr>
      <w:color w:val="0000FF"/>
      <w:u w:val="single"/>
    </w:rPr>
  </w:style>
  <w:style w:type="character" w:styleId="UnresolvedMention">
    <w:name w:val="Unresolved Mention"/>
    <w:basedOn w:val="DefaultParagraphFont"/>
    <w:uiPriority w:val="99"/>
    <w:rsid w:val="000B13DA"/>
    <w:rPr>
      <w:color w:val="605E5C"/>
      <w:shd w:val="clear" w:color="auto" w:fill="E1DFDD"/>
    </w:rPr>
  </w:style>
  <w:style w:type="character" w:customStyle="1" w:styleId="Heading1Char">
    <w:name w:val="Heading 1 Char"/>
    <w:basedOn w:val="DefaultParagraphFont"/>
    <w:link w:val="Heading1"/>
    <w:uiPriority w:val="9"/>
    <w:rsid w:val="004C7DCC"/>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4C7DCC"/>
    <w:pPr>
      <w:tabs>
        <w:tab w:val="center" w:pos="4680"/>
        <w:tab w:val="right" w:pos="9360"/>
      </w:tabs>
    </w:pPr>
  </w:style>
  <w:style w:type="character" w:customStyle="1" w:styleId="FooterChar">
    <w:name w:val="Footer Char"/>
    <w:basedOn w:val="DefaultParagraphFont"/>
    <w:link w:val="Footer"/>
    <w:uiPriority w:val="99"/>
    <w:rsid w:val="004C7DCC"/>
  </w:style>
  <w:style w:type="character" w:styleId="PageNumber">
    <w:name w:val="page number"/>
    <w:basedOn w:val="DefaultParagraphFont"/>
    <w:uiPriority w:val="99"/>
    <w:semiHidden/>
    <w:unhideWhenUsed/>
    <w:rsid w:val="004C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090988">
      <w:bodyDiv w:val="1"/>
      <w:marLeft w:val="0"/>
      <w:marRight w:val="0"/>
      <w:marTop w:val="0"/>
      <w:marBottom w:val="0"/>
      <w:divBdr>
        <w:top w:val="none" w:sz="0" w:space="0" w:color="auto"/>
        <w:left w:val="none" w:sz="0" w:space="0" w:color="auto"/>
        <w:bottom w:val="none" w:sz="0" w:space="0" w:color="auto"/>
        <w:right w:val="none" w:sz="0" w:space="0" w:color="auto"/>
      </w:divBdr>
    </w:div>
    <w:div w:id="10318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m8eraez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5dwxfz2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nyurl.com/bj69sn87" TargetMode="External"/><Relationship Id="rId4" Type="http://schemas.openxmlformats.org/officeDocument/2006/relationships/webSettings" Target="webSettings.xml"/><Relationship Id="rId9" Type="http://schemas.openxmlformats.org/officeDocument/2006/relationships/hyperlink" Target="https://tinyurl.com/f8ma63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Crocker</dc:creator>
  <cp:keywords/>
  <dc:description/>
  <cp:lastModifiedBy>Steve Crocker</cp:lastModifiedBy>
  <cp:revision>8</cp:revision>
  <dcterms:created xsi:type="dcterms:W3CDTF">2021-05-15T06:02:00Z</dcterms:created>
  <dcterms:modified xsi:type="dcterms:W3CDTF">2021-05-15T19:46:00Z</dcterms:modified>
</cp:coreProperties>
</file>