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F316" w14:textId="21A87873" w:rsidR="000838B9" w:rsidRPr="001F5F0B" w:rsidRDefault="009F46BD">
      <w:pPr>
        <w:rPr>
          <w:rFonts w:cstheme="minorHAnsi"/>
          <w:b/>
        </w:rPr>
      </w:pPr>
      <w:bookmarkStart w:id="0" w:name="_Hlk529882834"/>
      <w:r>
        <w:rPr>
          <w:rFonts w:cstheme="minorHAnsi"/>
          <w:b/>
        </w:rPr>
        <w:t>Updating</w:t>
      </w:r>
      <w:r w:rsidR="004903BE" w:rsidRPr="001F5F0B">
        <w:rPr>
          <w:rFonts w:cstheme="minorHAnsi"/>
          <w:b/>
        </w:rPr>
        <w:t xml:space="preserve"> existing SLAs and setting new </w:t>
      </w:r>
      <w:r>
        <w:rPr>
          <w:rFonts w:cstheme="minorHAnsi"/>
          <w:b/>
        </w:rPr>
        <w:t>ones</w:t>
      </w:r>
      <w:r w:rsidR="004903BE" w:rsidRPr="001F5F0B">
        <w:rPr>
          <w:rFonts w:cstheme="minorHAnsi"/>
          <w:b/>
        </w:rPr>
        <w:t xml:space="preserve">: </w:t>
      </w:r>
    </w:p>
    <w:p w14:paraId="3EEE5E85" w14:textId="28EFC3B8" w:rsidR="007672E6" w:rsidRPr="001F5F0B" w:rsidRDefault="00CF30A0">
      <w:pPr>
        <w:rPr>
          <w:rFonts w:cstheme="minorHAnsi"/>
        </w:rPr>
      </w:pPr>
      <w:r w:rsidRPr="001F5F0B">
        <w:rPr>
          <w:rFonts w:cstheme="minorHAnsi"/>
        </w:rPr>
        <w:t xml:space="preserve">One of the outcomes of the IANA </w:t>
      </w:r>
      <w:r w:rsidR="001E23C0" w:rsidRPr="001F5F0B">
        <w:rPr>
          <w:rFonts w:cstheme="minorHAnsi"/>
        </w:rPr>
        <w:t>s</w:t>
      </w:r>
      <w:r w:rsidRPr="001F5F0B">
        <w:rPr>
          <w:rFonts w:cstheme="minorHAnsi"/>
        </w:rPr>
        <w:t>tewardship</w:t>
      </w:r>
      <w:r w:rsidR="000838B9" w:rsidRPr="001F5F0B">
        <w:rPr>
          <w:rFonts w:cstheme="minorHAnsi"/>
        </w:rPr>
        <w:t xml:space="preserve"> transition</w:t>
      </w:r>
      <w:r w:rsidRPr="001F5F0B">
        <w:rPr>
          <w:rFonts w:cstheme="minorHAnsi"/>
        </w:rPr>
        <w:t xml:space="preserve"> was the creation of a set of Service Level Expectations (SLEs) that the IANA Functions Operator is expected to meet in its performance of the Naming function.</w:t>
      </w:r>
      <w:r w:rsidR="000838B9" w:rsidRPr="001F5F0B">
        <w:rPr>
          <w:rFonts w:cstheme="minorHAnsi"/>
        </w:rPr>
        <w:t xml:space="preserve">  </w:t>
      </w:r>
      <w:r w:rsidRPr="001F5F0B">
        <w:rPr>
          <w:rFonts w:cstheme="minorHAnsi"/>
        </w:rPr>
        <w:t xml:space="preserve">The SLEs eventually became SLAs </w:t>
      </w:r>
      <w:r w:rsidR="001E23C0" w:rsidRPr="001F5F0B">
        <w:rPr>
          <w:rFonts w:cstheme="minorHAnsi"/>
        </w:rPr>
        <w:t>per</w:t>
      </w:r>
      <w:r w:rsidRPr="001F5F0B">
        <w:rPr>
          <w:rFonts w:cstheme="minorHAnsi"/>
        </w:rPr>
        <w:t xml:space="preserve"> the IANA Naming Function agreement. </w:t>
      </w:r>
    </w:p>
    <w:p w14:paraId="59ACF1C0" w14:textId="6BDFDAC8" w:rsidR="002556A8" w:rsidRPr="001F5F0B" w:rsidRDefault="00CF30A0" w:rsidP="007165BB">
      <w:pPr>
        <w:rPr>
          <w:rFonts w:cstheme="minorHAnsi"/>
        </w:rPr>
      </w:pPr>
      <w:r w:rsidRPr="001F5F0B">
        <w:rPr>
          <w:rFonts w:cstheme="minorHAnsi"/>
        </w:rPr>
        <w:t xml:space="preserve">In their monitoring of performance, the </w:t>
      </w:r>
      <w:r w:rsidR="001E23C0" w:rsidRPr="001F5F0B">
        <w:rPr>
          <w:rFonts w:cstheme="minorHAnsi"/>
        </w:rPr>
        <w:t>Customer Standing Committee (</w:t>
      </w:r>
      <w:r w:rsidRPr="001F5F0B">
        <w:rPr>
          <w:rFonts w:cstheme="minorHAnsi"/>
        </w:rPr>
        <w:t>CSC</w:t>
      </w:r>
      <w:r w:rsidR="001E23C0" w:rsidRPr="001F5F0B">
        <w:rPr>
          <w:rFonts w:cstheme="minorHAnsi"/>
        </w:rPr>
        <w:t>)</w:t>
      </w:r>
      <w:r w:rsidRPr="001F5F0B">
        <w:rPr>
          <w:rFonts w:cstheme="minorHAnsi"/>
        </w:rPr>
        <w:t xml:space="preserve"> identified that some of the SLAs were set at a much lower rate than actual historical trends. </w:t>
      </w:r>
      <w:r w:rsidR="007165BB" w:rsidRPr="001F5F0B">
        <w:rPr>
          <w:rFonts w:cstheme="minorHAnsi"/>
        </w:rPr>
        <w:t xml:space="preserve">The CSC recognized that certain SLAs may need to be modified, but according to the contract, such changes could not take place until a year had passed, giving the CSC twelve (12) months of reports to reflect on. (CSC Meeting 6, 16 January 2017).  </w:t>
      </w:r>
    </w:p>
    <w:p w14:paraId="5AC33FFE" w14:textId="4B03368F" w:rsidR="00F60A93" w:rsidRPr="001F5F0B" w:rsidRDefault="002556A8" w:rsidP="007165BB">
      <w:pPr>
        <w:rPr>
          <w:rFonts w:cstheme="minorHAnsi"/>
        </w:rPr>
      </w:pPr>
      <w:r w:rsidRPr="001F5F0B">
        <w:rPr>
          <w:rFonts w:cstheme="minorHAnsi"/>
        </w:rPr>
        <w:t>The CSC first defined the process for tracking missed SLAs to determine if the metric required re-adjustment or if it was a sign of operational issues. The CSC determined to begin “tracking” a missed SLA on its second occurrence.</w:t>
      </w:r>
      <w:r w:rsidR="00CD0C3C" w:rsidRPr="001F5F0B">
        <w:rPr>
          <w:rFonts w:cstheme="minorHAnsi"/>
        </w:rPr>
        <w:t xml:space="preserve"> </w:t>
      </w:r>
      <w:r w:rsidRPr="001F5F0B">
        <w:rPr>
          <w:rFonts w:cstheme="minorHAnsi"/>
        </w:rPr>
        <w:t>In addition, if the CSC was assured that the SLA metric did require a change, on the CSC reports these missed SLAs would be flagged with</w:t>
      </w:r>
      <w:r w:rsidR="007165BB" w:rsidRPr="001F5F0B">
        <w:rPr>
          <w:rFonts w:cstheme="minorHAnsi"/>
        </w:rPr>
        <w:t xml:space="preserve"> </w:t>
      </w:r>
      <w:r w:rsidRPr="001F5F0B">
        <w:rPr>
          <w:rFonts w:cstheme="minorHAnsi"/>
        </w:rPr>
        <w:t xml:space="preserve">“the CSC determined that these exceptions are no cause for concern.  No consistent problems were </w:t>
      </w:r>
      <w:proofErr w:type="gramStart"/>
      <w:r w:rsidRPr="001F5F0B">
        <w:rPr>
          <w:rFonts w:cstheme="minorHAnsi"/>
        </w:rPr>
        <w:t>identified</w:t>
      </w:r>
      <w:proofErr w:type="gramEnd"/>
      <w:r w:rsidRPr="001F5F0B">
        <w:rPr>
          <w:rFonts w:cstheme="minorHAnsi"/>
        </w:rPr>
        <w:t xml:space="preserve"> and no further action is needed.” </w:t>
      </w:r>
    </w:p>
    <w:p w14:paraId="112A37B9" w14:textId="5B3E6EBD" w:rsidR="001739BD" w:rsidRPr="001F5F0B" w:rsidRDefault="00AA0CB6" w:rsidP="00836428">
      <w:pPr>
        <w:rPr>
          <w:rFonts w:cstheme="minorHAnsi"/>
        </w:rPr>
      </w:pPr>
      <w:r w:rsidRPr="001F5F0B">
        <w:rPr>
          <w:rFonts w:cstheme="minorHAnsi"/>
        </w:rPr>
        <w:t>ICANN, PTI and the CSC worked to develop t</w:t>
      </w:r>
      <w:r w:rsidR="001739BD" w:rsidRPr="001F5F0B">
        <w:rPr>
          <w:rFonts w:cstheme="minorHAnsi"/>
        </w:rPr>
        <w:t>he new “</w:t>
      </w:r>
      <w:r w:rsidR="001739BD" w:rsidRPr="001F5F0B">
        <w:rPr>
          <w:rFonts w:cstheme="minorHAnsi"/>
          <w:i/>
        </w:rPr>
        <w:t>Process for Amending the IANA Naming Service Level Agreements</w:t>
      </w:r>
      <w:r w:rsidRPr="001F5F0B">
        <w:rPr>
          <w:rFonts w:cstheme="minorHAnsi"/>
          <w:i/>
        </w:rPr>
        <w:t xml:space="preserve">”.  </w:t>
      </w:r>
      <w:r w:rsidRPr="001F5F0B">
        <w:rPr>
          <w:rFonts w:cstheme="minorHAnsi"/>
        </w:rPr>
        <w:t>The process p</w:t>
      </w:r>
      <w:r w:rsidR="001739BD" w:rsidRPr="001F5F0B">
        <w:rPr>
          <w:rFonts w:cstheme="minorHAnsi"/>
        </w:rPr>
        <w:t>rovides for how to determine if a</w:t>
      </w:r>
      <w:r w:rsidR="00D83C18" w:rsidRPr="001F5F0B">
        <w:rPr>
          <w:rFonts w:cstheme="minorHAnsi"/>
        </w:rPr>
        <w:t>n</w:t>
      </w:r>
      <w:r w:rsidR="001739BD" w:rsidRPr="001F5F0B">
        <w:rPr>
          <w:rFonts w:cstheme="minorHAnsi"/>
        </w:rPr>
        <w:t xml:space="preserve"> SLA should be modified, and the method for doing so</w:t>
      </w:r>
      <w:r w:rsidRPr="001F5F0B">
        <w:rPr>
          <w:rFonts w:cstheme="minorHAnsi"/>
        </w:rPr>
        <w:t xml:space="preserve"> with appropriate consultation and agreement levels</w:t>
      </w:r>
      <w:r w:rsidR="001739BD" w:rsidRPr="001F5F0B">
        <w:rPr>
          <w:rFonts w:cstheme="minorHAnsi"/>
        </w:rPr>
        <w:t xml:space="preserve">.  This process </w:t>
      </w:r>
      <w:r w:rsidR="0054008B" w:rsidRPr="001F5F0B">
        <w:rPr>
          <w:rFonts w:cstheme="minorHAnsi"/>
        </w:rPr>
        <w:t>contains</w:t>
      </w:r>
      <w:r w:rsidR="001739BD" w:rsidRPr="001F5F0B">
        <w:rPr>
          <w:rFonts w:cstheme="minorHAnsi"/>
        </w:rPr>
        <w:t xml:space="preserve"> safeguards and mechanisms to ensure that due diligence will be followed in making changes to the SLAs.  </w:t>
      </w:r>
    </w:p>
    <w:p w14:paraId="1BA87612" w14:textId="77777777" w:rsidR="001739BD" w:rsidRPr="001F5F0B" w:rsidRDefault="001739BD" w:rsidP="001739BD">
      <w:pPr>
        <w:rPr>
          <w:rFonts w:cstheme="minorHAnsi"/>
        </w:rPr>
      </w:pPr>
      <w:r w:rsidRPr="001F5F0B">
        <w:rPr>
          <w:rFonts w:cstheme="minorHAnsi"/>
        </w:rPr>
        <w:t xml:space="preserve">None of the requirements in the process for amending IANA Naming SLAs override any obligations within the IANA Naming Functions Contract. </w:t>
      </w:r>
    </w:p>
    <w:p w14:paraId="28C65D6B" w14:textId="77777777" w:rsidR="001739BD" w:rsidRPr="001F5F0B" w:rsidRDefault="001739BD" w:rsidP="001739BD">
      <w:pPr>
        <w:rPr>
          <w:rFonts w:cstheme="minorHAnsi"/>
        </w:rPr>
      </w:pPr>
      <w:r w:rsidRPr="001F5F0B">
        <w:rPr>
          <w:rFonts w:cstheme="minorHAnsi"/>
        </w:rPr>
        <w:t>The CSC, ICANN and PTI have also developed the “</w:t>
      </w:r>
      <w:r w:rsidRPr="001F5F0B">
        <w:rPr>
          <w:rFonts w:cstheme="minorHAnsi"/>
          <w:i/>
        </w:rPr>
        <w:t>Procedure for Modifying the Process for Amending the IANA Naming Service Level Agreements”</w:t>
      </w:r>
      <w:r w:rsidRPr="001F5F0B">
        <w:rPr>
          <w:rFonts w:cstheme="minorHAnsi"/>
        </w:rPr>
        <w:t>.  This procedure provides a mechanism for reviewing the SLA change process itself, if it requires adjustments realized while in operation.</w:t>
      </w:r>
    </w:p>
    <w:bookmarkEnd w:id="0"/>
    <w:p w14:paraId="305F2704" w14:textId="5F2C9E4D" w:rsidR="001E23C0" w:rsidRPr="001F5F0B" w:rsidRDefault="001E23C0">
      <w:pPr>
        <w:rPr>
          <w:rFonts w:cstheme="minorHAnsi"/>
        </w:rPr>
      </w:pPr>
      <w:r w:rsidRPr="001F5F0B">
        <w:rPr>
          <w:rFonts w:cstheme="minorHAnsi"/>
        </w:rPr>
        <w:t>As of February 2019, the CSC has identified some SLAs that need to be amended and additional new ones to be created.</w:t>
      </w:r>
    </w:p>
    <w:p w14:paraId="79E42C1C" w14:textId="759D6152" w:rsidR="002556A8" w:rsidRPr="001F5F0B" w:rsidRDefault="001E23C0">
      <w:pPr>
        <w:rPr>
          <w:rFonts w:cstheme="minorHAnsi"/>
          <w:b/>
        </w:rPr>
      </w:pPr>
      <w:r w:rsidRPr="001F5F0B">
        <w:rPr>
          <w:rFonts w:cstheme="minorHAnsi"/>
          <w:b/>
        </w:rPr>
        <w:t xml:space="preserve">SLAs </w:t>
      </w:r>
      <w:r w:rsidR="00495CFF" w:rsidRPr="001F5F0B">
        <w:rPr>
          <w:rFonts w:cstheme="minorHAnsi"/>
          <w:b/>
        </w:rPr>
        <w:t>considered for change by the CSC:</w:t>
      </w:r>
    </w:p>
    <w:p w14:paraId="61C07C67" w14:textId="4B343950" w:rsidR="004903BE" w:rsidRPr="001F5F0B" w:rsidRDefault="002556A8" w:rsidP="004903BE">
      <w:pPr>
        <w:pStyle w:val="ListParagraph"/>
        <w:numPr>
          <w:ilvl w:val="0"/>
          <w:numId w:val="1"/>
        </w:numPr>
        <w:rPr>
          <w:rFonts w:asciiTheme="minorHAnsi" w:hAnsiTheme="minorHAnsi" w:cstheme="minorHAnsi"/>
        </w:rPr>
      </w:pPr>
      <w:r w:rsidRPr="001F5F0B">
        <w:rPr>
          <w:rFonts w:asciiTheme="minorHAnsi" w:hAnsiTheme="minorHAnsi" w:cstheme="minorHAnsi"/>
        </w:rPr>
        <w:t>Technical Check – Retest</w:t>
      </w:r>
    </w:p>
    <w:p w14:paraId="417D3711" w14:textId="2D879ABD" w:rsidR="007165BB" w:rsidRPr="001F5F0B" w:rsidRDefault="004903BE" w:rsidP="004903BE">
      <w:pPr>
        <w:pStyle w:val="ListParagraph"/>
        <w:numPr>
          <w:ilvl w:val="0"/>
          <w:numId w:val="1"/>
        </w:numPr>
        <w:rPr>
          <w:rFonts w:asciiTheme="minorHAnsi" w:hAnsiTheme="minorHAnsi" w:cstheme="minorHAnsi"/>
        </w:rPr>
      </w:pPr>
      <w:r w:rsidRPr="001F5F0B">
        <w:rPr>
          <w:rFonts w:asciiTheme="minorHAnsi" w:hAnsiTheme="minorHAnsi" w:cstheme="minorHAnsi"/>
        </w:rPr>
        <w:t xml:space="preserve">Technical Check – </w:t>
      </w:r>
      <w:r w:rsidR="002556A8" w:rsidRPr="001F5F0B">
        <w:rPr>
          <w:rFonts w:asciiTheme="minorHAnsi" w:hAnsiTheme="minorHAnsi" w:cstheme="minorHAnsi"/>
        </w:rPr>
        <w:t xml:space="preserve">Supplemental </w:t>
      </w:r>
    </w:p>
    <w:p w14:paraId="0FD4E50A" w14:textId="1C4512DD" w:rsidR="009C45AB" w:rsidRPr="001F5F0B" w:rsidRDefault="00CF30A0" w:rsidP="00495CFF">
      <w:pPr>
        <w:ind w:left="720"/>
        <w:rPr>
          <w:rFonts w:cstheme="minorHAnsi"/>
        </w:rPr>
      </w:pPr>
      <w:r w:rsidRPr="001F5F0B">
        <w:rPr>
          <w:rFonts w:cstheme="minorHAnsi"/>
        </w:rPr>
        <w:t xml:space="preserve">Technical Check includes two metrics needing to be changed. The Technical Check (Retest) and Technical Check (Supplemental). The threshold for these metrics was set to 3 </w:t>
      </w:r>
      <w:r w:rsidR="00D83C18" w:rsidRPr="001F5F0B">
        <w:rPr>
          <w:rFonts w:cstheme="minorHAnsi"/>
        </w:rPr>
        <w:t xml:space="preserve">minutes </w:t>
      </w:r>
      <w:r w:rsidRPr="001F5F0B">
        <w:rPr>
          <w:rFonts w:cstheme="minorHAnsi"/>
        </w:rPr>
        <w:t>and 1 minute consecutively. Missing the SLA for both of these metrics relates to time spent waiting for responses from nameservers that ultimately were unreachable (i.e. time waiting to timeout, multiplied by retries.) A guiding general princip</w:t>
      </w:r>
      <w:r w:rsidR="00D83C18" w:rsidRPr="001F5F0B">
        <w:rPr>
          <w:rFonts w:cstheme="minorHAnsi"/>
        </w:rPr>
        <w:t>le</w:t>
      </w:r>
      <w:r w:rsidRPr="001F5F0B">
        <w:rPr>
          <w:rFonts w:cstheme="minorHAnsi"/>
        </w:rPr>
        <w:t xml:space="preserve"> </w:t>
      </w:r>
      <w:r w:rsidR="00836428" w:rsidRPr="001F5F0B">
        <w:rPr>
          <w:rFonts w:cstheme="minorHAnsi"/>
        </w:rPr>
        <w:t xml:space="preserve">in the SLAs developed for monitor performance </w:t>
      </w:r>
      <w:r w:rsidRPr="001F5F0B">
        <w:rPr>
          <w:rFonts w:cstheme="minorHAnsi"/>
        </w:rPr>
        <w:t>is that SLA time should be attributed to the party responsible, mean</w:t>
      </w:r>
      <w:r w:rsidR="00D83C18" w:rsidRPr="001F5F0B">
        <w:rPr>
          <w:rFonts w:cstheme="minorHAnsi"/>
        </w:rPr>
        <w:t>ing that</w:t>
      </w:r>
      <w:r w:rsidRPr="001F5F0B">
        <w:rPr>
          <w:rFonts w:cstheme="minorHAnsi"/>
        </w:rPr>
        <w:t xml:space="preserve"> the SLA should not be missed if the data being tested is bad and as such more time needs to be allocated for the technical check to be completed. </w:t>
      </w:r>
    </w:p>
    <w:p w14:paraId="09F3F3E8" w14:textId="2756D49D" w:rsidR="00A65850" w:rsidRPr="001F5F0B" w:rsidRDefault="00FD32AC" w:rsidP="00A65850">
      <w:pPr>
        <w:ind w:left="720"/>
        <w:rPr>
          <w:rFonts w:cstheme="minorHAnsi"/>
          <w:b/>
        </w:rPr>
      </w:pPr>
      <w:r w:rsidRPr="001F5F0B">
        <w:rPr>
          <w:rFonts w:cstheme="minorHAnsi"/>
          <w:b/>
        </w:rPr>
        <w:t>Recommended new thresholds</w:t>
      </w:r>
      <w:r w:rsidR="00A65850" w:rsidRPr="001F5F0B">
        <w:rPr>
          <w:rFonts w:cstheme="minorHAnsi"/>
          <w:b/>
        </w:rPr>
        <w:t>:</w:t>
      </w:r>
    </w:p>
    <w:tbl>
      <w:tblPr>
        <w:tblStyle w:val="TableGrid"/>
        <w:tblW w:w="9737" w:type="dxa"/>
        <w:tblInd w:w="720" w:type="dxa"/>
        <w:tblLook w:val="04A0" w:firstRow="1" w:lastRow="0" w:firstColumn="1" w:lastColumn="0" w:noHBand="0" w:noVBand="1"/>
      </w:tblPr>
      <w:tblGrid>
        <w:gridCol w:w="1567"/>
        <w:gridCol w:w="1160"/>
        <w:gridCol w:w="1481"/>
        <w:gridCol w:w="1213"/>
        <w:gridCol w:w="1581"/>
        <w:gridCol w:w="2735"/>
      </w:tblGrid>
      <w:tr w:rsidR="00F13B04" w:rsidRPr="001F5F0B" w14:paraId="73730258" w14:textId="2FBA65E4" w:rsidTr="00F13B04">
        <w:trPr>
          <w:trHeight w:val="762"/>
        </w:trPr>
        <w:tc>
          <w:tcPr>
            <w:tcW w:w="1355" w:type="dxa"/>
            <w:shd w:val="clear" w:color="auto" w:fill="C0C0C0"/>
          </w:tcPr>
          <w:p w14:paraId="6EE0C187" w14:textId="77777777" w:rsidR="00F13B04" w:rsidRPr="001F5F0B" w:rsidRDefault="00F13B04" w:rsidP="0045563F">
            <w:pPr>
              <w:spacing w:after="160" w:line="259" w:lineRule="auto"/>
              <w:rPr>
                <w:rFonts w:cstheme="minorHAnsi"/>
              </w:rPr>
            </w:pPr>
            <w:r w:rsidRPr="001F5F0B">
              <w:rPr>
                <w:rFonts w:cstheme="minorHAnsi"/>
              </w:rPr>
              <w:lastRenderedPageBreak/>
              <w:t>Metric</w:t>
            </w:r>
          </w:p>
        </w:tc>
        <w:tc>
          <w:tcPr>
            <w:tcW w:w="1209" w:type="dxa"/>
            <w:shd w:val="clear" w:color="auto" w:fill="C0C0C0"/>
          </w:tcPr>
          <w:p w14:paraId="3F6D455D" w14:textId="77777777" w:rsidR="00F13B04" w:rsidRPr="001F5F0B" w:rsidRDefault="00F13B04" w:rsidP="0045563F">
            <w:pPr>
              <w:spacing w:after="160" w:line="259" w:lineRule="auto"/>
              <w:rPr>
                <w:rFonts w:cstheme="minorHAnsi"/>
              </w:rPr>
            </w:pPr>
            <w:r w:rsidRPr="001F5F0B">
              <w:rPr>
                <w:rFonts w:cstheme="minorHAnsi"/>
              </w:rPr>
              <w:t>Current SLA</w:t>
            </w:r>
          </w:p>
        </w:tc>
        <w:tc>
          <w:tcPr>
            <w:tcW w:w="1323" w:type="dxa"/>
            <w:shd w:val="clear" w:color="auto" w:fill="C0C0C0"/>
          </w:tcPr>
          <w:p w14:paraId="5E0ADB39" w14:textId="77777777" w:rsidR="00F13B04" w:rsidRPr="001F5F0B" w:rsidRDefault="00F13B04" w:rsidP="0045563F">
            <w:pPr>
              <w:spacing w:after="160" w:line="259" w:lineRule="auto"/>
              <w:rPr>
                <w:rFonts w:cstheme="minorHAnsi"/>
              </w:rPr>
            </w:pPr>
            <w:r w:rsidRPr="001F5F0B">
              <w:rPr>
                <w:rFonts w:cstheme="minorHAnsi"/>
              </w:rPr>
              <w:t>Actual Performance</w:t>
            </w:r>
          </w:p>
        </w:tc>
        <w:tc>
          <w:tcPr>
            <w:tcW w:w="1245" w:type="dxa"/>
            <w:shd w:val="clear" w:color="auto" w:fill="C0C0C0"/>
          </w:tcPr>
          <w:p w14:paraId="6188FCC3" w14:textId="77777777" w:rsidR="00F13B04" w:rsidRPr="001F5F0B" w:rsidRDefault="00F13B04" w:rsidP="0045563F">
            <w:pPr>
              <w:spacing w:after="160" w:line="259" w:lineRule="auto"/>
              <w:rPr>
                <w:rFonts w:cstheme="minorHAnsi"/>
              </w:rPr>
            </w:pPr>
            <w:r w:rsidRPr="001F5F0B">
              <w:rPr>
                <w:rFonts w:cstheme="minorHAnsi"/>
              </w:rPr>
              <w:t>Adjusted SLA</w:t>
            </w:r>
          </w:p>
        </w:tc>
        <w:tc>
          <w:tcPr>
            <w:tcW w:w="1635" w:type="dxa"/>
            <w:shd w:val="clear" w:color="auto" w:fill="C0C0C0"/>
          </w:tcPr>
          <w:p w14:paraId="5F55A39F" w14:textId="77777777" w:rsidR="00F13B04" w:rsidRPr="001F5F0B" w:rsidRDefault="00F13B04" w:rsidP="0045563F">
            <w:pPr>
              <w:spacing w:after="160" w:line="259" w:lineRule="auto"/>
              <w:rPr>
                <w:rFonts w:cstheme="minorHAnsi"/>
              </w:rPr>
            </w:pPr>
            <w:r w:rsidRPr="001F5F0B">
              <w:rPr>
                <w:rFonts w:cstheme="minorHAnsi"/>
              </w:rPr>
              <w:t>Explanation</w:t>
            </w:r>
          </w:p>
        </w:tc>
        <w:tc>
          <w:tcPr>
            <w:tcW w:w="2970" w:type="dxa"/>
            <w:shd w:val="clear" w:color="auto" w:fill="C0C0C0"/>
          </w:tcPr>
          <w:p w14:paraId="1CE3ABDB" w14:textId="72E87BF5" w:rsidR="00F13B04" w:rsidRPr="001F5F0B" w:rsidRDefault="00F13B04" w:rsidP="0045563F">
            <w:pPr>
              <w:rPr>
                <w:rFonts w:cstheme="minorHAnsi"/>
              </w:rPr>
            </w:pPr>
            <w:r>
              <w:rPr>
                <w:rFonts w:cstheme="minorHAnsi"/>
              </w:rPr>
              <w:t>Implementation Details</w:t>
            </w:r>
          </w:p>
        </w:tc>
      </w:tr>
      <w:tr w:rsidR="00F13B04" w:rsidRPr="001F5F0B" w14:paraId="6D9DE16A" w14:textId="6544A3BC" w:rsidTr="00F13B04">
        <w:trPr>
          <w:trHeight w:val="1284"/>
        </w:trPr>
        <w:tc>
          <w:tcPr>
            <w:tcW w:w="1355" w:type="dxa"/>
          </w:tcPr>
          <w:p w14:paraId="1E2DE647" w14:textId="77777777" w:rsidR="00F13B04" w:rsidRPr="001F5F0B" w:rsidRDefault="00F13B04" w:rsidP="0045563F">
            <w:pPr>
              <w:spacing w:after="160" w:line="259" w:lineRule="auto"/>
              <w:rPr>
                <w:rFonts w:cstheme="minorHAnsi"/>
                <w:sz w:val="22"/>
                <w:szCs w:val="22"/>
              </w:rPr>
            </w:pPr>
            <w:r w:rsidRPr="001F5F0B">
              <w:rPr>
                <w:rFonts w:cstheme="minorHAnsi"/>
                <w:sz w:val="22"/>
                <w:szCs w:val="22"/>
              </w:rPr>
              <w:t xml:space="preserve">Technical Check – Retest </w:t>
            </w:r>
          </w:p>
        </w:tc>
        <w:tc>
          <w:tcPr>
            <w:tcW w:w="1209" w:type="dxa"/>
          </w:tcPr>
          <w:p w14:paraId="61E7F274" w14:textId="77777777" w:rsidR="00F13B04" w:rsidRPr="001F5F0B" w:rsidRDefault="00F13B04" w:rsidP="0045563F">
            <w:pPr>
              <w:spacing w:after="160" w:line="259" w:lineRule="auto"/>
              <w:rPr>
                <w:rFonts w:cstheme="minorHAnsi"/>
                <w:sz w:val="22"/>
                <w:szCs w:val="22"/>
              </w:rPr>
            </w:pPr>
            <w:r w:rsidRPr="001F5F0B">
              <w:rPr>
                <w:rFonts w:cstheme="minorHAnsi"/>
                <w:sz w:val="22"/>
                <w:szCs w:val="22"/>
              </w:rPr>
              <w:t>3 minutes</w:t>
            </w:r>
          </w:p>
          <w:p w14:paraId="1A4D42FB" w14:textId="77777777" w:rsidR="00F13B04" w:rsidRPr="001F5F0B" w:rsidRDefault="00F13B04" w:rsidP="0045563F">
            <w:pPr>
              <w:spacing w:after="160" w:line="259" w:lineRule="auto"/>
              <w:rPr>
                <w:rFonts w:cstheme="minorHAnsi"/>
                <w:sz w:val="22"/>
                <w:szCs w:val="22"/>
              </w:rPr>
            </w:pPr>
          </w:p>
        </w:tc>
        <w:tc>
          <w:tcPr>
            <w:tcW w:w="1323" w:type="dxa"/>
          </w:tcPr>
          <w:p w14:paraId="210F4DCF" w14:textId="5BA0670A" w:rsidR="00F13B04" w:rsidRPr="001F5F0B" w:rsidRDefault="00F13B04" w:rsidP="0045563F">
            <w:pPr>
              <w:spacing w:after="160" w:line="259" w:lineRule="auto"/>
              <w:rPr>
                <w:rFonts w:cstheme="minorHAnsi"/>
                <w:sz w:val="22"/>
                <w:szCs w:val="22"/>
              </w:rPr>
            </w:pPr>
            <w:r w:rsidRPr="001F5F0B">
              <w:rPr>
                <w:rFonts w:cstheme="minorHAnsi"/>
                <w:sz w:val="22"/>
                <w:szCs w:val="22"/>
              </w:rPr>
              <w:t>3</w:t>
            </w:r>
            <w:r w:rsidRPr="001F5F0B">
              <w:rPr>
                <w:rFonts w:cstheme="minorHAnsi"/>
                <w:sz w:val="22"/>
                <w:szCs w:val="22"/>
              </w:rPr>
              <w:t>-8 minutes</w:t>
            </w:r>
          </w:p>
        </w:tc>
        <w:tc>
          <w:tcPr>
            <w:tcW w:w="1245" w:type="dxa"/>
          </w:tcPr>
          <w:p w14:paraId="6328C1A2" w14:textId="77777777" w:rsidR="00F13B04" w:rsidRPr="001F5F0B" w:rsidRDefault="00F13B04" w:rsidP="0045563F">
            <w:pPr>
              <w:spacing w:after="160" w:line="259" w:lineRule="auto"/>
              <w:rPr>
                <w:rFonts w:cstheme="minorHAnsi"/>
                <w:sz w:val="22"/>
                <w:szCs w:val="22"/>
              </w:rPr>
            </w:pPr>
            <w:r w:rsidRPr="001F5F0B">
              <w:rPr>
                <w:rFonts w:cstheme="minorHAnsi"/>
                <w:sz w:val="22"/>
                <w:szCs w:val="22"/>
              </w:rPr>
              <w:t>10 minutes</w:t>
            </w:r>
          </w:p>
        </w:tc>
        <w:tc>
          <w:tcPr>
            <w:tcW w:w="1635" w:type="dxa"/>
          </w:tcPr>
          <w:p w14:paraId="2D994FF9" w14:textId="77777777" w:rsidR="00F13B04" w:rsidRPr="001F5F0B" w:rsidRDefault="00F13B04" w:rsidP="0045563F">
            <w:pPr>
              <w:spacing w:after="160" w:line="259" w:lineRule="auto"/>
              <w:rPr>
                <w:rFonts w:cstheme="minorHAnsi"/>
                <w:sz w:val="22"/>
                <w:szCs w:val="22"/>
              </w:rPr>
            </w:pPr>
            <w:r w:rsidRPr="001F5F0B">
              <w:rPr>
                <w:rFonts w:cstheme="minorHAnsi"/>
                <w:sz w:val="22"/>
                <w:szCs w:val="22"/>
              </w:rPr>
              <w:t>No impact on customer and better reflection of historical trend</w:t>
            </w:r>
          </w:p>
        </w:tc>
        <w:tc>
          <w:tcPr>
            <w:tcW w:w="2970" w:type="dxa"/>
          </w:tcPr>
          <w:p w14:paraId="154A3F76" w14:textId="7544CAF6" w:rsidR="00F13B04" w:rsidRPr="001F5F0B" w:rsidRDefault="00F13B04" w:rsidP="0045563F">
            <w:pPr>
              <w:rPr>
                <w:rFonts w:cstheme="minorHAnsi"/>
              </w:rPr>
            </w:pPr>
            <w:r>
              <w:rPr>
                <w:rFonts w:cstheme="minorHAnsi"/>
              </w:rPr>
              <w:t xml:space="preserve">The SLA Dashboard is already tracking this </w:t>
            </w:r>
            <w:r>
              <w:rPr>
                <w:rFonts w:cstheme="minorHAnsi"/>
              </w:rPr>
              <w:t>SLA. However,</w:t>
            </w:r>
            <w:r>
              <w:rPr>
                <w:rFonts w:cstheme="minorHAnsi"/>
              </w:rPr>
              <w:t xml:space="preserve"> PTI needs </w:t>
            </w:r>
            <w:r>
              <w:rPr>
                <w:rFonts w:cstheme="minorHAnsi"/>
              </w:rPr>
              <w:t>some</w:t>
            </w:r>
            <w:r>
              <w:rPr>
                <w:rFonts w:cstheme="minorHAnsi"/>
              </w:rPr>
              <w:t xml:space="preserve"> implementation time to apply the </w:t>
            </w:r>
            <w:r>
              <w:rPr>
                <w:rFonts w:cstheme="minorHAnsi"/>
              </w:rPr>
              <w:t>new threshold.</w:t>
            </w:r>
          </w:p>
        </w:tc>
      </w:tr>
      <w:tr w:rsidR="00F13B04" w:rsidRPr="001F5F0B" w14:paraId="24A0647B" w14:textId="5C715560" w:rsidTr="00F13B04">
        <w:trPr>
          <w:trHeight w:val="1029"/>
        </w:trPr>
        <w:tc>
          <w:tcPr>
            <w:tcW w:w="1355" w:type="dxa"/>
          </w:tcPr>
          <w:p w14:paraId="5CDD972B" w14:textId="77777777" w:rsidR="00F13B04" w:rsidRPr="001F5F0B" w:rsidRDefault="00F13B04" w:rsidP="0045563F">
            <w:pPr>
              <w:rPr>
                <w:rFonts w:cstheme="minorHAnsi"/>
              </w:rPr>
            </w:pPr>
            <w:r w:rsidRPr="001F5F0B">
              <w:rPr>
                <w:rFonts w:cstheme="minorHAnsi"/>
              </w:rPr>
              <w:t>Technical Check - Supplemental</w:t>
            </w:r>
          </w:p>
        </w:tc>
        <w:tc>
          <w:tcPr>
            <w:tcW w:w="1209" w:type="dxa"/>
          </w:tcPr>
          <w:p w14:paraId="3BFD299C" w14:textId="77777777" w:rsidR="00F13B04" w:rsidRPr="001F5F0B" w:rsidRDefault="00F13B04" w:rsidP="0045563F">
            <w:pPr>
              <w:rPr>
                <w:rFonts w:cstheme="minorHAnsi"/>
              </w:rPr>
            </w:pPr>
            <w:r w:rsidRPr="001F5F0B">
              <w:rPr>
                <w:rFonts w:cstheme="minorHAnsi"/>
              </w:rPr>
              <w:t>1 minute</w:t>
            </w:r>
          </w:p>
        </w:tc>
        <w:tc>
          <w:tcPr>
            <w:tcW w:w="1323" w:type="dxa"/>
          </w:tcPr>
          <w:p w14:paraId="7A32091B" w14:textId="4A5B5B87" w:rsidR="00F13B04" w:rsidRPr="001F5F0B" w:rsidRDefault="00F13B04" w:rsidP="0045563F">
            <w:pPr>
              <w:rPr>
                <w:rFonts w:cstheme="minorHAnsi"/>
              </w:rPr>
            </w:pPr>
            <w:r w:rsidRPr="001F5F0B">
              <w:rPr>
                <w:rFonts w:cstheme="minorHAnsi"/>
              </w:rPr>
              <w:t>3</w:t>
            </w:r>
            <w:r w:rsidRPr="001F5F0B">
              <w:rPr>
                <w:rFonts w:cstheme="minorHAnsi"/>
              </w:rPr>
              <w:t>-8 minutes</w:t>
            </w:r>
          </w:p>
        </w:tc>
        <w:tc>
          <w:tcPr>
            <w:tcW w:w="1245" w:type="dxa"/>
          </w:tcPr>
          <w:p w14:paraId="6C943CED" w14:textId="77777777" w:rsidR="00F13B04" w:rsidRPr="001F5F0B" w:rsidRDefault="00F13B04" w:rsidP="0045563F">
            <w:pPr>
              <w:rPr>
                <w:rFonts w:cstheme="minorHAnsi"/>
              </w:rPr>
            </w:pPr>
            <w:r w:rsidRPr="001F5F0B">
              <w:rPr>
                <w:rFonts w:cstheme="minorHAnsi"/>
              </w:rPr>
              <w:t>10 minutes</w:t>
            </w:r>
          </w:p>
        </w:tc>
        <w:tc>
          <w:tcPr>
            <w:tcW w:w="1635" w:type="dxa"/>
          </w:tcPr>
          <w:p w14:paraId="0DF25480" w14:textId="77777777" w:rsidR="00F13B04" w:rsidRPr="001F5F0B" w:rsidDel="001E23C0" w:rsidRDefault="00F13B04" w:rsidP="0045563F">
            <w:pPr>
              <w:rPr>
                <w:rFonts w:cstheme="minorHAnsi"/>
              </w:rPr>
            </w:pPr>
            <w:r w:rsidRPr="001F5F0B">
              <w:rPr>
                <w:rFonts w:cstheme="minorHAnsi"/>
                <w:sz w:val="22"/>
                <w:szCs w:val="22"/>
              </w:rPr>
              <w:t>No impact on customer and better reflection of historical trend</w:t>
            </w:r>
          </w:p>
        </w:tc>
        <w:tc>
          <w:tcPr>
            <w:tcW w:w="2970" w:type="dxa"/>
          </w:tcPr>
          <w:p w14:paraId="02E536F8" w14:textId="290D9033" w:rsidR="00F13B04" w:rsidRPr="001F5F0B" w:rsidRDefault="00F13B04" w:rsidP="0045563F">
            <w:pPr>
              <w:rPr>
                <w:rFonts w:cstheme="minorHAnsi"/>
              </w:rPr>
            </w:pPr>
            <w:r>
              <w:rPr>
                <w:rFonts w:cstheme="minorHAnsi"/>
              </w:rPr>
              <w:t>The SLA Dashboard is already tracking this SLA. However, PTI needs some implementation time to apply the new threshold.</w:t>
            </w:r>
          </w:p>
        </w:tc>
      </w:tr>
    </w:tbl>
    <w:p w14:paraId="4AA7299B" w14:textId="77777777" w:rsidR="00A65850" w:rsidRPr="001F5F0B" w:rsidRDefault="00A65850" w:rsidP="00495CFF">
      <w:pPr>
        <w:ind w:left="720"/>
        <w:rPr>
          <w:rFonts w:cstheme="minorHAnsi"/>
        </w:rPr>
      </w:pPr>
    </w:p>
    <w:p w14:paraId="756371D1" w14:textId="0E0E0A5A" w:rsidR="009C45AB" w:rsidRPr="001F5F0B" w:rsidRDefault="00070EDD" w:rsidP="004903BE">
      <w:pPr>
        <w:pStyle w:val="ListParagraph"/>
        <w:numPr>
          <w:ilvl w:val="0"/>
          <w:numId w:val="1"/>
        </w:numPr>
        <w:rPr>
          <w:rFonts w:asciiTheme="minorHAnsi" w:hAnsiTheme="minorHAnsi" w:cstheme="minorHAnsi"/>
        </w:rPr>
      </w:pPr>
      <w:r w:rsidRPr="001F5F0B">
        <w:rPr>
          <w:rFonts w:asciiTheme="minorHAnsi" w:hAnsiTheme="minorHAnsi" w:cstheme="minorHAnsi"/>
        </w:rPr>
        <w:t>ccTLD Creation/Transfer – Validation and Reviews</w:t>
      </w:r>
    </w:p>
    <w:p w14:paraId="0312602E" w14:textId="59E3E0B7" w:rsidR="008F3F5B" w:rsidRPr="001F5F0B" w:rsidRDefault="008F3F5B" w:rsidP="00495CFF">
      <w:pPr>
        <w:ind w:left="720"/>
        <w:rPr>
          <w:rFonts w:cstheme="minorHAnsi"/>
        </w:rPr>
      </w:pPr>
      <w:r w:rsidRPr="001F5F0B">
        <w:rPr>
          <w:rFonts w:cstheme="minorHAnsi"/>
        </w:rPr>
        <w:t xml:space="preserve">A ccTLD creation or transfer request requires full documentation, with many requests not meeting the </w:t>
      </w:r>
      <w:r w:rsidR="00CF30A0" w:rsidRPr="001F5F0B">
        <w:rPr>
          <w:rFonts w:cstheme="minorHAnsi"/>
        </w:rPr>
        <w:t>documentation</w:t>
      </w:r>
      <w:r w:rsidRPr="001F5F0B">
        <w:rPr>
          <w:rFonts w:cstheme="minorHAnsi"/>
        </w:rPr>
        <w:t xml:space="preserve"> requirements</w:t>
      </w:r>
      <w:r w:rsidR="00CF30A0" w:rsidRPr="001F5F0B">
        <w:rPr>
          <w:rFonts w:cstheme="minorHAnsi"/>
        </w:rPr>
        <w:t xml:space="preserve"> at initial submission</w:t>
      </w:r>
      <w:r w:rsidRPr="001F5F0B">
        <w:rPr>
          <w:rFonts w:cstheme="minorHAnsi"/>
        </w:rPr>
        <w:t xml:space="preserve">. Requests are </w:t>
      </w:r>
      <w:r w:rsidR="00CF30A0" w:rsidRPr="001F5F0B">
        <w:rPr>
          <w:rFonts w:cstheme="minorHAnsi"/>
        </w:rPr>
        <w:t xml:space="preserve">also </w:t>
      </w:r>
      <w:r w:rsidRPr="001F5F0B">
        <w:rPr>
          <w:rFonts w:cstheme="minorHAnsi"/>
        </w:rPr>
        <w:t xml:space="preserve">sent to the </w:t>
      </w:r>
      <w:r w:rsidR="000D20D8" w:rsidRPr="001F5F0B">
        <w:rPr>
          <w:rFonts w:cstheme="minorHAnsi"/>
        </w:rPr>
        <w:t xml:space="preserve">ICANN </w:t>
      </w:r>
      <w:r w:rsidRPr="001F5F0B">
        <w:rPr>
          <w:rFonts w:cstheme="minorHAnsi"/>
        </w:rPr>
        <w:t>Board for review</w:t>
      </w:r>
      <w:r w:rsidR="00364676" w:rsidRPr="001F5F0B">
        <w:rPr>
          <w:rFonts w:cstheme="minorHAnsi"/>
        </w:rPr>
        <w:t xml:space="preserve">, and with so few </w:t>
      </w:r>
      <w:r w:rsidR="00495CFF" w:rsidRPr="001F5F0B">
        <w:rPr>
          <w:rFonts w:cstheme="minorHAnsi"/>
        </w:rPr>
        <w:t xml:space="preserve">successful </w:t>
      </w:r>
      <w:r w:rsidR="00364676" w:rsidRPr="001F5F0B">
        <w:rPr>
          <w:rFonts w:cstheme="minorHAnsi"/>
        </w:rPr>
        <w:t>requests</w:t>
      </w:r>
      <w:r w:rsidR="00CF30A0" w:rsidRPr="001F5F0B">
        <w:rPr>
          <w:rFonts w:cstheme="minorHAnsi"/>
        </w:rPr>
        <w:t xml:space="preserve"> (3-6 per year),</w:t>
      </w:r>
      <w:r w:rsidR="00364676" w:rsidRPr="001F5F0B">
        <w:rPr>
          <w:rFonts w:cstheme="minorHAnsi"/>
        </w:rPr>
        <w:t xml:space="preserve"> a monthly metric </w:t>
      </w:r>
      <w:r w:rsidR="001F5F0B">
        <w:rPr>
          <w:rFonts w:cstheme="minorHAnsi"/>
        </w:rPr>
        <w:t xml:space="preserve">of the overall processing time </w:t>
      </w:r>
      <w:r w:rsidR="00364676" w:rsidRPr="001F5F0B">
        <w:rPr>
          <w:rFonts w:cstheme="minorHAnsi"/>
        </w:rPr>
        <w:t>is not appropriate. Due to the low volume</w:t>
      </w:r>
      <w:r w:rsidR="00D87F16" w:rsidRPr="001F5F0B">
        <w:rPr>
          <w:rFonts w:cstheme="minorHAnsi"/>
        </w:rPr>
        <w:t>,</w:t>
      </w:r>
      <w:r w:rsidR="00364676" w:rsidRPr="001F5F0B">
        <w:rPr>
          <w:rFonts w:cstheme="minorHAnsi"/>
        </w:rPr>
        <w:t xml:space="preserve"> the CSC decided </w:t>
      </w:r>
      <w:r w:rsidR="00D87F16" w:rsidRPr="001F5F0B">
        <w:rPr>
          <w:rFonts w:cstheme="minorHAnsi"/>
        </w:rPr>
        <w:t xml:space="preserve">that this category </w:t>
      </w:r>
      <w:r w:rsidR="00364676" w:rsidRPr="001F5F0B">
        <w:rPr>
          <w:rFonts w:cstheme="minorHAnsi"/>
        </w:rPr>
        <w:t xml:space="preserve">needed to be tracked for </w:t>
      </w:r>
      <w:r w:rsidR="00495CFF" w:rsidRPr="001F5F0B">
        <w:rPr>
          <w:rFonts w:cstheme="minorHAnsi"/>
        </w:rPr>
        <w:t>a longer period</w:t>
      </w:r>
      <w:r w:rsidR="00364676" w:rsidRPr="001F5F0B">
        <w:rPr>
          <w:rFonts w:cstheme="minorHAnsi"/>
        </w:rPr>
        <w:t xml:space="preserve"> before a realistic metric could be proposed. </w:t>
      </w:r>
    </w:p>
    <w:p w14:paraId="39296658" w14:textId="2EC7E7E5" w:rsidR="004903BE" w:rsidRPr="001F5F0B" w:rsidRDefault="00BB6014" w:rsidP="00495CFF">
      <w:pPr>
        <w:ind w:left="720"/>
        <w:rPr>
          <w:rFonts w:cstheme="minorHAnsi"/>
        </w:rPr>
      </w:pPr>
      <w:r w:rsidRPr="001F5F0B">
        <w:rPr>
          <w:rFonts w:cstheme="minorHAnsi"/>
        </w:rPr>
        <w:t xml:space="preserve">The </w:t>
      </w:r>
      <w:r w:rsidR="001E23C0" w:rsidRPr="001F5F0B">
        <w:rPr>
          <w:rFonts w:cstheme="minorHAnsi"/>
        </w:rPr>
        <w:t xml:space="preserve">CSC has previously discussed changing this SLA to be measured differently. Some of the ideas discussed </w:t>
      </w:r>
      <w:r w:rsidR="00495CFF" w:rsidRPr="001F5F0B">
        <w:rPr>
          <w:rFonts w:cstheme="minorHAnsi"/>
        </w:rPr>
        <w:t>were</w:t>
      </w:r>
      <w:r w:rsidR="001E23C0" w:rsidRPr="001F5F0B">
        <w:rPr>
          <w:rFonts w:cstheme="minorHAnsi"/>
        </w:rPr>
        <w:t xml:space="preserve"> to increase the overall target from 60 days to 90 days, measure the data annually instead of monthly due to low volume, or measure performance based on a rolling basis for </w:t>
      </w:r>
      <w:r w:rsidR="004903BE" w:rsidRPr="001F5F0B">
        <w:rPr>
          <w:rFonts w:cstheme="minorHAnsi"/>
        </w:rPr>
        <w:t xml:space="preserve">the last </w:t>
      </w:r>
      <w:r w:rsidR="001E23C0" w:rsidRPr="001F5F0B">
        <w:rPr>
          <w:rFonts w:cstheme="minorHAnsi"/>
        </w:rPr>
        <w:t xml:space="preserve">one calendar year.  After discussing the pros and cons of each, the CSC </w:t>
      </w:r>
      <w:r w:rsidR="00495CFF" w:rsidRPr="001F5F0B">
        <w:rPr>
          <w:rFonts w:cstheme="minorHAnsi"/>
        </w:rPr>
        <w:t xml:space="preserve">seemed to converge on the </w:t>
      </w:r>
      <w:r w:rsidR="001E23C0" w:rsidRPr="001F5F0B">
        <w:rPr>
          <w:rFonts w:cstheme="minorHAnsi"/>
        </w:rPr>
        <w:t xml:space="preserve">rolling method for </w:t>
      </w:r>
      <w:r w:rsidR="004903BE" w:rsidRPr="001F5F0B">
        <w:rPr>
          <w:rFonts w:cstheme="minorHAnsi"/>
        </w:rPr>
        <w:t xml:space="preserve">the last </w:t>
      </w:r>
      <w:r w:rsidR="001E23C0" w:rsidRPr="001F5F0B">
        <w:rPr>
          <w:rFonts w:cstheme="minorHAnsi"/>
        </w:rPr>
        <w:t xml:space="preserve">one calendar year. </w:t>
      </w:r>
      <w:r w:rsidR="00AA0CB6" w:rsidRPr="001F5F0B">
        <w:rPr>
          <w:rFonts w:cstheme="minorHAnsi"/>
        </w:rPr>
        <w:t>(</w:t>
      </w:r>
      <w:r w:rsidR="001E23C0" w:rsidRPr="001F5F0B">
        <w:rPr>
          <w:rFonts w:cstheme="minorHAnsi"/>
        </w:rPr>
        <w:t>CSC Meeting 14</w:t>
      </w:r>
      <w:r w:rsidR="00AA0CB6" w:rsidRPr="001F5F0B">
        <w:rPr>
          <w:rFonts w:cstheme="minorHAnsi"/>
        </w:rPr>
        <w:t>, 15 September 2017)</w:t>
      </w:r>
      <w:r w:rsidR="001E003B" w:rsidRPr="001F5F0B">
        <w:rPr>
          <w:rFonts w:cstheme="minorHAnsi"/>
        </w:rPr>
        <w:t xml:space="preserve">. </w:t>
      </w:r>
    </w:p>
    <w:p w14:paraId="4D87DE02" w14:textId="099C3ECF" w:rsidR="007770A9" w:rsidRPr="001F5F0B" w:rsidRDefault="001E003B" w:rsidP="009F46BD">
      <w:pPr>
        <w:ind w:left="720"/>
        <w:rPr>
          <w:rFonts w:cstheme="minorHAnsi"/>
        </w:rPr>
      </w:pPr>
      <w:r w:rsidRPr="001F5F0B">
        <w:rPr>
          <w:rFonts w:cstheme="minorHAnsi"/>
        </w:rPr>
        <w:t xml:space="preserve">In analyzing the data from March 2016 to </w:t>
      </w:r>
      <w:r w:rsidR="00495CFF" w:rsidRPr="001F5F0B">
        <w:rPr>
          <w:rFonts w:cstheme="minorHAnsi"/>
        </w:rPr>
        <w:t>now</w:t>
      </w:r>
      <w:r w:rsidRPr="001F5F0B">
        <w:rPr>
          <w:rFonts w:cstheme="minorHAnsi"/>
        </w:rPr>
        <w:t xml:space="preserve">, </w:t>
      </w:r>
      <w:r w:rsidR="00DF2C54" w:rsidRPr="001F5F0B">
        <w:rPr>
          <w:rFonts w:cstheme="minorHAnsi"/>
        </w:rPr>
        <w:t>IANA staff</w:t>
      </w:r>
      <w:r w:rsidRPr="001F5F0B">
        <w:rPr>
          <w:rFonts w:cstheme="minorHAnsi"/>
        </w:rPr>
        <w:t xml:space="preserve"> believe that none of the three measurements above are true measures of performance of this type of request given the low volume</w:t>
      </w:r>
      <w:r w:rsidR="00DF2C54" w:rsidRPr="001F5F0B">
        <w:rPr>
          <w:rFonts w:cstheme="minorHAnsi"/>
        </w:rPr>
        <w:t xml:space="preserve"> and</w:t>
      </w:r>
      <w:r w:rsidRPr="001F5F0B">
        <w:rPr>
          <w:rFonts w:cstheme="minorHAnsi"/>
        </w:rPr>
        <w:t xml:space="preserve"> complexity and variedness of the quality of the request submission. </w:t>
      </w:r>
      <w:r w:rsidR="001F5F0B">
        <w:rPr>
          <w:rFonts w:cstheme="minorHAnsi"/>
        </w:rPr>
        <w:t xml:space="preserve">It makes more sense to break this SLA into several SLAs to monitor the process at different stages.  </w:t>
      </w:r>
      <w:r w:rsidRPr="001F5F0B">
        <w:rPr>
          <w:rFonts w:cstheme="minorHAnsi"/>
        </w:rPr>
        <w:t xml:space="preserve">Given these factors, we suggest that the CSC consider new SLA types </w:t>
      </w:r>
      <w:r w:rsidR="007770A9">
        <w:rPr>
          <w:rFonts w:cstheme="minorHAnsi"/>
        </w:rPr>
        <w:t>as follows</w:t>
      </w:r>
      <w:r w:rsidR="00FD32AC" w:rsidRPr="001F5F0B">
        <w:rPr>
          <w:rFonts w:cstheme="minorHAnsi"/>
        </w:rPr>
        <w:t>:</w:t>
      </w:r>
    </w:p>
    <w:p w14:paraId="14518EC4" w14:textId="147BC584" w:rsidR="00FD32AC" w:rsidRPr="001F5F0B" w:rsidRDefault="00FD32AC" w:rsidP="00FD32AC">
      <w:pPr>
        <w:pStyle w:val="ListParagraph"/>
        <w:numPr>
          <w:ilvl w:val="2"/>
          <w:numId w:val="3"/>
        </w:numPr>
        <w:rPr>
          <w:rFonts w:asciiTheme="minorHAnsi" w:hAnsiTheme="minorHAnsi" w:cstheme="minorHAnsi"/>
        </w:rPr>
      </w:pPr>
      <w:r w:rsidRPr="001F5F0B">
        <w:rPr>
          <w:rFonts w:asciiTheme="minorHAnsi" w:hAnsiTheme="minorHAnsi" w:cstheme="minorHAnsi"/>
        </w:rPr>
        <w:t>T</w:t>
      </w:r>
      <w:r w:rsidR="001E003B" w:rsidRPr="001F5F0B">
        <w:rPr>
          <w:rFonts w:asciiTheme="minorHAnsi" w:hAnsiTheme="minorHAnsi" w:cstheme="minorHAnsi"/>
        </w:rPr>
        <w:t xml:space="preserve">racking the number of interactions with the customer as an indication of the quality of the request </w:t>
      </w:r>
    </w:p>
    <w:p w14:paraId="38A54B51" w14:textId="77777777" w:rsidR="00FD32AC" w:rsidRPr="001F5F0B" w:rsidRDefault="001E003B" w:rsidP="00FD32AC">
      <w:pPr>
        <w:pStyle w:val="ListParagraph"/>
        <w:numPr>
          <w:ilvl w:val="2"/>
          <w:numId w:val="3"/>
        </w:numPr>
        <w:rPr>
          <w:rFonts w:asciiTheme="minorHAnsi" w:hAnsiTheme="minorHAnsi" w:cstheme="minorHAnsi"/>
        </w:rPr>
      </w:pPr>
      <w:r w:rsidRPr="001F5F0B">
        <w:rPr>
          <w:rFonts w:asciiTheme="minorHAnsi" w:hAnsiTheme="minorHAnsi" w:cstheme="minorHAnsi"/>
        </w:rPr>
        <w:t>Amount of staff processing time when the request is waiting on staff after each interaction</w:t>
      </w:r>
    </w:p>
    <w:p w14:paraId="0D4DE400" w14:textId="384724BD" w:rsidR="00631254" w:rsidRPr="001F5F0B" w:rsidRDefault="00631254" w:rsidP="00FD32AC">
      <w:pPr>
        <w:pStyle w:val="ListParagraph"/>
        <w:numPr>
          <w:ilvl w:val="2"/>
          <w:numId w:val="3"/>
        </w:numPr>
        <w:rPr>
          <w:rFonts w:asciiTheme="minorHAnsi" w:hAnsiTheme="minorHAnsi" w:cstheme="minorHAnsi"/>
        </w:rPr>
      </w:pPr>
      <w:r w:rsidRPr="001F5F0B">
        <w:rPr>
          <w:rFonts w:asciiTheme="minorHAnsi" w:hAnsiTheme="minorHAnsi" w:cstheme="minorHAnsi"/>
        </w:rPr>
        <w:t>Amount of time it takes to create any reports needed for review by external parties</w:t>
      </w:r>
      <w:r w:rsidR="001E003B" w:rsidRPr="001F5F0B">
        <w:rPr>
          <w:rFonts w:asciiTheme="minorHAnsi" w:hAnsiTheme="minorHAnsi" w:cstheme="minorHAnsi"/>
        </w:rPr>
        <w:t>.</w:t>
      </w:r>
      <w:r w:rsidRPr="001F5F0B">
        <w:rPr>
          <w:rFonts w:asciiTheme="minorHAnsi" w:hAnsiTheme="minorHAnsi" w:cstheme="minorHAnsi"/>
        </w:rPr>
        <w:t xml:space="preserve"> </w:t>
      </w:r>
      <w:r w:rsidR="001E003B" w:rsidRPr="001F5F0B">
        <w:rPr>
          <w:rFonts w:asciiTheme="minorHAnsi" w:hAnsiTheme="minorHAnsi" w:cstheme="minorHAnsi"/>
        </w:rPr>
        <w:t xml:space="preserve"> </w:t>
      </w:r>
    </w:p>
    <w:p w14:paraId="5B1ACBEB" w14:textId="6975A0F9" w:rsidR="001E003B" w:rsidRPr="001F5F0B" w:rsidRDefault="00631254" w:rsidP="00495CFF">
      <w:pPr>
        <w:ind w:left="720"/>
        <w:rPr>
          <w:rFonts w:cstheme="minorHAnsi"/>
        </w:rPr>
      </w:pPr>
      <w:r w:rsidRPr="001F5F0B">
        <w:rPr>
          <w:rFonts w:cstheme="minorHAnsi"/>
        </w:rPr>
        <w:t xml:space="preserve">In the next year, </w:t>
      </w:r>
      <w:r w:rsidR="00FD32AC" w:rsidRPr="001F5F0B">
        <w:rPr>
          <w:rFonts w:cstheme="minorHAnsi"/>
        </w:rPr>
        <w:t xml:space="preserve">the IANA services </w:t>
      </w:r>
      <w:r w:rsidRPr="001F5F0B">
        <w:rPr>
          <w:rFonts w:cstheme="minorHAnsi"/>
        </w:rPr>
        <w:t xml:space="preserve">will undertake a project to modernize our documentation and create an easier form for customers to interact with when submitting a delegation request. </w:t>
      </w:r>
      <w:r w:rsidRPr="001F5F0B">
        <w:rPr>
          <w:rFonts w:cstheme="minorHAnsi"/>
        </w:rPr>
        <w:lastRenderedPageBreak/>
        <w:t>As such, we propose to leave the ccTLD creation/Transfer SLA as is for now until these new mechanisms are in place.</w:t>
      </w:r>
      <w:r w:rsidR="001E003B" w:rsidRPr="001F5F0B">
        <w:rPr>
          <w:rFonts w:cstheme="minorHAnsi"/>
        </w:rPr>
        <w:t xml:space="preserve"> </w:t>
      </w:r>
    </w:p>
    <w:p w14:paraId="7BE81FFC" w14:textId="77777777" w:rsidR="00942AAA" w:rsidRPr="001F5F0B" w:rsidRDefault="00942AAA" w:rsidP="001E23C0">
      <w:pPr>
        <w:rPr>
          <w:rFonts w:cstheme="minorHAnsi"/>
          <w:b/>
        </w:rPr>
      </w:pPr>
    </w:p>
    <w:p w14:paraId="6A0E256D" w14:textId="656C00D6" w:rsidR="001E23C0" w:rsidRPr="001F5F0B" w:rsidRDefault="001E23C0" w:rsidP="001E23C0">
      <w:pPr>
        <w:rPr>
          <w:rFonts w:cstheme="minorHAnsi"/>
          <w:b/>
        </w:rPr>
      </w:pPr>
      <w:r w:rsidRPr="001F5F0B">
        <w:rPr>
          <w:rFonts w:cstheme="minorHAnsi"/>
          <w:b/>
        </w:rPr>
        <w:t xml:space="preserve">New SLAs </w:t>
      </w:r>
      <w:r w:rsidR="00DF2C54" w:rsidRPr="001F5F0B">
        <w:rPr>
          <w:rFonts w:cstheme="minorHAnsi"/>
          <w:b/>
        </w:rPr>
        <w:t>identified by the CSC</w:t>
      </w:r>
      <w:r w:rsidRPr="001F5F0B">
        <w:rPr>
          <w:rFonts w:cstheme="minorHAnsi"/>
          <w:b/>
        </w:rPr>
        <w:t>:</w:t>
      </w:r>
    </w:p>
    <w:p w14:paraId="3BBEB3C5" w14:textId="43D390B9" w:rsidR="001E23C0" w:rsidRPr="001F5F0B" w:rsidRDefault="001E23C0" w:rsidP="001E23C0">
      <w:pPr>
        <w:rPr>
          <w:rFonts w:cstheme="minorHAnsi"/>
        </w:rPr>
      </w:pPr>
      <w:r w:rsidRPr="001F5F0B">
        <w:rPr>
          <w:rFonts w:cstheme="minorHAnsi"/>
        </w:rPr>
        <w:t>Publication of IDN tables or Label Generation Ruleset (LGR)</w:t>
      </w:r>
    </w:p>
    <w:p w14:paraId="1E0358FF" w14:textId="784E5681" w:rsidR="001E23C0" w:rsidRPr="001F5F0B" w:rsidRDefault="001E23C0" w:rsidP="001E23C0">
      <w:pPr>
        <w:rPr>
          <w:rFonts w:cstheme="minorHAnsi"/>
        </w:rPr>
      </w:pPr>
      <w:r w:rsidRPr="001F5F0B">
        <w:rPr>
          <w:rFonts w:cstheme="minorHAnsi"/>
        </w:rPr>
        <w:t xml:space="preserve">While the IDN tables </w:t>
      </w:r>
      <w:r w:rsidR="00A70A88" w:rsidRPr="001F5F0B">
        <w:rPr>
          <w:rFonts w:cstheme="minorHAnsi"/>
        </w:rPr>
        <w:t xml:space="preserve">or LGR (hereinafter referred to as LGR) </w:t>
      </w:r>
      <w:r w:rsidRPr="001F5F0B">
        <w:rPr>
          <w:rFonts w:cstheme="minorHAnsi"/>
        </w:rPr>
        <w:t>were originally published on icann.org, the IANA Naming Function Contract required maintenance of this repository</w:t>
      </w:r>
      <w:r w:rsidR="00D83C18" w:rsidRPr="001F5F0B">
        <w:rPr>
          <w:rFonts w:cstheme="minorHAnsi"/>
        </w:rPr>
        <w:t>,</w:t>
      </w:r>
      <w:r w:rsidRPr="001F5F0B">
        <w:rPr>
          <w:rFonts w:cstheme="minorHAnsi"/>
        </w:rPr>
        <w:t xml:space="preserve"> and it was</w:t>
      </w:r>
      <w:r w:rsidR="00D83C18" w:rsidRPr="001F5F0B">
        <w:rPr>
          <w:rFonts w:cstheme="minorHAnsi"/>
        </w:rPr>
        <w:t xml:space="preserve"> therefore</w:t>
      </w:r>
      <w:r w:rsidRPr="001F5F0B">
        <w:rPr>
          <w:rFonts w:cstheme="minorHAnsi"/>
        </w:rPr>
        <w:t xml:space="preserve"> in the CSC’s purview to monitor maintenance. It was determined that a metric should be applied to </w:t>
      </w:r>
      <w:r w:rsidR="00A70A88" w:rsidRPr="001F5F0B">
        <w:rPr>
          <w:rFonts w:cstheme="minorHAnsi"/>
        </w:rPr>
        <w:t>LGR</w:t>
      </w:r>
      <w:r w:rsidRPr="001F5F0B">
        <w:rPr>
          <w:rFonts w:cstheme="minorHAnsi"/>
        </w:rPr>
        <w:t xml:space="preserve"> maintenance</w:t>
      </w:r>
      <w:r w:rsidR="000D20D8" w:rsidRPr="001F5F0B">
        <w:rPr>
          <w:rFonts w:cstheme="minorHAnsi"/>
        </w:rPr>
        <w:t xml:space="preserve"> but </w:t>
      </w:r>
      <w:r w:rsidRPr="001F5F0B">
        <w:rPr>
          <w:rFonts w:cstheme="minorHAnsi"/>
        </w:rPr>
        <w:t>new metrics/change to metrics could not take place until there was a</w:t>
      </w:r>
      <w:r w:rsidR="00A70A88" w:rsidRPr="001F5F0B">
        <w:rPr>
          <w:rFonts w:cstheme="minorHAnsi"/>
        </w:rPr>
        <w:t>n</w:t>
      </w:r>
      <w:r w:rsidRPr="001F5F0B">
        <w:rPr>
          <w:rFonts w:cstheme="minorHAnsi"/>
        </w:rPr>
        <w:t xml:space="preserve"> SLA change process</w:t>
      </w:r>
      <w:r w:rsidR="00A70A88" w:rsidRPr="001F5F0B">
        <w:rPr>
          <w:rFonts w:cstheme="minorHAnsi"/>
        </w:rPr>
        <w:t>. At the same time,</w:t>
      </w:r>
      <w:r w:rsidRPr="001F5F0B">
        <w:rPr>
          <w:rFonts w:cstheme="minorHAnsi"/>
        </w:rPr>
        <w:t xml:space="preserve"> it was determined that publishing </w:t>
      </w:r>
      <w:r w:rsidR="00A70A88" w:rsidRPr="001F5F0B">
        <w:rPr>
          <w:rFonts w:cstheme="minorHAnsi"/>
        </w:rPr>
        <w:t>LGR processing data</w:t>
      </w:r>
      <w:r w:rsidRPr="001F5F0B">
        <w:rPr>
          <w:rFonts w:cstheme="minorHAnsi"/>
        </w:rPr>
        <w:t xml:space="preserve"> in the PTI report would give more visibility to the </w:t>
      </w:r>
      <w:r w:rsidR="00A70A88" w:rsidRPr="001F5F0B">
        <w:rPr>
          <w:rFonts w:cstheme="minorHAnsi"/>
        </w:rPr>
        <w:t xml:space="preserve">current processing times for </w:t>
      </w:r>
      <w:proofErr w:type="gramStart"/>
      <w:r w:rsidR="00A70A88" w:rsidRPr="001F5F0B">
        <w:rPr>
          <w:rFonts w:cstheme="minorHAnsi"/>
        </w:rPr>
        <w:t>LGRs</w:t>
      </w:r>
      <w:proofErr w:type="gramEnd"/>
      <w:r w:rsidR="00A70A88" w:rsidRPr="001F5F0B">
        <w:rPr>
          <w:rFonts w:cstheme="minorHAnsi"/>
        </w:rPr>
        <w:t xml:space="preserve"> so the CSC opted to publish the LGR data while working on a process to introduce new SLAs</w:t>
      </w:r>
      <w:r w:rsidRPr="001F5F0B">
        <w:rPr>
          <w:rFonts w:cstheme="minorHAnsi"/>
        </w:rPr>
        <w:t xml:space="preserve">. (CSC Meeting 9, 19 April 2017). The publication of the </w:t>
      </w:r>
      <w:r w:rsidR="00A70A88" w:rsidRPr="001F5F0B">
        <w:rPr>
          <w:rFonts w:cstheme="minorHAnsi"/>
        </w:rPr>
        <w:t>LGR data</w:t>
      </w:r>
      <w:r w:rsidRPr="001F5F0B">
        <w:rPr>
          <w:rFonts w:cstheme="minorHAnsi"/>
        </w:rPr>
        <w:t xml:space="preserve"> in the PTI Report was confirmed for the June 2017 report (CSC Meeting 12, 17 July 2017).</w:t>
      </w:r>
    </w:p>
    <w:p w14:paraId="3DB5656B" w14:textId="70597A90" w:rsidR="001E23C0" w:rsidRPr="001F5F0B" w:rsidRDefault="001E23C0" w:rsidP="001E23C0">
      <w:pPr>
        <w:rPr>
          <w:rFonts w:cstheme="minorHAnsi"/>
        </w:rPr>
      </w:pPr>
      <w:r w:rsidRPr="001F5F0B">
        <w:rPr>
          <w:rFonts w:cstheme="minorHAnsi"/>
        </w:rPr>
        <w:t xml:space="preserve">The LGR request lifespan consists of the submission of the request; a staff review of the request against the formatting and presentation requirements listed at </w:t>
      </w:r>
      <w:hyperlink r:id="rId6" w:history="1">
        <w:r w:rsidRPr="001F5F0B">
          <w:rPr>
            <w:rStyle w:val="Hyperlink"/>
            <w:rFonts w:cstheme="minorHAnsi"/>
          </w:rPr>
          <w:t>https://www.iana.org/help/idn-repository-procedure</w:t>
        </w:r>
      </w:hyperlink>
      <w:r w:rsidRPr="001F5F0B">
        <w:rPr>
          <w:rFonts w:cstheme="minorHAnsi"/>
        </w:rPr>
        <w:t>, which can result in a remediation or clarification request to the submitter; confirmation of the validated submission by the TLD’s authorizer; and implementation of the request.</w:t>
      </w:r>
    </w:p>
    <w:p w14:paraId="34743B27" w14:textId="082A5653" w:rsidR="001E23C0" w:rsidRPr="001F5F0B" w:rsidRDefault="001E23C0" w:rsidP="00CF30A0">
      <w:pPr>
        <w:rPr>
          <w:rFonts w:cstheme="minorHAnsi"/>
        </w:rPr>
      </w:pPr>
      <w:r w:rsidRPr="001F5F0B">
        <w:rPr>
          <w:rFonts w:cstheme="minorHAnsi"/>
        </w:rPr>
        <w:t>The proposed SLAs</w:t>
      </w:r>
      <w:r w:rsidR="00DF2C54" w:rsidRPr="001F5F0B">
        <w:rPr>
          <w:rFonts w:cstheme="minorHAnsi"/>
        </w:rPr>
        <w:t xml:space="preserve"> below</w:t>
      </w:r>
      <w:r w:rsidRPr="001F5F0B">
        <w:rPr>
          <w:rFonts w:cstheme="minorHAnsi"/>
        </w:rPr>
        <w:t xml:space="preserve"> reflect the fact that the submission, validation, and implementation of requests for LGR publication and modification are currently manual processes. In addition, the total number of LGRs to be published or modified for a single request can range from a single entry to more than one thousand. </w:t>
      </w:r>
    </w:p>
    <w:p w14:paraId="471571B8" w14:textId="461C9439" w:rsidR="00D83C18" w:rsidRPr="001F5F0B" w:rsidRDefault="004903BE" w:rsidP="00BB6014">
      <w:pPr>
        <w:rPr>
          <w:rFonts w:cstheme="minorHAnsi"/>
          <w:b/>
        </w:rPr>
      </w:pPr>
      <w:r w:rsidRPr="001F5F0B">
        <w:rPr>
          <w:rFonts w:cstheme="minorHAnsi"/>
          <w:b/>
        </w:rPr>
        <w:t xml:space="preserve">Summary of new SLAs for Publication </w:t>
      </w:r>
      <w:r w:rsidR="00017569" w:rsidRPr="001F5F0B">
        <w:rPr>
          <w:rFonts w:cstheme="minorHAnsi"/>
          <w:b/>
        </w:rPr>
        <w:t xml:space="preserve">of </w:t>
      </w:r>
      <w:r w:rsidRPr="001F5F0B">
        <w:rPr>
          <w:rFonts w:cstheme="minorHAnsi"/>
          <w:b/>
        </w:rPr>
        <w:t xml:space="preserve">LGRs </w:t>
      </w:r>
      <w:r w:rsidR="00DF2C54" w:rsidRPr="001F5F0B">
        <w:rPr>
          <w:rFonts w:cstheme="minorHAnsi"/>
          <w:b/>
        </w:rPr>
        <w:t>considered by the CSC</w:t>
      </w:r>
      <w:r w:rsidR="00BB6014" w:rsidRPr="001F5F0B">
        <w:rPr>
          <w:rFonts w:cstheme="minorHAnsi"/>
          <w:b/>
        </w:rPr>
        <w:t>:</w:t>
      </w:r>
    </w:p>
    <w:tbl>
      <w:tblPr>
        <w:tblStyle w:val="TableGrid"/>
        <w:tblW w:w="0" w:type="auto"/>
        <w:tblLook w:val="04A0" w:firstRow="1" w:lastRow="0" w:firstColumn="1" w:lastColumn="0" w:noHBand="0" w:noVBand="1"/>
      </w:tblPr>
      <w:tblGrid>
        <w:gridCol w:w="2086"/>
        <w:gridCol w:w="1297"/>
        <w:gridCol w:w="851"/>
        <w:gridCol w:w="893"/>
        <w:gridCol w:w="953"/>
        <w:gridCol w:w="1350"/>
        <w:gridCol w:w="1790"/>
      </w:tblGrid>
      <w:tr w:rsidR="000F5605" w:rsidRPr="001F5F0B" w14:paraId="10F65D3D" w14:textId="605F6FEA" w:rsidTr="000F5605">
        <w:tc>
          <w:tcPr>
            <w:tcW w:w="2086" w:type="dxa"/>
            <w:shd w:val="clear" w:color="auto" w:fill="C0C0C0"/>
          </w:tcPr>
          <w:p w14:paraId="4500A093" w14:textId="26A3F4C3" w:rsidR="000F5605" w:rsidRPr="001F5F0B" w:rsidRDefault="000F5605" w:rsidP="002B70F3">
            <w:pPr>
              <w:spacing w:after="160" w:line="259" w:lineRule="auto"/>
              <w:rPr>
                <w:rFonts w:cstheme="minorHAnsi"/>
              </w:rPr>
            </w:pPr>
            <w:r w:rsidRPr="001F5F0B">
              <w:rPr>
                <w:rFonts w:cstheme="minorHAnsi"/>
              </w:rPr>
              <w:t>Metric</w:t>
            </w:r>
          </w:p>
        </w:tc>
        <w:tc>
          <w:tcPr>
            <w:tcW w:w="1297" w:type="dxa"/>
            <w:shd w:val="clear" w:color="auto" w:fill="C0C0C0"/>
          </w:tcPr>
          <w:p w14:paraId="4B15996B" w14:textId="25B19C7E" w:rsidR="000F5605" w:rsidRPr="001F5F0B" w:rsidRDefault="000F5605" w:rsidP="002B70F3">
            <w:pPr>
              <w:rPr>
                <w:rFonts w:cstheme="minorHAnsi"/>
              </w:rPr>
            </w:pPr>
            <w:r w:rsidRPr="001F5F0B">
              <w:rPr>
                <w:rFonts w:cstheme="minorHAnsi"/>
              </w:rPr>
              <w:t>Threshold</w:t>
            </w:r>
          </w:p>
        </w:tc>
        <w:tc>
          <w:tcPr>
            <w:tcW w:w="851" w:type="dxa"/>
            <w:shd w:val="clear" w:color="auto" w:fill="C0C0C0"/>
          </w:tcPr>
          <w:p w14:paraId="16AB8B32" w14:textId="1863E644" w:rsidR="000F5605" w:rsidRPr="001F5F0B" w:rsidRDefault="000F5605" w:rsidP="002B70F3">
            <w:pPr>
              <w:rPr>
                <w:rFonts w:cstheme="minorHAnsi"/>
              </w:rPr>
            </w:pPr>
            <w:r w:rsidRPr="001F5F0B">
              <w:rPr>
                <w:rFonts w:cstheme="minorHAnsi"/>
              </w:rPr>
              <w:t>Type</w:t>
            </w:r>
          </w:p>
        </w:tc>
        <w:tc>
          <w:tcPr>
            <w:tcW w:w="893" w:type="dxa"/>
            <w:shd w:val="clear" w:color="auto" w:fill="C0C0C0"/>
          </w:tcPr>
          <w:p w14:paraId="4E07B12A" w14:textId="14BA2856" w:rsidR="000F5605" w:rsidRPr="001F5F0B" w:rsidRDefault="000F5605" w:rsidP="002B70F3">
            <w:pPr>
              <w:rPr>
                <w:rFonts w:cstheme="minorHAnsi"/>
              </w:rPr>
            </w:pPr>
            <w:r w:rsidRPr="001F5F0B">
              <w:rPr>
                <w:rFonts w:cstheme="minorHAnsi"/>
              </w:rPr>
              <w:t>Breach</w:t>
            </w:r>
          </w:p>
        </w:tc>
        <w:tc>
          <w:tcPr>
            <w:tcW w:w="953" w:type="dxa"/>
            <w:shd w:val="clear" w:color="auto" w:fill="C0C0C0"/>
          </w:tcPr>
          <w:p w14:paraId="18247459" w14:textId="5C8A20A0" w:rsidR="000F5605" w:rsidRPr="001F5F0B" w:rsidRDefault="000F5605" w:rsidP="002B70F3">
            <w:pPr>
              <w:rPr>
                <w:rFonts w:cstheme="minorHAnsi"/>
              </w:rPr>
            </w:pPr>
            <w:r w:rsidRPr="001F5F0B">
              <w:rPr>
                <w:rFonts w:cstheme="minorHAnsi"/>
              </w:rPr>
              <w:t>Period</w:t>
            </w:r>
          </w:p>
        </w:tc>
        <w:tc>
          <w:tcPr>
            <w:tcW w:w="1350" w:type="dxa"/>
            <w:shd w:val="clear" w:color="auto" w:fill="C0C0C0"/>
          </w:tcPr>
          <w:p w14:paraId="4E8D1F70" w14:textId="61A9D90B" w:rsidR="000F5605" w:rsidRPr="001F5F0B" w:rsidRDefault="000F5605" w:rsidP="002B70F3">
            <w:pPr>
              <w:rPr>
                <w:rFonts w:cstheme="minorHAnsi"/>
              </w:rPr>
            </w:pPr>
            <w:r w:rsidRPr="001F5F0B">
              <w:rPr>
                <w:rFonts w:cstheme="minorHAnsi"/>
              </w:rPr>
              <w:t>Mechanism</w:t>
            </w:r>
          </w:p>
        </w:tc>
        <w:tc>
          <w:tcPr>
            <w:tcW w:w="960" w:type="dxa"/>
            <w:shd w:val="clear" w:color="auto" w:fill="C0C0C0"/>
          </w:tcPr>
          <w:p w14:paraId="48555706" w14:textId="522F5FCD" w:rsidR="000F5605" w:rsidRPr="001F5F0B" w:rsidRDefault="000F5605" w:rsidP="002B70F3">
            <w:pPr>
              <w:rPr>
                <w:rFonts w:cstheme="minorHAnsi"/>
              </w:rPr>
            </w:pPr>
            <w:r>
              <w:rPr>
                <w:rFonts w:cstheme="minorHAnsi"/>
              </w:rPr>
              <w:t>Implementation detail</w:t>
            </w:r>
            <w:r w:rsidR="00F13B04">
              <w:rPr>
                <w:rFonts w:cstheme="minorHAnsi"/>
              </w:rPr>
              <w:t>s</w:t>
            </w:r>
          </w:p>
        </w:tc>
      </w:tr>
      <w:tr w:rsidR="000F5605" w:rsidRPr="001F5F0B" w14:paraId="4F3C1118" w14:textId="2DBD4C84" w:rsidTr="000F5605">
        <w:tc>
          <w:tcPr>
            <w:tcW w:w="2086" w:type="dxa"/>
          </w:tcPr>
          <w:p w14:paraId="5663B47E" w14:textId="7AF1A957" w:rsidR="000F5605" w:rsidRPr="001F5F0B" w:rsidRDefault="000F5605" w:rsidP="002B70F3">
            <w:pPr>
              <w:spacing w:after="160" w:line="259" w:lineRule="auto"/>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0CCD2485" w14:textId="77777777" w:rsidR="000F5605" w:rsidRPr="001F5F0B" w:rsidRDefault="000F5605" w:rsidP="004903BE">
            <w:pPr>
              <w:spacing w:after="160" w:line="259" w:lineRule="auto"/>
              <w:rPr>
                <w:rFonts w:cstheme="minorHAnsi"/>
              </w:rPr>
            </w:pPr>
            <w:r w:rsidRPr="001F5F0B">
              <w:rPr>
                <w:rFonts w:cstheme="minorHAnsi"/>
              </w:rPr>
              <w:t>≤ 5 days</w:t>
            </w:r>
          </w:p>
          <w:p w14:paraId="3C960039" w14:textId="41EF1A34" w:rsidR="000F5605" w:rsidRPr="001F5F0B" w:rsidRDefault="000F5605" w:rsidP="002B70F3">
            <w:pPr>
              <w:rPr>
                <w:rFonts w:cstheme="minorHAnsi"/>
              </w:rPr>
            </w:pPr>
          </w:p>
        </w:tc>
        <w:tc>
          <w:tcPr>
            <w:tcW w:w="851" w:type="dxa"/>
          </w:tcPr>
          <w:p w14:paraId="6193642B" w14:textId="748B0998" w:rsidR="000F5605" w:rsidRPr="001F5F0B" w:rsidRDefault="000F5605" w:rsidP="002B70F3">
            <w:pPr>
              <w:rPr>
                <w:rFonts w:cstheme="minorHAnsi"/>
              </w:rPr>
            </w:pPr>
            <w:r w:rsidRPr="001F5F0B">
              <w:rPr>
                <w:rFonts w:cstheme="minorHAnsi"/>
              </w:rPr>
              <w:t>Max</w:t>
            </w:r>
          </w:p>
        </w:tc>
        <w:tc>
          <w:tcPr>
            <w:tcW w:w="893" w:type="dxa"/>
          </w:tcPr>
          <w:p w14:paraId="6E76C12D" w14:textId="561E32D2" w:rsidR="000F5605" w:rsidRPr="001F5F0B" w:rsidRDefault="000F5605" w:rsidP="002B70F3">
            <w:pPr>
              <w:rPr>
                <w:rFonts w:cstheme="minorHAnsi"/>
              </w:rPr>
            </w:pPr>
            <w:r w:rsidRPr="001F5F0B">
              <w:rPr>
                <w:rFonts w:cstheme="minorHAnsi"/>
              </w:rPr>
              <w:t>90%</w:t>
            </w:r>
          </w:p>
        </w:tc>
        <w:tc>
          <w:tcPr>
            <w:tcW w:w="953" w:type="dxa"/>
          </w:tcPr>
          <w:p w14:paraId="5CDDC957" w14:textId="4689496C" w:rsidR="000F5605" w:rsidRPr="001F5F0B" w:rsidRDefault="000F5605" w:rsidP="002B70F3">
            <w:pPr>
              <w:rPr>
                <w:rFonts w:cstheme="minorHAnsi"/>
              </w:rPr>
            </w:pPr>
            <w:r w:rsidRPr="001F5F0B">
              <w:rPr>
                <w:rFonts w:cstheme="minorHAnsi"/>
              </w:rPr>
              <w:t>Month</w:t>
            </w:r>
          </w:p>
        </w:tc>
        <w:tc>
          <w:tcPr>
            <w:tcW w:w="1350" w:type="dxa"/>
          </w:tcPr>
          <w:p w14:paraId="53B38794" w14:textId="5CF01153" w:rsidR="000F5605" w:rsidRPr="001F5F0B" w:rsidRDefault="000F5605" w:rsidP="002B70F3">
            <w:pPr>
              <w:rPr>
                <w:rFonts w:cstheme="minorHAnsi"/>
              </w:rPr>
            </w:pPr>
            <w:r w:rsidRPr="001F5F0B">
              <w:rPr>
                <w:rFonts w:cstheme="minorHAnsi"/>
              </w:rPr>
              <w:t>Publish in dashboard</w:t>
            </w:r>
          </w:p>
        </w:tc>
        <w:tc>
          <w:tcPr>
            <w:tcW w:w="960" w:type="dxa"/>
          </w:tcPr>
          <w:p w14:paraId="522D3CF8" w14:textId="0861B618" w:rsidR="000F5605" w:rsidRPr="001F5F0B" w:rsidRDefault="000F5605" w:rsidP="002B70F3">
            <w:pPr>
              <w:rPr>
                <w:rFonts w:cstheme="minorHAnsi"/>
              </w:rPr>
            </w:pPr>
            <w:r>
              <w:rPr>
                <w:rFonts w:cstheme="minorHAnsi"/>
              </w:rPr>
              <w:t xml:space="preserve">The SLA Dashboard is already tracking this information however no SLA has been defined. Once a threshold is defined, PTI needs implementation time to apply the threshold. </w:t>
            </w:r>
          </w:p>
        </w:tc>
      </w:tr>
      <w:tr w:rsidR="000F5605" w:rsidRPr="001F5F0B" w14:paraId="4BB37FE2" w14:textId="16676377" w:rsidTr="000F5605">
        <w:tc>
          <w:tcPr>
            <w:tcW w:w="2086" w:type="dxa"/>
          </w:tcPr>
          <w:p w14:paraId="7E1563F0" w14:textId="3907587A" w:rsidR="000F5605" w:rsidRPr="001F5F0B" w:rsidRDefault="000F5605" w:rsidP="002B70F3">
            <w:pPr>
              <w:rPr>
                <w:rFonts w:cstheme="minorHAnsi"/>
              </w:rPr>
            </w:pPr>
            <w:r w:rsidRPr="001F5F0B">
              <w:rPr>
                <w:rFonts w:cstheme="minorHAnsi"/>
              </w:rPr>
              <w:lastRenderedPageBreak/>
              <w:t xml:space="preserve">Implementation: Time from when the request is ready for implementation until the request completion. </w:t>
            </w:r>
          </w:p>
        </w:tc>
        <w:tc>
          <w:tcPr>
            <w:tcW w:w="1297" w:type="dxa"/>
          </w:tcPr>
          <w:p w14:paraId="59061A8B" w14:textId="77777777" w:rsidR="000F5605" w:rsidRPr="001F5F0B" w:rsidRDefault="000F5605" w:rsidP="004903BE">
            <w:pPr>
              <w:rPr>
                <w:rFonts w:cstheme="minorHAnsi"/>
              </w:rPr>
            </w:pPr>
            <w:r w:rsidRPr="001F5F0B">
              <w:rPr>
                <w:rFonts w:cstheme="minorHAnsi"/>
              </w:rPr>
              <w:t>≤ 7 days</w:t>
            </w:r>
          </w:p>
          <w:p w14:paraId="6D798426" w14:textId="77777777" w:rsidR="000F5605" w:rsidRPr="001F5F0B" w:rsidRDefault="000F5605" w:rsidP="002B70F3">
            <w:pPr>
              <w:rPr>
                <w:rFonts w:cstheme="minorHAnsi"/>
              </w:rPr>
            </w:pPr>
          </w:p>
        </w:tc>
        <w:tc>
          <w:tcPr>
            <w:tcW w:w="851" w:type="dxa"/>
          </w:tcPr>
          <w:p w14:paraId="69CF8C14" w14:textId="775BA9BA" w:rsidR="000F5605" w:rsidRPr="001F5F0B" w:rsidRDefault="000F5605" w:rsidP="002B70F3">
            <w:pPr>
              <w:rPr>
                <w:rFonts w:cstheme="minorHAnsi"/>
              </w:rPr>
            </w:pPr>
            <w:r w:rsidRPr="001F5F0B">
              <w:rPr>
                <w:rFonts w:cstheme="minorHAnsi"/>
              </w:rPr>
              <w:t>Max</w:t>
            </w:r>
          </w:p>
        </w:tc>
        <w:tc>
          <w:tcPr>
            <w:tcW w:w="893" w:type="dxa"/>
          </w:tcPr>
          <w:p w14:paraId="5A3DD938" w14:textId="4A7D2165" w:rsidR="000F5605" w:rsidRPr="001F5F0B" w:rsidRDefault="000F5605" w:rsidP="002B70F3">
            <w:pPr>
              <w:rPr>
                <w:rFonts w:cstheme="minorHAnsi"/>
              </w:rPr>
            </w:pPr>
            <w:r w:rsidRPr="001F5F0B">
              <w:rPr>
                <w:rFonts w:cstheme="minorHAnsi"/>
              </w:rPr>
              <w:t>90%</w:t>
            </w:r>
          </w:p>
        </w:tc>
        <w:tc>
          <w:tcPr>
            <w:tcW w:w="953" w:type="dxa"/>
          </w:tcPr>
          <w:p w14:paraId="11C32026" w14:textId="29C5CBF6" w:rsidR="000F5605" w:rsidRPr="001F5F0B" w:rsidRDefault="000F5605" w:rsidP="002B70F3">
            <w:pPr>
              <w:rPr>
                <w:rFonts w:cstheme="minorHAnsi"/>
              </w:rPr>
            </w:pPr>
            <w:r w:rsidRPr="001F5F0B">
              <w:rPr>
                <w:rFonts w:cstheme="minorHAnsi"/>
              </w:rPr>
              <w:t>Month</w:t>
            </w:r>
          </w:p>
        </w:tc>
        <w:tc>
          <w:tcPr>
            <w:tcW w:w="1350" w:type="dxa"/>
          </w:tcPr>
          <w:p w14:paraId="0CBDF0D9" w14:textId="1C08947F" w:rsidR="000F5605" w:rsidRPr="001F5F0B" w:rsidRDefault="000F5605" w:rsidP="002B70F3">
            <w:pPr>
              <w:rPr>
                <w:rFonts w:cstheme="minorHAnsi"/>
              </w:rPr>
            </w:pPr>
            <w:r w:rsidRPr="001F5F0B">
              <w:rPr>
                <w:rFonts w:cstheme="minorHAnsi"/>
              </w:rPr>
              <w:t>Publish in dashboard</w:t>
            </w:r>
          </w:p>
        </w:tc>
        <w:tc>
          <w:tcPr>
            <w:tcW w:w="960" w:type="dxa"/>
          </w:tcPr>
          <w:p w14:paraId="175F9656" w14:textId="279367B9" w:rsidR="000F5605" w:rsidRPr="001F5F0B" w:rsidRDefault="000F5605" w:rsidP="002B70F3">
            <w:pPr>
              <w:rPr>
                <w:rFonts w:cstheme="minorHAnsi"/>
              </w:rPr>
            </w:pPr>
            <w:r>
              <w:rPr>
                <w:rFonts w:cstheme="minorHAnsi"/>
              </w:rPr>
              <w:t>The SLA Dashboard is already tracking this information however no SLA has been defined. Once a threshold is defined, PTI needs implementation time to apply the threshold.</w:t>
            </w:r>
          </w:p>
        </w:tc>
      </w:tr>
    </w:tbl>
    <w:p w14:paraId="530F6AB0" w14:textId="2F09F2FC" w:rsidR="00CF30A0" w:rsidRPr="001F5F0B" w:rsidRDefault="00CF30A0">
      <w:pPr>
        <w:rPr>
          <w:rFonts w:eastAsiaTheme="minorEastAsia" w:cstheme="minorHAnsi"/>
          <w:sz w:val="24"/>
          <w:szCs w:val="24"/>
        </w:rPr>
      </w:pPr>
    </w:p>
    <w:p w14:paraId="2B48CC7C" w14:textId="17FAF2DD" w:rsidR="004903BE" w:rsidRPr="001F5F0B" w:rsidRDefault="004903BE">
      <w:pPr>
        <w:rPr>
          <w:rFonts w:eastAsiaTheme="minorEastAsia" w:cstheme="minorHAnsi"/>
          <w:sz w:val="24"/>
          <w:szCs w:val="24"/>
        </w:rPr>
      </w:pPr>
      <w:r w:rsidRPr="001F5F0B">
        <w:rPr>
          <w:rFonts w:eastAsiaTheme="minorEastAsia" w:cstheme="minorHAnsi"/>
          <w:sz w:val="24"/>
          <w:szCs w:val="24"/>
        </w:rPr>
        <w:t>In addition, the IANA SLA Dashboard will continue to provide the following informational data on IDN Table or LGR overall request volumes and processing times:</w:t>
      </w:r>
    </w:p>
    <w:tbl>
      <w:tblPr>
        <w:tblStyle w:val="TableGrid"/>
        <w:tblW w:w="0" w:type="auto"/>
        <w:tblLook w:val="04A0" w:firstRow="1" w:lastRow="0" w:firstColumn="1" w:lastColumn="0" w:noHBand="0" w:noVBand="1"/>
      </w:tblPr>
      <w:tblGrid>
        <w:gridCol w:w="5254"/>
        <w:gridCol w:w="2094"/>
        <w:gridCol w:w="2002"/>
      </w:tblGrid>
      <w:tr w:rsidR="00F13B04" w:rsidRPr="001F5F0B" w14:paraId="096D7029" w14:textId="40ACDCFD" w:rsidTr="00F13B04">
        <w:tc>
          <w:tcPr>
            <w:tcW w:w="5254" w:type="dxa"/>
            <w:shd w:val="pct25" w:color="auto" w:fill="auto"/>
          </w:tcPr>
          <w:p w14:paraId="47AF6ED4" w14:textId="613F038E" w:rsidR="00F13B04" w:rsidRPr="001F5F0B" w:rsidRDefault="00F13B04" w:rsidP="004903BE">
            <w:pPr>
              <w:spacing w:after="160" w:line="259" w:lineRule="auto"/>
              <w:rPr>
                <w:rFonts w:cstheme="minorHAnsi"/>
              </w:rPr>
            </w:pPr>
            <w:r w:rsidRPr="001F5F0B">
              <w:rPr>
                <w:rFonts w:cstheme="minorHAnsi"/>
              </w:rPr>
              <w:t>Data</w:t>
            </w:r>
          </w:p>
        </w:tc>
        <w:tc>
          <w:tcPr>
            <w:tcW w:w="2094" w:type="dxa"/>
            <w:shd w:val="pct25" w:color="auto" w:fill="auto"/>
          </w:tcPr>
          <w:p w14:paraId="76D63DBB" w14:textId="735843F4" w:rsidR="00F13B04" w:rsidRPr="001F5F0B" w:rsidRDefault="00F13B04">
            <w:pPr>
              <w:rPr>
                <w:rFonts w:cstheme="minorHAnsi"/>
              </w:rPr>
            </w:pPr>
            <w:r w:rsidRPr="001F5F0B">
              <w:rPr>
                <w:rFonts w:cstheme="minorHAnsi"/>
              </w:rPr>
              <w:t>Mechanism</w:t>
            </w:r>
          </w:p>
        </w:tc>
        <w:tc>
          <w:tcPr>
            <w:tcW w:w="2002" w:type="dxa"/>
            <w:shd w:val="pct25" w:color="auto" w:fill="auto"/>
          </w:tcPr>
          <w:p w14:paraId="42A69A8B" w14:textId="6DE7070A" w:rsidR="00F13B04" w:rsidRPr="001F5F0B" w:rsidRDefault="00F13B04">
            <w:pPr>
              <w:rPr>
                <w:rFonts w:cstheme="minorHAnsi"/>
              </w:rPr>
            </w:pPr>
            <w:r>
              <w:rPr>
                <w:rFonts w:cstheme="minorHAnsi"/>
              </w:rPr>
              <w:t>Implementation Details</w:t>
            </w:r>
          </w:p>
        </w:tc>
      </w:tr>
      <w:tr w:rsidR="00F13B04" w:rsidRPr="001F5F0B" w14:paraId="36D6D168" w14:textId="0C83AF06" w:rsidTr="00F13B04">
        <w:tc>
          <w:tcPr>
            <w:tcW w:w="5254" w:type="dxa"/>
          </w:tcPr>
          <w:p w14:paraId="467487EC" w14:textId="7BE3DFDA" w:rsidR="00F13B04" w:rsidRPr="001F5F0B" w:rsidRDefault="00F13B04" w:rsidP="004903BE">
            <w:pPr>
              <w:spacing w:after="160" w:line="259" w:lineRule="auto"/>
              <w:rPr>
                <w:rFonts w:cstheme="minorHAnsi"/>
              </w:rPr>
            </w:pPr>
            <w:r w:rsidRPr="001F5F0B">
              <w:rPr>
                <w:rFonts w:cstheme="minorHAnsi"/>
              </w:rPr>
              <w:t>Requester Clarification: The number of times a clarification or remediation was required from the requester.</w:t>
            </w:r>
          </w:p>
        </w:tc>
        <w:tc>
          <w:tcPr>
            <w:tcW w:w="2094" w:type="dxa"/>
          </w:tcPr>
          <w:p w14:paraId="343C471F" w14:textId="2ED89923" w:rsidR="00F13B04" w:rsidRPr="001F5F0B" w:rsidRDefault="00F13B04">
            <w:pPr>
              <w:rPr>
                <w:rFonts w:cstheme="minorHAnsi"/>
              </w:rPr>
            </w:pPr>
            <w:r w:rsidRPr="001F5F0B">
              <w:rPr>
                <w:rFonts w:cstheme="minorHAnsi"/>
              </w:rPr>
              <w:t>Publish in dashboard</w:t>
            </w:r>
          </w:p>
        </w:tc>
        <w:tc>
          <w:tcPr>
            <w:tcW w:w="2002" w:type="dxa"/>
          </w:tcPr>
          <w:p w14:paraId="32DE3B91" w14:textId="4B54765E" w:rsidR="00F13B04" w:rsidRPr="001F5F0B" w:rsidRDefault="00F13B04">
            <w:pPr>
              <w:rPr>
                <w:rFonts w:cstheme="minorHAnsi"/>
              </w:rPr>
            </w:pPr>
            <w:r>
              <w:rPr>
                <w:rFonts w:cstheme="minorHAnsi"/>
              </w:rPr>
              <w:t xml:space="preserve">None. SLA Dashboard is already tracking this </w:t>
            </w:r>
            <w:proofErr w:type="spellStart"/>
            <w:r>
              <w:rPr>
                <w:rFonts w:cstheme="minorHAnsi"/>
              </w:rPr>
              <w:t>data.</w:t>
            </w:r>
          </w:p>
        </w:tc>
      </w:tr>
      <w:tr w:rsidR="00F13B04" w:rsidRPr="001F5F0B" w14:paraId="232523FA" w14:textId="12A000F8" w:rsidTr="00F13B04">
        <w:tc>
          <w:tcPr>
            <w:tcW w:w="5254" w:type="dxa"/>
          </w:tcPr>
          <w:p w14:paraId="6A2C58CC" w14:textId="2A6577BA" w:rsidR="00F13B04" w:rsidRPr="001F5F0B" w:rsidRDefault="00F13B04" w:rsidP="004903BE">
            <w:pPr>
              <w:spacing w:after="160" w:line="259" w:lineRule="auto"/>
              <w:rPr>
                <w:rFonts w:cstheme="minorHAnsi"/>
              </w:rPr>
            </w:pPr>
            <w:r w:rsidRPr="001F5F0B">
              <w:rPr>
                <w:rFonts w:cstheme="minorHAnsi"/>
              </w:rPr>
              <w:t>Time</w:t>
            </w:r>
            <w:proofErr w:type="spellEnd"/>
            <w:r w:rsidRPr="001F5F0B">
              <w:rPr>
                <w:rFonts w:cstheme="minorHAnsi"/>
              </w:rPr>
              <w:t xml:space="preserve"> per Actor: Average time taken for staff processing, requester clarification, administrative contact authorization and regulatory checks</w:t>
            </w:r>
          </w:p>
        </w:tc>
        <w:tc>
          <w:tcPr>
            <w:tcW w:w="2094" w:type="dxa"/>
          </w:tcPr>
          <w:p w14:paraId="30A4904B" w14:textId="3D456DA2" w:rsidR="00F13B04" w:rsidRPr="001F5F0B" w:rsidRDefault="00F13B04">
            <w:pPr>
              <w:rPr>
                <w:rFonts w:cstheme="minorHAnsi"/>
              </w:rPr>
            </w:pPr>
            <w:r w:rsidRPr="001F5F0B">
              <w:rPr>
                <w:rFonts w:cstheme="minorHAnsi"/>
              </w:rPr>
              <w:t>Publish in dashboard</w:t>
            </w:r>
          </w:p>
        </w:tc>
        <w:tc>
          <w:tcPr>
            <w:tcW w:w="2002" w:type="dxa"/>
          </w:tcPr>
          <w:p w14:paraId="1F51F506" w14:textId="489AC4BD" w:rsidR="00F13B04" w:rsidRPr="001F5F0B" w:rsidRDefault="00F13B04">
            <w:pPr>
              <w:rPr>
                <w:rFonts w:cstheme="minorHAnsi"/>
              </w:rPr>
            </w:pPr>
            <w:r>
              <w:rPr>
                <w:rFonts w:cstheme="minorHAnsi"/>
              </w:rPr>
              <w:t>None. SLA Dashboard is already tracking this data.</w:t>
            </w:r>
          </w:p>
        </w:tc>
      </w:tr>
      <w:tr w:rsidR="00F13B04" w:rsidRPr="001F5F0B" w14:paraId="1D642027" w14:textId="2631B33C" w:rsidTr="00F13B04">
        <w:tc>
          <w:tcPr>
            <w:tcW w:w="5254" w:type="dxa"/>
          </w:tcPr>
          <w:p w14:paraId="62E1FBE5" w14:textId="3AF9E734" w:rsidR="00F13B04" w:rsidRPr="001F5F0B" w:rsidRDefault="00F13B04" w:rsidP="004903BE">
            <w:pPr>
              <w:spacing w:after="160" w:line="259" w:lineRule="auto"/>
              <w:rPr>
                <w:rFonts w:cstheme="minorHAnsi"/>
              </w:rPr>
            </w:pPr>
            <w:r w:rsidRPr="001F5F0B">
              <w:rPr>
                <w:rFonts w:cstheme="minorHAnsi"/>
              </w:rPr>
              <w:t>Request Volumes: Total number of LGRs added or modified.</w:t>
            </w:r>
          </w:p>
        </w:tc>
        <w:tc>
          <w:tcPr>
            <w:tcW w:w="2094" w:type="dxa"/>
          </w:tcPr>
          <w:p w14:paraId="3BDC64BB" w14:textId="64692FEF" w:rsidR="00F13B04" w:rsidRPr="001F5F0B" w:rsidRDefault="00F13B04">
            <w:pPr>
              <w:rPr>
                <w:rFonts w:cstheme="minorHAnsi"/>
              </w:rPr>
            </w:pPr>
            <w:r w:rsidRPr="001F5F0B">
              <w:rPr>
                <w:rFonts w:cstheme="minorHAnsi"/>
              </w:rPr>
              <w:t>Publish in dashboard</w:t>
            </w:r>
          </w:p>
        </w:tc>
        <w:tc>
          <w:tcPr>
            <w:tcW w:w="2002" w:type="dxa"/>
          </w:tcPr>
          <w:p w14:paraId="5BB5C648" w14:textId="747A5329" w:rsidR="00F13B04" w:rsidRPr="001F5F0B" w:rsidRDefault="00F13B04">
            <w:pPr>
              <w:rPr>
                <w:rFonts w:cstheme="minorHAnsi"/>
              </w:rPr>
            </w:pPr>
            <w:r>
              <w:rPr>
                <w:rFonts w:cstheme="minorHAnsi"/>
              </w:rPr>
              <w:t>None. SLA Dashboard is already tracking this data.</w:t>
            </w:r>
          </w:p>
        </w:tc>
      </w:tr>
    </w:tbl>
    <w:p w14:paraId="0E9D96CA" w14:textId="4EAE8DDC" w:rsidR="003A3EC5" w:rsidRDefault="003A3EC5">
      <w:pPr>
        <w:rPr>
          <w:rFonts w:eastAsiaTheme="minorEastAsia" w:cstheme="minorHAnsi"/>
          <w:sz w:val="24"/>
          <w:szCs w:val="24"/>
        </w:rPr>
      </w:pPr>
    </w:p>
    <w:p w14:paraId="0803EEE5" w14:textId="77777777" w:rsidR="003A3EC5" w:rsidRDefault="003A3EC5" w:rsidP="003A3EC5">
      <w:pPr>
        <w:rPr>
          <w:rFonts w:cstheme="minorHAnsi"/>
          <w:b/>
        </w:rPr>
      </w:pPr>
    </w:p>
    <w:p w14:paraId="4946F5B6" w14:textId="17FD9A5A" w:rsidR="00DF40B3" w:rsidRPr="00DF40B3" w:rsidRDefault="003A3EC5" w:rsidP="00DF40B3">
      <w:pPr>
        <w:rPr>
          <w:rFonts w:cstheme="minorHAnsi"/>
          <w:b/>
        </w:rPr>
      </w:pPr>
      <w:r>
        <w:rPr>
          <w:rFonts w:cstheme="minorHAnsi"/>
          <w:b/>
        </w:rPr>
        <w:t>Next steps</w:t>
      </w:r>
      <w:r w:rsidRPr="001F5F0B">
        <w:rPr>
          <w:rFonts w:cstheme="minorHAnsi"/>
          <w:b/>
        </w:rPr>
        <w:t xml:space="preserve">: </w:t>
      </w:r>
    </w:p>
    <w:p w14:paraId="3EB8E7F6" w14:textId="4B2878BC" w:rsidR="000F5605" w:rsidRPr="000F5605" w:rsidRDefault="00DF40B3" w:rsidP="000F5605">
      <w:pPr>
        <w:pStyle w:val="ListParagraph"/>
        <w:numPr>
          <w:ilvl w:val="0"/>
          <w:numId w:val="4"/>
        </w:numPr>
        <w:rPr>
          <w:rFonts w:cstheme="minorHAnsi"/>
        </w:rPr>
      </w:pPr>
      <w:r>
        <w:rPr>
          <w:rFonts w:cstheme="minorHAnsi"/>
        </w:rPr>
        <w:t xml:space="preserve">ICANN to </w:t>
      </w:r>
      <w:r w:rsidRPr="00DF40B3">
        <w:rPr>
          <w:rFonts w:cstheme="minorHAnsi"/>
        </w:rPr>
        <w:t>Complete the Amendment to the IANA Naming Functions Contract</w:t>
      </w:r>
      <w:r>
        <w:rPr>
          <w:rFonts w:cstheme="minorHAnsi"/>
        </w:rPr>
        <w:t xml:space="preserve"> </w:t>
      </w:r>
      <w:hyperlink r:id="rId7" w:history="1">
        <w:r w:rsidRPr="00E376D0">
          <w:rPr>
            <w:rStyle w:val="Hyperlink"/>
            <w:rFonts w:cstheme="minorHAnsi"/>
          </w:rPr>
          <w:t>https://www.icann.org/public-comments/iana-naming-amend-2019-01-07-en</w:t>
        </w:r>
      </w:hyperlink>
      <w:r>
        <w:rPr>
          <w:rFonts w:cstheme="minorHAnsi"/>
        </w:rPr>
        <w:t xml:space="preserve">. </w:t>
      </w:r>
    </w:p>
    <w:p w14:paraId="64FD8B84" w14:textId="0B7F2075" w:rsidR="000F5605" w:rsidRDefault="00DF40B3" w:rsidP="000F5605">
      <w:pPr>
        <w:pStyle w:val="ListParagraph"/>
        <w:numPr>
          <w:ilvl w:val="0"/>
          <w:numId w:val="3"/>
        </w:numPr>
        <w:rPr>
          <w:rFonts w:cstheme="minorHAnsi"/>
        </w:rPr>
      </w:pPr>
      <w:r>
        <w:rPr>
          <w:rFonts w:cstheme="minorHAnsi"/>
        </w:rPr>
        <w:t xml:space="preserve">CSC, PTI and ICANN to </w:t>
      </w:r>
      <w:r w:rsidR="000F5605">
        <w:rPr>
          <w:rFonts w:cstheme="minorHAnsi"/>
        </w:rPr>
        <w:t xml:space="preserve">Follow </w:t>
      </w:r>
      <w:r>
        <w:rPr>
          <w:rFonts w:cstheme="minorHAnsi"/>
        </w:rPr>
        <w:t>the Process for Amending the IANA Naming Service Level Agreements to amend the SLAs as described above.</w:t>
      </w:r>
      <w:bookmarkStart w:id="1" w:name="_GoBack"/>
      <w:bookmarkEnd w:id="1"/>
    </w:p>
    <w:p w14:paraId="54061005" w14:textId="287E9946" w:rsidR="00DF40B3" w:rsidRPr="000F5605" w:rsidRDefault="00DF40B3" w:rsidP="000F5605">
      <w:pPr>
        <w:pStyle w:val="ListParagraph"/>
        <w:numPr>
          <w:ilvl w:val="0"/>
          <w:numId w:val="3"/>
        </w:numPr>
        <w:rPr>
          <w:rFonts w:cstheme="minorHAnsi"/>
        </w:rPr>
      </w:pPr>
      <w:r>
        <w:rPr>
          <w:rFonts w:cstheme="minorHAnsi"/>
        </w:rPr>
        <w:t>PTI to implement amended and new SLAs as described above.</w:t>
      </w:r>
    </w:p>
    <w:p w14:paraId="19851FE5" w14:textId="77777777" w:rsidR="003A3EC5" w:rsidRPr="001F5F0B" w:rsidRDefault="003A3EC5">
      <w:pPr>
        <w:rPr>
          <w:rFonts w:eastAsiaTheme="minorEastAsia" w:cstheme="minorHAnsi"/>
          <w:sz w:val="24"/>
          <w:szCs w:val="24"/>
        </w:rPr>
      </w:pPr>
    </w:p>
    <w:sectPr w:rsidR="003A3EC5" w:rsidRPr="001F5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44F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BFB0E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02701D8"/>
    <w:multiLevelType w:val="hybridMultilevel"/>
    <w:tmpl w:val="E5209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65898"/>
    <w:multiLevelType w:val="hybridMultilevel"/>
    <w:tmpl w:val="C92AE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B9"/>
    <w:rsid w:val="00013DBE"/>
    <w:rsid w:val="00017569"/>
    <w:rsid w:val="0006335C"/>
    <w:rsid w:val="00070EDD"/>
    <w:rsid w:val="000838B9"/>
    <w:rsid w:val="000C44D5"/>
    <w:rsid w:val="000D20D8"/>
    <w:rsid w:val="000F44B7"/>
    <w:rsid w:val="000F45F6"/>
    <w:rsid w:val="000F5605"/>
    <w:rsid w:val="000F6381"/>
    <w:rsid w:val="001143A8"/>
    <w:rsid w:val="00137783"/>
    <w:rsid w:val="0016519B"/>
    <w:rsid w:val="001739BD"/>
    <w:rsid w:val="001E003B"/>
    <w:rsid w:val="001E23C0"/>
    <w:rsid w:val="001F5F0B"/>
    <w:rsid w:val="001F6250"/>
    <w:rsid w:val="0020296F"/>
    <w:rsid w:val="00205F43"/>
    <w:rsid w:val="00220B95"/>
    <w:rsid w:val="002556A8"/>
    <w:rsid w:val="002B6F63"/>
    <w:rsid w:val="002F65FE"/>
    <w:rsid w:val="00322EDC"/>
    <w:rsid w:val="0033575B"/>
    <w:rsid w:val="00364676"/>
    <w:rsid w:val="003A13B9"/>
    <w:rsid w:val="003A3EC5"/>
    <w:rsid w:val="003F1928"/>
    <w:rsid w:val="004368FB"/>
    <w:rsid w:val="00480158"/>
    <w:rsid w:val="004903BE"/>
    <w:rsid w:val="00495CFF"/>
    <w:rsid w:val="004D647D"/>
    <w:rsid w:val="0054008B"/>
    <w:rsid w:val="006135C0"/>
    <w:rsid w:val="00631254"/>
    <w:rsid w:val="006B5395"/>
    <w:rsid w:val="006C45C7"/>
    <w:rsid w:val="007165BB"/>
    <w:rsid w:val="007672E6"/>
    <w:rsid w:val="007770A9"/>
    <w:rsid w:val="007C213B"/>
    <w:rsid w:val="007D7067"/>
    <w:rsid w:val="00836428"/>
    <w:rsid w:val="008564DC"/>
    <w:rsid w:val="00886D90"/>
    <w:rsid w:val="008872F9"/>
    <w:rsid w:val="008F3F5B"/>
    <w:rsid w:val="00942AAA"/>
    <w:rsid w:val="009B3B29"/>
    <w:rsid w:val="009C45AB"/>
    <w:rsid w:val="009F46BD"/>
    <w:rsid w:val="009F49C8"/>
    <w:rsid w:val="00A0239E"/>
    <w:rsid w:val="00A505B1"/>
    <w:rsid w:val="00A54AD9"/>
    <w:rsid w:val="00A65850"/>
    <w:rsid w:val="00A70A88"/>
    <w:rsid w:val="00AA0CB6"/>
    <w:rsid w:val="00AE5BE8"/>
    <w:rsid w:val="00B019CA"/>
    <w:rsid w:val="00B05539"/>
    <w:rsid w:val="00B32C32"/>
    <w:rsid w:val="00B40D82"/>
    <w:rsid w:val="00B65933"/>
    <w:rsid w:val="00B7707D"/>
    <w:rsid w:val="00BB6014"/>
    <w:rsid w:val="00BE050B"/>
    <w:rsid w:val="00BF46D2"/>
    <w:rsid w:val="00C636E3"/>
    <w:rsid w:val="00C73762"/>
    <w:rsid w:val="00C7781B"/>
    <w:rsid w:val="00CD0C3C"/>
    <w:rsid w:val="00CF30A0"/>
    <w:rsid w:val="00D057DE"/>
    <w:rsid w:val="00D411FB"/>
    <w:rsid w:val="00D83C18"/>
    <w:rsid w:val="00D87F16"/>
    <w:rsid w:val="00DB570C"/>
    <w:rsid w:val="00DE628E"/>
    <w:rsid w:val="00DF2C54"/>
    <w:rsid w:val="00DF40B3"/>
    <w:rsid w:val="00E17162"/>
    <w:rsid w:val="00E22F21"/>
    <w:rsid w:val="00EC4652"/>
    <w:rsid w:val="00ED097E"/>
    <w:rsid w:val="00EF3B32"/>
    <w:rsid w:val="00F113A6"/>
    <w:rsid w:val="00F13B04"/>
    <w:rsid w:val="00F1508F"/>
    <w:rsid w:val="00F5383D"/>
    <w:rsid w:val="00F60A93"/>
    <w:rsid w:val="00F74DB9"/>
    <w:rsid w:val="00FD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D009"/>
  <w15:chartTrackingRefBased/>
  <w15:docId w15:val="{E547794B-B625-44D1-B116-C5D5B89F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F4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ED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30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30A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B6014"/>
    <w:rPr>
      <w:sz w:val="16"/>
      <w:szCs w:val="16"/>
    </w:rPr>
  </w:style>
  <w:style w:type="paragraph" w:styleId="CommentText">
    <w:name w:val="annotation text"/>
    <w:basedOn w:val="Normal"/>
    <w:link w:val="CommentTextChar"/>
    <w:uiPriority w:val="99"/>
    <w:semiHidden/>
    <w:unhideWhenUsed/>
    <w:rsid w:val="00BB6014"/>
    <w:pPr>
      <w:spacing w:line="240" w:lineRule="auto"/>
    </w:pPr>
    <w:rPr>
      <w:sz w:val="20"/>
      <w:szCs w:val="20"/>
    </w:rPr>
  </w:style>
  <w:style w:type="character" w:customStyle="1" w:styleId="CommentTextChar">
    <w:name w:val="Comment Text Char"/>
    <w:basedOn w:val="DefaultParagraphFont"/>
    <w:link w:val="CommentText"/>
    <w:uiPriority w:val="99"/>
    <w:semiHidden/>
    <w:rsid w:val="00BB6014"/>
    <w:rPr>
      <w:sz w:val="20"/>
      <w:szCs w:val="20"/>
    </w:rPr>
  </w:style>
  <w:style w:type="paragraph" w:styleId="CommentSubject">
    <w:name w:val="annotation subject"/>
    <w:basedOn w:val="CommentText"/>
    <w:next w:val="CommentText"/>
    <w:link w:val="CommentSubjectChar"/>
    <w:uiPriority w:val="99"/>
    <w:semiHidden/>
    <w:unhideWhenUsed/>
    <w:rsid w:val="00BB6014"/>
    <w:rPr>
      <w:b/>
      <w:bCs/>
    </w:rPr>
  </w:style>
  <w:style w:type="character" w:customStyle="1" w:styleId="CommentSubjectChar">
    <w:name w:val="Comment Subject Char"/>
    <w:basedOn w:val="CommentTextChar"/>
    <w:link w:val="CommentSubject"/>
    <w:uiPriority w:val="99"/>
    <w:semiHidden/>
    <w:rsid w:val="00BB6014"/>
    <w:rPr>
      <w:b/>
      <w:bCs/>
      <w:sz w:val="20"/>
      <w:szCs w:val="20"/>
    </w:rPr>
  </w:style>
  <w:style w:type="character" w:styleId="Hyperlink">
    <w:name w:val="Hyperlink"/>
    <w:basedOn w:val="DefaultParagraphFont"/>
    <w:uiPriority w:val="99"/>
    <w:unhideWhenUsed/>
    <w:rsid w:val="00F5383D"/>
    <w:rPr>
      <w:color w:val="0563C1" w:themeColor="hyperlink"/>
      <w:u w:val="single"/>
    </w:rPr>
  </w:style>
  <w:style w:type="character" w:styleId="UnresolvedMention">
    <w:name w:val="Unresolved Mention"/>
    <w:basedOn w:val="DefaultParagraphFont"/>
    <w:uiPriority w:val="99"/>
    <w:semiHidden/>
    <w:unhideWhenUsed/>
    <w:rsid w:val="00F5383D"/>
    <w:rPr>
      <w:color w:val="605E5C"/>
      <w:shd w:val="clear" w:color="auto" w:fill="E1DFDD"/>
    </w:rPr>
  </w:style>
  <w:style w:type="paragraph" w:styleId="Revision">
    <w:name w:val="Revision"/>
    <w:hidden/>
    <w:uiPriority w:val="99"/>
    <w:semiHidden/>
    <w:rsid w:val="001E23C0"/>
    <w:pPr>
      <w:spacing w:after="0" w:line="240" w:lineRule="auto"/>
    </w:pPr>
  </w:style>
  <w:style w:type="paragraph" w:styleId="ListParagraph">
    <w:name w:val="List Paragraph"/>
    <w:basedOn w:val="Normal"/>
    <w:qFormat/>
    <w:rsid w:val="001739BD"/>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DF40B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54707">
      <w:bodyDiv w:val="1"/>
      <w:marLeft w:val="0"/>
      <w:marRight w:val="0"/>
      <w:marTop w:val="0"/>
      <w:marBottom w:val="0"/>
      <w:divBdr>
        <w:top w:val="none" w:sz="0" w:space="0" w:color="auto"/>
        <w:left w:val="none" w:sz="0" w:space="0" w:color="auto"/>
        <w:bottom w:val="none" w:sz="0" w:space="0" w:color="auto"/>
        <w:right w:val="none" w:sz="0" w:space="0" w:color="auto"/>
      </w:divBdr>
      <w:divsChild>
        <w:div w:id="946161212">
          <w:marLeft w:val="0"/>
          <w:marRight w:val="0"/>
          <w:marTop w:val="0"/>
          <w:marBottom w:val="0"/>
          <w:divBdr>
            <w:top w:val="none" w:sz="0" w:space="0" w:color="auto"/>
            <w:left w:val="none" w:sz="0" w:space="0" w:color="auto"/>
            <w:bottom w:val="none" w:sz="0" w:space="0" w:color="auto"/>
            <w:right w:val="none" w:sz="0" w:space="0" w:color="auto"/>
          </w:divBdr>
          <w:divsChild>
            <w:div w:id="2017615503">
              <w:marLeft w:val="0"/>
              <w:marRight w:val="0"/>
              <w:marTop w:val="0"/>
              <w:marBottom w:val="0"/>
              <w:divBdr>
                <w:top w:val="none" w:sz="0" w:space="0" w:color="auto"/>
                <w:left w:val="none" w:sz="0" w:space="0" w:color="auto"/>
                <w:bottom w:val="none" w:sz="0" w:space="0" w:color="auto"/>
                <w:right w:val="none" w:sz="0" w:space="0" w:color="auto"/>
              </w:divBdr>
              <w:divsChild>
                <w:div w:id="352994305">
                  <w:marLeft w:val="0"/>
                  <w:marRight w:val="0"/>
                  <w:marTop w:val="0"/>
                  <w:marBottom w:val="0"/>
                  <w:divBdr>
                    <w:top w:val="none" w:sz="0" w:space="0" w:color="auto"/>
                    <w:left w:val="none" w:sz="0" w:space="0" w:color="auto"/>
                    <w:bottom w:val="none" w:sz="0" w:space="0" w:color="auto"/>
                    <w:right w:val="none" w:sz="0" w:space="0" w:color="auto"/>
                  </w:divBdr>
                  <w:divsChild>
                    <w:div w:id="7359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7088">
      <w:bodyDiv w:val="1"/>
      <w:marLeft w:val="0"/>
      <w:marRight w:val="0"/>
      <w:marTop w:val="0"/>
      <w:marBottom w:val="0"/>
      <w:divBdr>
        <w:top w:val="none" w:sz="0" w:space="0" w:color="auto"/>
        <w:left w:val="none" w:sz="0" w:space="0" w:color="auto"/>
        <w:bottom w:val="none" w:sz="0" w:space="0" w:color="auto"/>
        <w:right w:val="none" w:sz="0" w:space="0" w:color="auto"/>
      </w:divBdr>
    </w:div>
    <w:div w:id="641933848">
      <w:bodyDiv w:val="1"/>
      <w:marLeft w:val="0"/>
      <w:marRight w:val="0"/>
      <w:marTop w:val="0"/>
      <w:marBottom w:val="0"/>
      <w:divBdr>
        <w:top w:val="none" w:sz="0" w:space="0" w:color="auto"/>
        <w:left w:val="none" w:sz="0" w:space="0" w:color="auto"/>
        <w:bottom w:val="none" w:sz="0" w:space="0" w:color="auto"/>
        <w:right w:val="none" w:sz="0" w:space="0" w:color="auto"/>
      </w:divBdr>
      <w:divsChild>
        <w:div w:id="175731621">
          <w:marLeft w:val="0"/>
          <w:marRight w:val="0"/>
          <w:marTop w:val="0"/>
          <w:marBottom w:val="0"/>
          <w:divBdr>
            <w:top w:val="none" w:sz="0" w:space="0" w:color="auto"/>
            <w:left w:val="none" w:sz="0" w:space="0" w:color="auto"/>
            <w:bottom w:val="none" w:sz="0" w:space="0" w:color="auto"/>
            <w:right w:val="none" w:sz="0" w:space="0" w:color="auto"/>
          </w:divBdr>
          <w:divsChild>
            <w:div w:id="2022732181">
              <w:marLeft w:val="0"/>
              <w:marRight w:val="0"/>
              <w:marTop w:val="0"/>
              <w:marBottom w:val="0"/>
              <w:divBdr>
                <w:top w:val="none" w:sz="0" w:space="0" w:color="auto"/>
                <w:left w:val="none" w:sz="0" w:space="0" w:color="auto"/>
                <w:bottom w:val="none" w:sz="0" w:space="0" w:color="auto"/>
                <w:right w:val="none" w:sz="0" w:space="0" w:color="auto"/>
              </w:divBdr>
              <w:divsChild>
                <w:div w:id="2058431771">
                  <w:marLeft w:val="0"/>
                  <w:marRight w:val="0"/>
                  <w:marTop w:val="0"/>
                  <w:marBottom w:val="0"/>
                  <w:divBdr>
                    <w:top w:val="none" w:sz="0" w:space="0" w:color="auto"/>
                    <w:left w:val="none" w:sz="0" w:space="0" w:color="auto"/>
                    <w:bottom w:val="none" w:sz="0" w:space="0" w:color="auto"/>
                    <w:right w:val="none" w:sz="0" w:space="0" w:color="auto"/>
                  </w:divBdr>
                  <w:divsChild>
                    <w:div w:id="3056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8541">
      <w:bodyDiv w:val="1"/>
      <w:marLeft w:val="0"/>
      <w:marRight w:val="0"/>
      <w:marTop w:val="0"/>
      <w:marBottom w:val="0"/>
      <w:divBdr>
        <w:top w:val="none" w:sz="0" w:space="0" w:color="auto"/>
        <w:left w:val="none" w:sz="0" w:space="0" w:color="auto"/>
        <w:bottom w:val="none" w:sz="0" w:space="0" w:color="auto"/>
        <w:right w:val="none" w:sz="0" w:space="0" w:color="auto"/>
      </w:divBdr>
      <w:divsChild>
        <w:div w:id="291012526">
          <w:marLeft w:val="0"/>
          <w:marRight w:val="0"/>
          <w:marTop w:val="0"/>
          <w:marBottom w:val="0"/>
          <w:divBdr>
            <w:top w:val="none" w:sz="0" w:space="0" w:color="auto"/>
            <w:left w:val="none" w:sz="0" w:space="0" w:color="auto"/>
            <w:bottom w:val="none" w:sz="0" w:space="0" w:color="auto"/>
            <w:right w:val="none" w:sz="0" w:space="0" w:color="auto"/>
          </w:divBdr>
          <w:divsChild>
            <w:div w:id="1665352172">
              <w:marLeft w:val="0"/>
              <w:marRight w:val="0"/>
              <w:marTop w:val="0"/>
              <w:marBottom w:val="0"/>
              <w:divBdr>
                <w:top w:val="none" w:sz="0" w:space="0" w:color="auto"/>
                <w:left w:val="none" w:sz="0" w:space="0" w:color="auto"/>
                <w:bottom w:val="none" w:sz="0" w:space="0" w:color="auto"/>
                <w:right w:val="none" w:sz="0" w:space="0" w:color="auto"/>
              </w:divBdr>
            </w:div>
          </w:divsChild>
        </w:div>
        <w:div w:id="1649162755">
          <w:marLeft w:val="0"/>
          <w:marRight w:val="0"/>
          <w:marTop w:val="0"/>
          <w:marBottom w:val="0"/>
          <w:divBdr>
            <w:top w:val="none" w:sz="0" w:space="0" w:color="auto"/>
            <w:left w:val="none" w:sz="0" w:space="0" w:color="auto"/>
            <w:bottom w:val="none" w:sz="0" w:space="0" w:color="auto"/>
            <w:right w:val="none" w:sz="0" w:space="0" w:color="auto"/>
          </w:divBdr>
          <w:divsChild>
            <w:div w:id="14275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589">
      <w:bodyDiv w:val="1"/>
      <w:marLeft w:val="0"/>
      <w:marRight w:val="0"/>
      <w:marTop w:val="0"/>
      <w:marBottom w:val="0"/>
      <w:divBdr>
        <w:top w:val="none" w:sz="0" w:space="0" w:color="auto"/>
        <w:left w:val="none" w:sz="0" w:space="0" w:color="auto"/>
        <w:bottom w:val="none" w:sz="0" w:space="0" w:color="auto"/>
        <w:right w:val="none" w:sz="0" w:space="0" w:color="auto"/>
      </w:divBdr>
    </w:div>
    <w:div w:id="1115516996">
      <w:bodyDiv w:val="1"/>
      <w:marLeft w:val="0"/>
      <w:marRight w:val="0"/>
      <w:marTop w:val="0"/>
      <w:marBottom w:val="0"/>
      <w:divBdr>
        <w:top w:val="none" w:sz="0" w:space="0" w:color="auto"/>
        <w:left w:val="none" w:sz="0" w:space="0" w:color="auto"/>
        <w:bottom w:val="none" w:sz="0" w:space="0" w:color="auto"/>
        <w:right w:val="none" w:sz="0" w:space="0" w:color="auto"/>
      </w:divBdr>
    </w:div>
    <w:div w:id="1155997653">
      <w:bodyDiv w:val="1"/>
      <w:marLeft w:val="0"/>
      <w:marRight w:val="0"/>
      <w:marTop w:val="0"/>
      <w:marBottom w:val="0"/>
      <w:divBdr>
        <w:top w:val="none" w:sz="0" w:space="0" w:color="auto"/>
        <w:left w:val="none" w:sz="0" w:space="0" w:color="auto"/>
        <w:bottom w:val="none" w:sz="0" w:space="0" w:color="auto"/>
        <w:right w:val="none" w:sz="0" w:space="0" w:color="auto"/>
      </w:divBdr>
      <w:divsChild>
        <w:div w:id="910577519">
          <w:marLeft w:val="0"/>
          <w:marRight w:val="0"/>
          <w:marTop w:val="0"/>
          <w:marBottom w:val="0"/>
          <w:divBdr>
            <w:top w:val="none" w:sz="0" w:space="0" w:color="auto"/>
            <w:left w:val="none" w:sz="0" w:space="0" w:color="auto"/>
            <w:bottom w:val="none" w:sz="0" w:space="0" w:color="auto"/>
            <w:right w:val="none" w:sz="0" w:space="0" w:color="auto"/>
          </w:divBdr>
          <w:divsChild>
            <w:div w:id="722213374">
              <w:marLeft w:val="0"/>
              <w:marRight w:val="0"/>
              <w:marTop w:val="0"/>
              <w:marBottom w:val="0"/>
              <w:divBdr>
                <w:top w:val="none" w:sz="0" w:space="0" w:color="auto"/>
                <w:left w:val="none" w:sz="0" w:space="0" w:color="auto"/>
                <w:bottom w:val="none" w:sz="0" w:space="0" w:color="auto"/>
                <w:right w:val="none" w:sz="0" w:space="0" w:color="auto"/>
              </w:divBdr>
            </w:div>
          </w:divsChild>
        </w:div>
        <w:div w:id="1954943069">
          <w:marLeft w:val="0"/>
          <w:marRight w:val="0"/>
          <w:marTop w:val="0"/>
          <w:marBottom w:val="0"/>
          <w:divBdr>
            <w:top w:val="none" w:sz="0" w:space="0" w:color="auto"/>
            <w:left w:val="none" w:sz="0" w:space="0" w:color="auto"/>
            <w:bottom w:val="none" w:sz="0" w:space="0" w:color="auto"/>
            <w:right w:val="none" w:sz="0" w:space="0" w:color="auto"/>
          </w:divBdr>
          <w:divsChild>
            <w:div w:id="19503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345">
      <w:bodyDiv w:val="1"/>
      <w:marLeft w:val="0"/>
      <w:marRight w:val="0"/>
      <w:marTop w:val="0"/>
      <w:marBottom w:val="0"/>
      <w:divBdr>
        <w:top w:val="none" w:sz="0" w:space="0" w:color="auto"/>
        <w:left w:val="none" w:sz="0" w:space="0" w:color="auto"/>
        <w:bottom w:val="none" w:sz="0" w:space="0" w:color="auto"/>
        <w:right w:val="none" w:sz="0" w:space="0" w:color="auto"/>
      </w:divBdr>
      <w:divsChild>
        <w:div w:id="1282029752">
          <w:marLeft w:val="0"/>
          <w:marRight w:val="0"/>
          <w:marTop w:val="0"/>
          <w:marBottom w:val="0"/>
          <w:divBdr>
            <w:top w:val="none" w:sz="0" w:space="0" w:color="auto"/>
            <w:left w:val="none" w:sz="0" w:space="0" w:color="auto"/>
            <w:bottom w:val="none" w:sz="0" w:space="0" w:color="auto"/>
            <w:right w:val="none" w:sz="0" w:space="0" w:color="auto"/>
          </w:divBdr>
          <w:divsChild>
            <w:div w:id="1272973444">
              <w:marLeft w:val="0"/>
              <w:marRight w:val="0"/>
              <w:marTop w:val="0"/>
              <w:marBottom w:val="0"/>
              <w:divBdr>
                <w:top w:val="none" w:sz="0" w:space="0" w:color="auto"/>
                <w:left w:val="none" w:sz="0" w:space="0" w:color="auto"/>
                <w:bottom w:val="none" w:sz="0" w:space="0" w:color="auto"/>
                <w:right w:val="none" w:sz="0" w:space="0" w:color="auto"/>
              </w:divBdr>
            </w:div>
          </w:divsChild>
        </w:div>
        <w:div w:id="993602892">
          <w:marLeft w:val="0"/>
          <w:marRight w:val="0"/>
          <w:marTop w:val="0"/>
          <w:marBottom w:val="0"/>
          <w:divBdr>
            <w:top w:val="none" w:sz="0" w:space="0" w:color="auto"/>
            <w:left w:val="none" w:sz="0" w:space="0" w:color="auto"/>
            <w:bottom w:val="none" w:sz="0" w:space="0" w:color="auto"/>
            <w:right w:val="none" w:sz="0" w:space="0" w:color="auto"/>
          </w:divBdr>
          <w:divsChild>
            <w:div w:id="19256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3038">
      <w:bodyDiv w:val="1"/>
      <w:marLeft w:val="0"/>
      <w:marRight w:val="0"/>
      <w:marTop w:val="0"/>
      <w:marBottom w:val="0"/>
      <w:divBdr>
        <w:top w:val="none" w:sz="0" w:space="0" w:color="auto"/>
        <w:left w:val="none" w:sz="0" w:space="0" w:color="auto"/>
        <w:bottom w:val="none" w:sz="0" w:space="0" w:color="auto"/>
        <w:right w:val="none" w:sz="0" w:space="0" w:color="auto"/>
      </w:divBdr>
    </w:div>
    <w:div w:id="1855925078">
      <w:bodyDiv w:val="1"/>
      <w:marLeft w:val="0"/>
      <w:marRight w:val="0"/>
      <w:marTop w:val="0"/>
      <w:marBottom w:val="0"/>
      <w:divBdr>
        <w:top w:val="none" w:sz="0" w:space="0" w:color="auto"/>
        <w:left w:val="none" w:sz="0" w:space="0" w:color="auto"/>
        <w:bottom w:val="none" w:sz="0" w:space="0" w:color="auto"/>
        <w:right w:val="none" w:sz="0" w:space="0" w:color="auto"/>
      </w:divBdr>
    </w:div>
    <w:div w:id="1939369909">
      <w:bodyDiv w:val="1"/>
      <w:marLeft w:val="0"/>
      <w:marRight w:val="0"/>
      <w:marTop w:val="0"/>
      <w:marBottom w:val="0"/>
      <w:divBdr>
        <w:top w:val="none" w:sz="0" w:space="0" w:color="auto"/>
        <w:left w:val="none" w:sz="0" w:space="0" w:color="auto"/>
        <w:bottom w:val="none" w:sz="0" w:space="0" w:color="auto"/>
        <w:right w:val="none" w:sz="0" w:space="0" w:color="auto"/>
      </w:divBdr>
      <w:divsChild>
        <w:div w:id="2008942214">
          <w:marLeft w:val="0"/>
          <w:marRight w:val="0"/>
          <w:marTop w:val="0"/>
          <w:marBottom w:val="0"/>
          <w:divBdr>
            <w:top w:val="none" w:sz="0" w:space="0" w:color="auto"/>
            <w:left w:val="none" w:sz="0" w:space="0" w:color="auto"/>
            <w:bottom w:val="none" w:sz="0" w:space="0" w:color="auto"/>
            <w:right w:val="none" w:sz="0" w:space="0" w:color="auto"/>
          </w:divBdr>
          <w:divsChild>
            <w:div w:id="1548569858">
              <w:marLeft w:val="0"/>
              <w:marRight w:val="0"/>
              <w:marTop w:val="0"/>
              <w:marBottom w:val="0"/>
              <w:divBdr>
                <w:top w:val="none" w:sz="0" w:space="0" w:color="auto"/>
                <w:left w:val="none" w:sz="0" w:space="0" w:color="auto"/>
                <w:bottom w:val="none" w:sz="0" w:space="0" w:color="auto"/>
                <w:right w:val="none" w:sz="0" w:space="0" w:color="auto"/>
              </w:divBdr>
            </w:div>
          </w:divsChild>
        </w:div>
        <w:div w:id="2099666650">
          <w:marLeft w:val="0"/>
          <w:marRight w:val="0"/>
          <w:marTop w:val="0"/>
          <w:marBottom w:val="0"/>
          <w:divBdr>
            <w:top w:val="none" w:sz="0" w:space="0" w:color="auto"/>
            <w:left w:val="none" w:sz="0" w:space="0" w:color="auto"/>
            <w:bottom w:val="none" w:sz="0" w:space="0" w:color="auto"/>
            <w:right w:val="none" w:sz="0" w:space="0" w:color="auto"/>
          </w:divBdr>
          <w:divsChild>
            <w:div w:id="14867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cann.org/public-comments/iana-naming-amend-2019-01-07-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ana.org/help/idn-repository-procedu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3568-5188-4744-A49B-CA4A30F0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Naela Sarras</cp:lastModifiedBy>
  <cp:revision>19</cp:revision>
  <cp:lastPrinted>2019-02-05T19:41:00Z</cp:lastPrinted>
  <dcterms:created xsi:type="dcterms:W3CDTF">2019-02-05T15:42:00Z</dcterms:created>
  <dcterms:modified xsi:type="dcterms:W3CDTF">2019-02-07T21:30:00Z</dcterms:modified>
</cp:coreProperties>
</file>