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3EE1E93C" w:rsidR="00EF75B5" w:rsidRPr="00EF75B5" w:rsidRDefault="00360B44">
      <w:pPr>
        <w:rPr>
          <w:b/>
          <w:sz w:val="28"/>
          <w:szCs w:val="28"/>
        </w:rPr>
      </w:pPr>
      <w:r>
        <w:rPr>
          <w:b/>
          <w:sz w:val="28"/>
          <w:szCs w:val="28"/>
        </w:rPr>
        <w:t xml:space="preserve">May </w:t>
      </w:r>
      <w:r w:rsidR="00D30E6A">
        <w:rPr>
          <w:b/>
          <w:sz w:val="28"/>
          <w:szCs w:val="28"/>
        </w:rPr>
        <w:t>2018</w:t>
      </w:r>
    </w:p>
    <w:p w14:paraId="62E6AA23" w14:textId="77777777" w:rsidR="00EF75B5" w:rsidRDefault="00EF75B5"/>
    <w:p w14:paraId="68A8CDD8" w14:textId="77777777" w:rsidR="00EF75B5" w:rsidRDefault="00EF75B5"/>
    <w:p w14:paraId="2EEDB68E" w14:textId="315A6B42" w:rsidR="00EF75B5" w:rsidRDefault="00EF75B5">
      <w:r>
        <w:t>Date:</w:t>
      </w:r>
      <w:r w:rsidR="008C7166">
        <w:t xml:space="preserve"> </w:t>
      </w:r>
      <w:r w:rsidR="007F329D">
        <w:t>1</w:t>
      </w:r>
      <w:r w:rsidR="00360B44">
        <w:t>8</w:t>
      </w:r>
      <w:r w:rsidR="0033108E">
        <w:t xml:space="preserve"> </w:t>
      </w:r>
      <w:r w:rsidR="00360B44">
        <w:t xml:space="preserve">June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74D19B04" w:rsidR="00E74FC5" w:rsidRDefault="00E74FC5" w:rsidP="0070082D">
      <w:r>
        <w:t xml:space="preserve">The CSC completed review of the </w:t>
      </w:r>
      <w:r w:rsidR="00360B44">
        <w:t xml:space="preserve">May </w:t>
      </w:r>
      <w:r w:rsidR="00D30E6A">
        <w:t>2018</w:t>
      </w:r>
      <w:r w:rsidR="00C33913">
        <w:t xml:space="preserve"> </w:t>
      </w:r>
      <w:r>
        <w:t>PTI Performance Report and finds that PTI’s performance for the month was:</w:t>
      </w:r>
    </w:p>
    <w:p w14:paraId="7E710497" w14:textId="77777777" w:rsidR="003D5A4E" w:rsidRDefault="003D5A4E"/>
    <w:p w14:paraId="4DDC70D0" w14:textId="3D2F574B" w:rsidR="00226808" w:rsidRDefault="00360B44" w:rsidP="003308D8">
      <w:pPr>
        <w:ind w:firstLine="720"/>
      </w:pPr>
      <w:r>
        <w:t xml:space="preserve">Excellent- PTI met the service level agreement at 100% for the month of May 2018. </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1AAA39A5" w14:textId="3D2D64B5" w:rsidR="00773D68" w:rsidRDefault="002A41ED" w:rsidP="00773D68">
      <w:bookmarkStart w:id="1" w:name="_Hlk514155513"/>
      <w:r>
        <w:t>Label Generation Rulesets (IDN Tables) processing data is now part of the SLE Dashboard and included in the IANA Naming Function Monthly report.  As such, starting with the May 2018 report, the report no longer includes an annex on IDN Tables processing.</w:t>
      </w:r>
    </w:p>
    <w:bookmarkEnd w:id="1"/>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w:t>
            </w:r>
            <w:r w:rsidRPr="00F25BFF">
              <w:rPr>
                <w:sz w:val="22"/>
                <w:szCs w:val="22"/>
              </w:rPr>
              <w:lastRenderedPageBreak/>
              <w:t xml:space="preserve">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49041431" w:rsidR="00532BB7" w:rsidRPr="00F25BFF" w:rsidRDefault="00532BB7" w:rsidP="00532BB7">
      <w:pPr>
        <w:rPr>
          <w:b/>
        </w:rPr>
      </w:pPr>
      <w:r w:rsidRPr="00F25BFF">
        <w:rPr>
          <w:b/>
        </w:rPr>
        <w:t>PTI Report</w:t>
      </w:r>
      <w:r>
        <w:rPr>
          <w:b/>
        </w:rPr>
        <w:t xml:space="preserve"> </w:t>
      </w:r>
      <w:r w:rsidR="00360B44">
        <w:rPr>
          <w:b/>
        </w:rPr>
        <w:t xml:space="preserve">May </w:t>
      </w:r>
      <w:r>
        <w:rPr>
          <w:b/>
        </w:rPr>
        <w:t>2018</w:t>
      </w:r>
    </w:p>
    <w:p w14:paraId="764C5CD8" w14:textId="3C8779D6" w:rsidR="00532BB7" w:rsidRDefault="00532BB7" w:rsidP="00532BB7">
      <w:r>
        <w:t xml:space="preserve">The PTI performance report for the month of </w:t>
      </w:r>
      <w:r w:rsidR="00360B44">
        <w:t xml:space="preserve">May </w:t>
      </w:r>
      <w:r>
        <w:t xml:space="preserve">2018 is available at: </w:t>
      </w:r>
    </w:p>
    <w:p w14:paraId="6A92C606" w14:textId="77777777" w:rsidR="00532BB7" w:rsidRDefault="003E6C8C" w:rsidP="00532BB7">
      <w:hyperlink r:id="rId7" w:history="1">
        <w:r w:rsidR="00532BB7" w:rsidRPr="00A90007">
          <w:rPr>
            <w:rStyle w:val="Hyperlink"/>
          </w:rPr>
          <w:t>https://www.iana.org/performance/csc-reports/201803</w:t>
        </w:r>
      </w:hyperlink>
      <w:r w:rsidR="00532BB7">
        <w:t xml:space="preserve"> </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9F56A" w14:textId="77777777" w:rsidR="003E6C8C" w:rsidRDefault="003E6C8C" w:rsidP="00EF75B5">
      <w:r>
        <w:separator/>
      </w:r>
    </w:p>
  </w:endnote>
  <w:endnote w:type="continuationSeparator" w:id="0">
    <w:p w14:paraId="17349B18" w14:textId="77777777" w:rsidR="003E6C8C" w:rsidRDefault="003E6C8C"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46E684A6"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838C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D838CB">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28318" w14:textId="77777777" w:rsidR="003E6C8C" w:rsidRDefault="003E6C8C" w:rsidP="00EF75B5">
      <w:r>
        <w:separator/>
      </w:r>
    </w:p>
  </w:footnote>
  <w:footnote w:type="continuationSeparator" w:id="0">
    <w:p w14:paraId="19832DCB" w14:textId="77777777" w:rsidR="003E6C8C" w:rsidRDefault="003E6C8C"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32BB7"/>
    <w:rsid w:val="0053452F"/>
    <w:rsid w:val="00536DFF"/>
    <w:rsid w:val="0054316F"/>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65DC"/>
    <w:rsid w:val="0062282F"/>
    <w:rsid w:val="00627013"/>
    <w:rsid w:val="00627D17"/>
    <w:rsid w:val="00636C7A"/>
    <w:rsid w:val="00661666"/>
    <w:rsid w:val="00665E6F"/>
    <w:rsid w:val="00667BAE"/>
    <w:rsid w:val="00667E0F"/>
    <w:rsid w:val="00670AD9"/>
    <w:rsid w:val="006A5E2A"/>
    <w:rsid w:val="006B4DC1"/>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5B93"/>
    <w:rsid w:val="009C0AA8"/>
    <w:rsid w:val="009C2EBF"/>
    <w:rsid w:val="009C55B1"/>
    <w:rsid w:val="009F1709"/>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D0460"/>
    <w:rsid w:val="00DE06DA"/>
    <w:rsid w:val="00DE29F0"/>
    <w:rsid w:val="00DF47E8"/>
    <w:rsid w:val="00E017D5"/>
    <w:rsid w:val="00E12727"/>
    <w:rsid w:val="00E36165"/>
    <w:rsid w:val="00E411AA"/>
    <w:rsid w:val="00E45039"/>
    <w:rsid w:val="00E5151E"/>
    <w:rsid w:val="00E5193D"/>
    <w:rsid w:val="00E64336"/>
    <w:rsid w:val="00E65A00"/>
    <w:rsid w:val="00E662BD"/>
    <w:rsid w:val="00E74FC5"/>
    <w:rsid w:val="00E80BD8"/>
    <w:rsid w:val="00E82CF7"/>
    <w:rsid w:val="00E84D86"/>
    <w:rsid w:val="00EB16C0"/>
    <w:rsid w:val="00EC769F"/>
    <w:rsid w:val="00ED11AD"/>
    <w:rsid w:val="00ED268F"/>
    <w:rsid w:val="00ED5046"/>
    <w:rsid w:val="00EE07D2"/>
    <w:rsid w:val="00EE76E5"/>
    <w:rsid w:val="00EF75B5"/>
    <w:rsid w:val="00F17EB2"/>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ana.org/performance/csc-reports/201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2018-06-18T20:25:00Z</dcterms:created>
  <dcterms:modified xsi:type="dcterms:W3CDTF">2018-06-18T20:25:00Z</dcterms:modified>
</cp:coreProperties>
</file>