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2295" w14:textId="413CD800" w:rsidR="002C66B4" w:rsidRPr="00B270D7" w:rsidRDefault="00AE796F" w:rsidP="00B270D7">
      <w:pPr>
        <w:pStyle w:val="Heading1"/>
        <w:keepNext/>
        <w:keepLines/>
        <w:spacing w:before="240" w:beforeAutospacing="0" w:after="0" w:afterAutospacing="0" w:line="259" w:lineRule="auto"/>
        <w:rPr>
          <w:rFonts w:ascii="Calibri" w:eastAsiaTheme="majorEastAsia" w:hAnsi="Calibri" w:cs="Calibri"/>
          <w:b w:val="0"/>
          <w:bCs w:val="0"/>
          <w:color w:val="2F5496" w:themeColor="accent1" w:themeShade="BF"/>
          <w:kern w:val="0"/>
          <w:sz w:val="32"/>
          <w:szCs w:val="32"/>
        </w:rPr>
      </w:pPr>
      <w:bookmarkStart w:id="0" w:name="_Hlk529882834"/>
      <w:r w:rsidRPr="00B270D7">
        <w:rPr>
          <w:rFonts w:ascii="Calibri" w:eastAsiaTheme="majorEastAsia" w:hAnsi="Calibri" w:cs="Calibri"/>
          <w:b w:val="0"/>
          <w:bCs w:val="0"/>
          <w:color w:val="2F5496" w:themeColor="accent1" w:themeShade="BF"/>
          <w:kern w:val="0"/>
          <w:sz w:val="32"/>
          <w:szCs w:val="32"/>
        </w:rPr>
        <w:t xml:space="preserve">Overview </w:t>
      </w:r>
      <w:r w:rsidR="001D6E82">
        <w:rPr>
          <w:rFonts w:ascii="Calibri" w:eastAsiaTheme="majorEastAsia" w:hAnsi="Calibri" w:cs="Calibri"/>
          <w:b w:val="0"/>
          <w:bCs w:val="0"/>
          <w:color w:val="2F5496" w:themeColor="accent1" w:themeShade="BF"/>
          <w:kern w:val="0"/>
          <w:sz w:val="32"/>
          <w:szCs w:val="32"/>
        </w:rPr>
        <w:t>for</w:t>
      </w:r>
      <w:r w:rsidRPr="00B270D7">
        <w:rPr>
          <w:rFonts w:ascii="Calibri" w:eastAsiaTheme="majorEastAsia" w:hAnsi="Calibri" w:cs="Calibri"/>
          <w:b w:val="0"/>
          <w:bCs w:val="0"/>
          <w:color w:val="2F5496" w:themeColor="accent1" w:themeShade="BF"/>
          <w:kern w:val="0"/>
          <w:sz w:val="32"/>
          <w:szCs w:val="32"/>
        </w:rPr>
        <w:t xml:space="preserve"> </w:t>
      </w:r>
      <w:r w:rsidR="001D6E82">
        <w:rPr>
          <w:rFonts w:ascii="Calibri" w:eastAsiaTheme="majorEastAsia" w:hAnsi="Calibri" w:cs="Calibri"/>
          <w:b w:val="0"/>
          <w:bCs w:val="0"/>
          <w:color w:val="2F5496" w:themeColor="accent1" w:themeShade="BF"/>
          <w:kern w:val="0"/>
          <w:sz w:val="32"/>
          <w:szCs w:val="32"/>
        </w:rPr>
        <w:t>P</w:t>
      </w:r>
      <w:r w:rsidRPr="00B270D7">
        <w:rPr>
          <w:rFonts w:ascii="Calibri" w:eastAsiaTheme="majorEastAsia" w:hAnsi="Calibri" w:cs="Calibri"/>
          <w:b w:val="0"/>
          <w:bCs w:val="0"/>
          <w:color w:val="2F5496" w:themeColor="accent1" w:themeShade="BF"/>
          <w:kern w:val="0"/>
          <w:sz w:val="32"/>
          <w:szCs w:val="32"/>
        </w:rPr>
        <w:t xml:space="preserve">roceeding with </w:t>
      </w:r>
      <w:r w:rsidR="00C23683" w:rsidRPr="00B270D7">
        <w:rPr>
          <w:rFonts w:ascii="Calibri" w:eastAsiaTheme="majorEastAsia" w:hAnsi="Calibri" w:cs="Calibri"/>
          <w:b w:val="0"/>
          <w:bCs w:val="0"/>
          <w:color w:val="2F5496" w:themeColor="accent1" w:themeShade="BF"/>
          <w:kern w:val="0"/>
          <w:sz w:val="32"/>
          <w:szCs w:val="32"/>
        </w:rPr>
        <w:t>SLA</w:t>
      </w:r>
      <w:r w:rsidRPr="00B270D7">
        <w:rPr>
          <w:rFonts w:ascii="Calibri" w:eastAsiaTheme="majorEastAsia" w:hAnsi="Calibri" w:cs="Calibri"/>
          <w:b w:val="0"/>
          <w:bCs w:val="0"/>
          <w:color w:val="2F5496" w:themeColor="accent1" w:themeShade="BF"/>
          <w:kern w:val="0"/>
          <w:sz w:val="32"/>
          <w:szCs w:val="32"/>
        </w:rPr>
        <w:t xml:space="preserve"> changes</w:t>
      </w:r>
      <w:bookmarkEnd w:id="0"/>
    </w:p>
    <w:p w14:paraId="0989E142" w14:textId="77777777" w:rsidR="00B270D7" w:rsidRPr="00B270D7" w:rsidRDefault="00B270D7" w:rsidP="00B270D7">
      <w:pPr>
        <w:pStyle w:val="Heading1"/>
        <w:keepNext/>
        <w:keepLines/>
        <w:spacing w:before="240" w:beforeAutospacing="0" w:after="0" w:afterAutospacing="0" w:line="259" w:lineRule="auto"/>
        <w:rPr>
          <w:rFonts w:ascii="Calibri" w:eastAsiaTheme="majorEastAsia" w:hAnsi="Calibri" w:cs="Calibri"/>
          <w:b w:val="0"/>
          <w:bCs w:val="0"/>
          <w:color w:val="2F5496" w:themeColor="accent1" w:themeShade="BF"/>
          <w:kern w:val="0"/>
          <w:sz w:val="32"/>
          <w:szCs w:val="32"/>
        </w:rPr>
      </w:pPr>
    </w:p>
    <w:p w14:paraId="3653A08C" w14:textId="1EEEB1F0" w:rsidR="002C66B4" w:rsidRPr="00B270D7" w:rsidRDefault="00B270D7" w:rsidP="002C66B4">
      <w:pPr>
        <w:rPr>
          <w:rFonts w:ascii="Calibri" w:hAnsi="Calibri" w:cs="Calibri"/>
        </w:rPr>
      </w:pPr>
      <w:r w:rsidRPr="00B270D7">
        <w:rPr>
          <w:rFonts w:ascii="Calibri" w:hAnsi="Calibri" w:cs="Calibri"/>
        </w:rPr>
        <w:t>T</w:t>
      </w:r>
      <w:r w:rsidR="002C66B4" w:rsidRPr="00B270D7">
        <w:rPr>
          <w:rFonts w:ascii="Calibri" w:hAnsi="Calibri" w:cs="Calibri"/>
        </w:rPr>
        <w:t>he CSC</w:t>
      </w:r>
      <w:r w:rsidRPr="00B270D7">
        <w:rPr>
          <w:rFonts w:ascii="Calibri" w:hAnsi="Calibri" w:cs="Calibri"/>
        </w:rPr>
        <w:t>, PTI and ICANN</w:t>
      </w:r>
      <w:r w:rsidR="002C66B4" w:rsidRPr="00B270D7">
        <w:rPr>
          <w:rFonts w:ascii="Calibri" w:hAnsi="Calibri" w:cs="Calibri"/>
        </w:rPr>
        <w:t xml:space="preserve"> worked to develop the new  “</w:t>
      </w:r>
      <w:hyperlink r:id="rId8" w:history="1">
        <w:r w:rsidR="002C66B4" w:rsidRPr="00B270D7">
          <w:rPr>
            <w:rStyle w:val="Hyperlink"/>
            <w:rFonts w:ascii="Calibri" w:hAnsi="Calibri" w:cs="Calibri"/>
          </w:rPr>
          <w:t>Process for Amending the IANA Naming Service Level Agreements</w:t>
        </w:r>
      </w:hyperlink>
      <w:r w:rsidR="002C66B4" w:rsidRPr="00B270D7">
        <w:rPr>
          <w:rFonts w:ascii="Calibri" w:hAnsi="Calibri" w:cs="Calibri"/>
          <w:lang w:val="en-AU"/>
        </w:rPr>
        <w:t>”</w:t>
      </w:r>
      <w:r w:rsidR="002C66B4" w:rsidRPr="00B270D7">
        <w:rPr>
          <w:rFonts w:ascii="Calibri" w:hAnsi="Calibri" w:cs="Calibri"/>
          <w:i/>
        </w:rPr>
        <w:t xml:space="preserve">.  </w:t>
      </w:r>
      <w:r w:rsidR="002C66B4" w:rsidRPr="00B270D7">
        <w:rPr>
          <w:rFonts w:ascii="Calibri" w:hAnsi="Calibri" w:cs="Calibri"/>
        </w:rPr>
        <w:t xml:space="preserve">The process provides for how to determine if an SLA should be modified, and the method for doing so with appropriate consultation and agreement levels.  This process contains safeguards and mechanisms to ensure that due diligence will be followed in making changes to the SLAs.  </w:t>
      </w:r>
    </w:p>
    <w:p w14:paraId="4142DC59" w14:textId="06389834" w:rsidR="002C66B4" w:rsidRPr="00B270D7" w:rsidRDefault="002C66B4" w:rsidP="002C66B4">
      <w:pPr>
        <w:rPr>
          <w:rFonts w:ascii="Calibri" w:hAnsi="Calibri" w:cs="Calibri"/>
        </w:rPr>
      </w:pPr>
      <w:r w:rsidRPr="00B270D7">
        <w:rPr>
          <w:rFonts w:ascii="Calibri" w:hAnsi="Calibri" w:cs="Calibri"/>
        </w:rPr>
        <w:t xml:space="preserve">None of the requirements in the process for amending IANA Naming SLAs override any obligations within the IANA Naming Functions Contract. </w:t>
      </w:r>
    </w:p>
    <w:p w14:paraId="7619C733" w14:textId="3EA25E86" w:rsidR="003A4446" w:rsidRPr="00B270D7" w:rsidRDefault="003A4446" w:rsidP="003A4446">
      <w:pPr>
        <w:pStyle w:val="BodyText"/>
        <w:tabs>
          <w:tab w:val="left" w:pos="1706"/>
        </w:tabs>
        <w:ind w:left="0" w:right="694"/>
        <w:rPr>
          <w:rFonts w:ascii="Calibri" w:hAnsi="Calibri" w:cs="Calibri"/>
        </w:rPr>
      </w:pPr>
      <w:r w:rsidRPr="00B270D7">
        <w:rPr>
          <w:rFonts w:ascii="Calibri" w:hAnsi="Calibri" w:cs="Calibri"/>
        </w:rPr>
        <w:t xml:space="preserve">Once the </w:t>
      </w:r>
      <w:r w:rsidR="004A61CB" w:rsidRPr="00B270D7">
        <w:rPr>
          <w:rFonts w:ascii="Calibri" w:hAnsi="Calibri" w:cs="Calibri"/>
        </w:rPr>
        <w:t>Amendment No. 1 to the IANA Naming Functions Contract is approved</w:t>
      </w:r>
      <w:r w:rsidRPr="00B270D7">
        <w:rPr>
          <w:rFonts w:ascii="Calibri" w:hAnsi="Calibri" w:cs="Calibri"/>
        </w:rPr>
        <w:t xml:space="preserve"> and the SLA Tables published on PTI’s webpage, the “</w:t>
      </w:r>
      <w:hyperlink r:id="rId9" w:history="1">
        <w:r w:rsidRPr="00B270D7">
          <w:rPr>
            <w:rFonts w:ascii="Calibri" w:hAnsi="Calibri" w:cs="Calibri"/>
          </w:rPr>
          <w:t>Process for Amending the IANA Naming Service Level Agreements</w:t>
        </w:r>
      </w:hyperlink>
      <w:r w:rsidRPr="00B270D7">
        <w:rPr>
          <w:rFonts w:ascii="Calibri" w:hAnsi="Calibri" w:cs="Calibri"/>
        </w:rPr>
        <w:t>” will be in effect as the mechanism for change.</w:t>
      </w:r>
    </w:p>
    <w:p w14:paraId="56EF8330" w14:textId="6E7E4644" w:rsidR="003A4446" w:rsidRPr="00B270D7" w:rsidRDefault="003A4446" w:rsidP="003A4446">
      <w:pPr>
        <w:pStyle w:val="BodyText"/>
        <w:tabs>
          <w:tab w:val="left" w:pos="1706"/>
        </w:tabs>
        <w:ind w:left="0" w:right="694"/>
        <w:rPr>
          <w:rFonts w:ascii="Calibri" w:hAnsi="Calibri" w:cs="Calibri"/>
        </w:rPr>
      </w:pPr>
    </w:p>
    <w:p w14:paraId="3C756C32" w14:textId="21D2CFA6" w:rsidR="001051E4" w:rsidRPr="00B270D7" w:rsidRDefault="001051E4" w:rsidP="002C2530">
      <w:pPr>
        <w:pStyle w:val="BodyText"/>
        <w:tabs>
          <w:tab w:val="left" w:pos="1706"/>
        </w:tabs>
        <w:ind w:left="0" w:right="694"/>
        <w:rPr>
          <w:rFonts w:ascii="Calibri" w:hAnsi="Calibri" w:cs="Calibri"/>
        </w:rPr>
      </w:pPr>
      <w:r w:rsidRPr="00B270D7">
        <w:rPr>
          <w:rFonts w:ascii="Calibri" w:hAnsi="Calibri" w:cs="Calibri"/>
        </w:rPr>
        <w:t>To date</w:t>
      </w:r>
      <w:r w:rsidR="00B270D7" w:rsidRPr="00B270D7">
        <w:rPr>
          <w:rFonts w:ascii="Calibri" w:hAnsi="Calibri" w:cs="Calibri"/>
        </w:rPr>
        <w:t>, the CSC, PTI and ICANN</w:t>
      </w:r>
      <w:r w:rsidRPr="00B270D7">
        <w:rPr>
          <w:rFonts w:ascii="Calibri" w:hAnsi="Calibri" w:cs="Calibri"/>
        </w:rPr>
        <w:t xml:space="preserve"> have discussed amendments or creation of several SLAs: </w:t>
      </w:r>
    </w:p>
    <w:p w14:paraId="6DDC9BAC" w14:textId="5AAFF368" w:rsidR="001051E4" w:rsidRPr="00B270D7" w:rsidRDefault="001051E4" w:rsidP="001051E4">
      <w:pPr>
        <w:pStyle w:val="BodyText"/>
        <w:tabs>
          <w:tab w:val="left" w:pos="1706"/>
        </w:tabs>
        <w:ind w:left="0" w:right="694"/>
        <w:rPr>
          <w:rFonts w:ascii="Calibri" w:hAnsi="Calibri" w:cs="Calibri"/>
        </w:rPr>
      </w:pPr>
    </w:p>
    <w:p w14:paraId="335B33F5" w14:textId="7A85EE0C" w:rsidR="00254A07" w:rsidRPr="002C2530" w:rsidRDefault="001051E4" w:rsidP="002C2530">
      <w:pPr>
        <w:pStyle w:val="BodyText"/>
        <w:numPr>
          <w:ilvl w:val="0"/>
          <w:numId w:val="13"/>
        </w:numPr>
        <w:tabs>
          <w:tab w:val="left" w:pos="1706"/>
        </w:tabs>
        <w:ind w:right="694"/>
        <w:rPr>
          <w:rFonts w:ascii="Calibri" w:hAnsi="Calibri" w:cs="Calibri"/>
        </w:rPr>
      </w:pPr>
      <w:r w:rsidRPr="00B270D7">
        <w:rPr>
          <w:rFonts w:ascii="Calibri" w:hAnsi="Calibri" w:cs="Calibri"/>
        </w:rPr>
        <w:t>Technical Checks</w:t>
      </w:r>
    </w:p>
    <w:p w14:paraId="5B00E12D" w14:textId="107969E1" w:rsidR="001051E4" w:rsidRPr="00B270D7" w:rsidRDefault="001051E4" w:rsidP="001051E4">
      <w:pPr>
        <w:pStyle w:val="BodyText"/>
        <w:numPr>
          <w:ilvl w:val="0"/>
          <w:numId w:val="13"/>
        </w:numPr>
        <w:tabs>
          <w:tab w:val="left" w:pos="1706"/>
        </w:tabs>
        <w:ind w:right="694"/>
        <w:rPr>
          <w:rFonts w:ascii="Calibri" w:hAnsi="Calibri" w:cs="Calibri"/>
        </w:rPr>
      </w:pPr>
      <w:r w:rsidRPr="00B270D7">
        <w:rPr>
          <w:rFonts w:ascii="Calibri" w:hAnsi="Calibri" w:cs="Calibri"/>
        </w:rPr>
        <w:t xml:space="preserve">IDN Tables or LGRs </w:t>
      </w:r>
    </w:p>
    <w:p w14:paraId="59FA8DC8" w14:textId="15E9D4AB" w:rsidR="001051E4" w:rsidRDefault="001051E4" w:rsidP="001051E4">
      <w:pPr>
        <w:pStyle w:val="BodyText"/>
        <w:numPr>
          <w:ilvl w:val="0"/>
          <w:numId w:val="13"/>
        </w:numPr>
        <w:tabs>
          <w:tab w:val="left" w:pos="1706"/>
        </w:tabs>
        <w:ind w:right="694"/>
        <w:rPr>
          <w:rFonts w:ascii="Calibri" w:hAnsi="Calibri" w:cs="Calibri"/>
        </w:rPr>
      </w:pPr>
      <w:r w:rsidRPr="00B270D7">
        <w:rPr>
          <w:rFonts w:ascii="Calibri" w:hAnsi="Calibri" w:cs="Calibri"/>
        </w:rPr>
        <w:t>ccTLD creation or transfer pending further collaboration on the nature of SLAs</w:t>
      </w:r>
    </w:p>
    <w:p w14:paraId="28C863C0" w14:textId="2AA7855B" w:rsidR="00904CEC" w:rsidRDefault="00904CEC" w:rsidP="00904CEC">
      <w:pPr>
        <w:pStyle w:val="BodyText"/>
        <w:tabs>
          <w:tab w:val="left" w:pos="1706"/>
        </w:tabs>
        <w:ind w:left="0" w:right="694"/>
        <w:rPr>
          <w:rFonts w:ascii="Calibri" w:hAnsi="Calibri" w:cs="Calibri"/>
        </w:rPr>
      </w:pPr>
    </w:p>
    <w:p w14:paraId="485C8883" w14:textId="77777777" w:rsidR="00254A07" w:rsidRDefault="00254A07" w:rsidP="00254A07">
      <w:pPr>
        <w:pStyle w:val="BodyText"/>
        <w:tabs>
          <w:tab w:val="left" w:pos="1706"/>
        </w:tabs>
        <w:ind w:left="0" w:right="694"/>
        <w:rPr>
          <w:rFonts w:ascii="Calibri" w:hAnsi="Calibri" w:cs="Calibri"/>
          <w:b/>
        </w:rPr>
      </w:pPr>
    </w:p>
    <w:p w14:paraId="51BA54C2" w14:textId="3C613E4F" w:rsidR="00254A07" w:rsidRPr="003B2045" w:rsidRDefault="00254A07" w:rsidP="00254A07">
      <w:pPr>
        <w:pStyle w:val="BodyText"/>
        <w:tabs>
          <w:tab w:val="left" w:pos="1706"/>
        </w:tabs>
        <w:ind w:left="0" w:right="694"/>
        <w:rPr>
          <w:rFonts w:ascii="Calibri" w:hAnsi="Calibri" w:cs="Calibri"/>
          <w:b/>
          <w:u w:val="single"/>
        </w:rPr>
      </w:pPr>
      <w:r w:rsidRPr="003B2045">
        <w:rPr>
          <w:rFonts w:ascii="Calibri" w:hAnsi="Calibri" w:cs="Calibri"/>
          <w:b/>
          <w:u w:val="single"/>
        </w:rPr>
        <w:t>Sequencing of the proposed SLA changes/creation</w:t>
      </w:r>
    </w:p>
    <w:p w14:paraId="77B3CE45" w14:textId="1F717CE4" w:rsidR="00904CEC" w:rsidRDefault="00904CEC" w:rsidP="00904CEC">
      <w:pPr>
        <w:pStyle w:val="BodyText"/>
        <w:tabs>
          <w:tab w:val="left" w:pos="1706"/>
        </w:tabs>
        <w:ind w:left="0" w:right="694"/>
        <w:rPr>
          <w:rFonts w:ascii="Calibri" w:hAnsi="Calibri" w:cs="Calibri"/>
        </w:rPr>
      </w:pPr>
    </w:p>
    <w:p w14:paraId="4B7F5C47" w14:textId="52D0517F" w:rsidR="00254A07" w:rsidRDefault="00254A07" w:rsidP="00254A07">
      <w:pPr>
        <w:pStyle w:val="BodyText"/>
        <w:tabs>
          <w:tab w:val="left" w:pos="1706"/>
        </w:tabs>
        <w:ind w:left="0" w:right="694"/>
        <w:rPr>
          <w:rFonts w:ascii="Calibri" w:hAnsi="Calibri" w:cs="Calibri"/>
        </w:rPr>
      </w:pPr>
      <w:r>
        <w:rPr>
          <w:rFonts w:ascii="Calibri" w:hAnsi="Calibri" w:cs="Calibri"/>
        </w:rPr>
        <w:t xml:space="preserve">Determining the roll-out strategy for the sequence of change proposals, and whether each is done individually or grouped together should be based on the differences between </w:t>
      </w:r>
      <w:r w:rsidR="00752233">
        <w:rPr>
          <w:rFonts w:ascii="Calibri" w:hAnsi="Calibri" w:cs="Calibri"/>
        </w:rPr>
        <w:t>1) the required process steps for that particular SLA Change type and 2) how far along in the change process each proposed SLA change is today.</w:t>
      </w:r>
    </w:p>
    <w:p w14:paraId="61A817B4" w14:textId="20EDF6EA" w:rsidR="00254A07" w:rsidRDefault="00254A07" w:rsidP="00254A07">
      <w:pPr>
        <w:pStyle w:val="BodyText"/>
        <w:tabs>
          <w:tab w:val="left" w:pos="1706"/>
        </w:tabs>
        <w:ind w:left="0" w:right="694"/>
        <w:rPr>
          <w:rFonts w:ascii="Calibri" w:hAnsi="Calibri" w:cs="Calibri"/>
        </w:rPr>
      </w:pPr>
    </w:p>
    <w:p w14:paraId="2FD2EE6F" w14:textId="4D63A862" w:rsidR="003B2045" w:rsidRDefault="00752233" w:rsidP="003B2045">
      <w:pPr>
        <w:pStyle w:val="BodyText"/>
        <w:tabs>
          <w:tab w:val="left" w:pos="1706"/>
        </w:tabs>
        <w:ind w:left="0" w:right="694"/>
        <w:rPr>
          <w:rFonts w:ascii="Calibri" w:hAnsi="Calibri" w:cs="Calibri"/>
        </w:rPr>
      </w:pPr>
      <w:r w:rsidRPr="003B2045">
        <w:rPr>
          <w:rFonts w:ascii="Calibri" w:hAnsi="Calibri" w:cs="Calibri"/>
          <w:i/>
        </w:rPr>
        <w:t>Required Process Steps:</w:t>
      </w:r>
      <w:r w:rsidR="003B2045">
        <w:rPr>
          <w:rFonts w:ascii="Calibri" w:hAnsi="Calibri" w:cs="Calibri"/>
        </w:rPr>
        <w:t xml:space="preserve">  T</w:t>
      </w:r>
      <w:r w:rsidR="003B2045" w:rsidRPr="00B270D7">
        <w:rPr>
          <w:rFonts w:ascii="Calibri" w:hAnsi="Calibri" w:cs="Calibri"/>
        </w:rPr>
        <w:t>here are four different categories of SLA changes with differing community consultations</w:t>
      </w:r>
      <w:r w:rsidR="003B2045">
        <w:rPr>
          <w:rFonts w:ascii="Calibri" w:hAnsi="Calibri" w:cs="Calibri"/>
        </w:rPr>
        <w:t xml:space="preserve">: </w:t>
      </w:r>
    </w:p>
    <w:p w14:paraId="4A11E700" w14:textId="77777777" w:rsidR="003B2045" w:rsidRPr="002C2530" w:rsidRDefault="003B2045" w:rsidP="003B2045">
      <w:pPr>
        <w:pStyle w:val="BodyText"/>
        <w:numPr>
          <w:ilvl w:val="0"/>
          <w:numId w:val="6"/>
        </w:numPr>
        <w:tabs>
          <w:tab w:val="left" w:pos="1994"/>
        </w:tabs>
        <w:spacing w:line="252" w:lineRule="exact"/>
        <w:ind w:left="1993"/>
        <w:rPr>
          <w:rFonts w:asciiTheme="minorHAnsi" w:hAnsiTheme="minorHAnsi" w:cstheme="minorHAnsi"/>
        </w:rPr>
      </w:pPr>
      <w:bookmarkStart w:id="1" w:name="_Hlk2354374"/>
      <w:r w:rsidRPr="002C2530">
        <w:rPr>
          <w:rFonts w:asciiTheme="minorHAnsi" w:hAnsiTheme="minorHAnsi" w:cstheme="minorHAnsi"/>
          <w:spacing w:val="-1"/>
        </w:rPr>
        <w:t>New</w:t>
      </w:r>
      <w:r w:rsidRPr="002C2530">
        <w:rPr>
          <w:rFonts w:asciiTheme="minorHAnsi" w:hAnsiTheme="minorHAnsi" w:cstheme="minorHAnsi"/>
          <w:spacing w:val="-3"/>
        </w:rPr>
        <w:t xml:space="preserve"> </w:t>
      </w:r>
      <w:r w:rsidRPr="002C2530">
        <w:rPr>
          <w:rFonts w:asciiTheme="minorHAnsi" w:hAnsiTheme="minorHAnsi" w:cstheme="minorHAnsi"/>
          <w:spacing w:val="-1"/>
        </w:rPr>
        <w:t>SLA Item</w:t>
      </w:r>
    </w:p>
    <w:p w14:paraId="2BD7BA33" w14:textId="77777777" w:rsidR="003B2045" w:rsidRPr="002C2530" w:rsidRDefault="003B2045" w:rsidP="003B2045">
      <w:pPr>
        <w:pStyle w:val="BodyText"/>
        <w:numPr>
          <w:ilvl w:val="0"/>
          <w:numId w:val="6"/>
        </w:numPr>
        <w:tabs>
          <w:tab w:val="left" w:pos="2042"/>
        </w:tabs>
        <w:spacing w:line="252" w:lineRule="exact"/>
        <w:ind w:left="2041" w:hanging="221"/>
        <w:rPr>
          <w:rFonts w:asciiTheme="minorHAnsi" w:hAnsiTheme="minorHAnsi" w:cstheme="minorHAnsi"/>
        </w:rPr>
      </w:pPr>
      <w:r w:rsidRPr="002C2530">
        <w:rPr>
          <w:rFonts w:asciiTheme="minorHAnsi" w:hAnsiTheme="minorHAnsi" w:cstheme="minorHAnsi"/>
          <w:spacing w:val="-1"/>
        </w:rPr>
        <w:t>Remove</w:t>
      </w:r>
      <w:r w:rsidRPr="002C2530">
        <w:rPr>
          <w:rFonts w:asciiTheme="minorHAnsi" w:hAnsiTheme="minorHAnsi" w:cstheme="minorHAnsi"/>
        </w:rPr>
        <w:t xml:space="preserve"> SLA</w:t>
      </w:r>
      <w:r w:rsidRPr="002C2530">
        <w:rPr>
          <w:rFonts w:asciiTheme="minorHAnsi" w:hAnsiTheme="minorHAnsi" w:cstheme="minorHAnsi"/>
          <w:spacing w:val="-1"/>
        </w:rPr>
        <w:t xml:space="preserve"> Item</w:t>
      </w:r>
    </w:p>
    <w:p w14:paraId="0E0F1025" w14:textId="77777777" w:rsidR="003B2045" w:rsidRPr="002C2530" w:rsidRDefault="003B2045" w:rsidP="003B2045">
      <w:pPr>
        <w:pStyle w:val="BodyText"/>
        <w:numPr>
          <w:ilvl w:val="0"/>
          <w:numId w:val="6"/>
        </w:numPr>
        <w:tabs>
          <w:tab w:val="left" w:pos="2090"/>
        </w:tabs>
        <w:spacing w:line="252" w:lineRule="exact"/>
        <w:ind w:left="2089" w:hanging="269"/>
        <w:rPr>
          <w:rFonts w:asciiTheme="minorHAnsi" w:hAnsiTheme="minorHAnsi" w:cstheme="minorHAnsi"/>
        </w:rPr>
      </w:pPr>
      <w:r w:rsidRPr="002C2530">
        <w:rPr>
          <w:rFonts w:asciiTheme="minorHAnsi" w:hAnsiTheme="minorHAnsi" w:cstheme="minorHAnsi"/>
          <w:spacing w:val="-1"/>
        </w:rPr>
        <w:t>Change</w:t>
      </w:r>
      <w:r w:rsidRPr="002C2530">
        <w:rPr>
          <w:rFonts w:asciiTheme="minorHAnsi" w:hAnsiTheme="minorHAnsi" w:cstheme="minorHAnsi"/>
        </w:rPr>
        <w:t xml:space="preserve"> SLA</w:t>
      </w:r>
      <w:r w:rsidRPr="002C2530">
        <w:rPr>
          <w:rFonts w:asciiTheme="minorHAnsi" w:hAnsiTheme="minorHAnsi" w:cstheme="minorHAnsi"/>
          <w:spacing w:val="-3"/>
        </w:rPr>
        <w:t xml:space="preserve"> </w:t>
      </w:r>
      <w:r w:rsidRPr="002C2530">
        <w:rPr>
          <w:rFonts w:asciiTheme="minorHAnsi" w:hAnsiTheme="minorHAnsi" w:cstheme="minorHAnsi"/>
          <w:spacing w:val="-1"/>
        </w:rPr>
        <w:t>Item definition</w:t>
      </w:r>
      <w:r w:rsidRPr="002C2530">
        <w:rPr>
          <w:rFonts w:asciiTheme="minorHAnsi" w:hAnsiTheme="minorHAnsi" w:cstheme="minorHAnsi"/>
        </w:rPr>
        <w:t xml:space="preserve"> </w:t>
      </w:r>
      <w:r w:rsidRPr="002C2530">
        <w:rPr>
          <w:rFonts w:asciiTheme="minorHAnsi" w:hAnsiTheme="minorHAnsi" w:cstheme="minorHAnsi"/>
          <w:spacing w:val="-1"/>
        </w:rPr>
        <w:t>and</w:t>
      </w:r>
      <w:r w:rsidRPr="002C2530">
        <w:rPr>
          <w:rFonts w:asciiTheme="minorHAnsi" w:hAnsiTheme="minorHAnsi" w:cstheme="minorHAnsi"/>
        </w:rPr>
        <w:t xml:space="preserve"> </w:t>
      </w:r>
      <w:r w:rsidRPr="002C2530">
        <w:rPr>
          <w:rFonts w:asciiTheme="minorHAnsi" w:hAnsiTheme="minorHAnsi" w:cstheme="minorHAnsi"/>
          <w:spacing w:val="-1"/>
        </w:rPr>
        <w:t>target/threshold</w:t>
      </w:r>
    </w:p>
    <w:p w14:paraId="72EB1835" w14:textId="77777777" w:rsidR="003B2045" w:rsidRPr="002C2530" w:rsidRDefault="003B2045" w:rsidP="003B2045">
      <w:pPr>
        <w:pStyle w:val="BodyText"/>
        <w:numPr>
          <w:ilvl w:val="0"/>
          <w:numId w:val="6"/>
        </w:numPr>
        <w:tabs>
          <w:tab w:val="left" w:pos="2102"/>
        </w:tabs>
        <w:spacing w:before="1"/>
        <w:ind w:left="2101" w:hanging="281"/>
        <w:rPr>
          <w:rFonts w:asciiTheme="minorHAnsi" w:hAnsiTheme="minorHAnsi" w:cstheme="minorHAnsi"/>
        </w:rPr>
      </w:pPr>
      <w:r w:rsidRPr="002C2530">
        <w:rPr>
          <w:rFonts w:asciiTheme="minorHAnsi" w:hAnsiTheme="minorHAnsi" w:cstheme="minorHAnsi"/>
          <w:spacing w:val="-1"/>
        </w:rPr>
        <w:t>Change</w:t>
      </w:r>
      <w:r w:rsidRPr="002C2530">
        <w:rPr>
          <w:rFonts w:asciiTheme="minorHAnsi" w:hAnsiTheme="minorHAnsi" w:cstheme="minorHAnsi"/>
        </w:rPr>
        <w:t xml:space="preserve"> SLA</w:t>
      </w:r>
      <w:r w:rsidRPr="002C2530">
        <w:rPr>
          <w:rFonts w:asciiTheme="minorHAnsi" w:hAnsiTheme="minorHAnsi" w:cstheme="minorHAnsi"/>
          <w:spacing w:val="-3"/>
        </w:rPr>
        <w:t xml:space="preserve"> </w:t>
      </w:r>
      <w:r w:rsidRPr="002C2530">
        <w:rPr>
          <w:rFonts w:asciiTheme="minorHAnsi" w:hAnsiTheme="minorHAnsi" w:cstheme="minorHAnsi"/>
          <w:spacing w:val="-1"/>
        </w:rPr>
        <w:t>Item</w:t>
      </w:r>
      <w:r w:rsidRPr="002C2530">
        <w:rPr>
          <w:rFonts w:asciiTheme="minorHAnsi" w:hAnsiTheme="minorHAnsi" w:cstheme="minorHAnsi"/>
        </w:rPr>
        <w:t xml:space="preserve"> </w:t>
      </w:r>
      <w:r w:rsidRPr="002C2530">
        <w:rPr>
          <w:rFonts w:asciiTheme="minorHAnsi" w:hAnsiTheme="minorHAnsi" w:cstheme="minorHAnsi"/>
          <w:spacing w:val="-1"/>
        </w:rPr>
        <w:t>target/threshold</w:t>
      </w:r>
      <w:r w:rsidRPr="002C2530">
        <w:rPr>
          <w:rFonts w:asciiTheme="minorHAnsi" w:hAnsiTheme="minorHAnsi" w:cstheme="minorHAnsi"/>
          <w:spacing w:val="-2"/>
        </w:rPr>
        <w:t xml:space="preserve"> </w:t>
      </w:r>
      <w:r w:rsidRPr="002C2530">
        <w:rPr>
          <w:rFonts w:asciiTheme="minorHAnsi" w:hAnsiTheme="minorHAnsi" w:cstheme="minorHAnsi"/>
          <w:spacing w:val="-1"/>
        </w:rPr>
        <w:t>only</w:t>
      </w:r>
    </w:p>
    <w:bookmarkEnd w:id="1"/>
    <w:p w14:paraId="400C8F02" w14:textId="77777777" w:rsidR="003B2045" w:rsidRDefault="003B2045" w:rsidP="003B2045">
      <w:pPr>
        <w:pStyle w:val="BodyText"/>
        <w:tabs>
          <w:tab w:val="left" w:pos="1706"/>
        </w:tabs>
        <w:ind w:left="0" w:right="694"/>
        <w:rPr>
          <w:rFonts w:ascii="Calibri" w:hAnsi="Calibri" w:cs="Calibri"/>
        </w:rPr>
      </w:pPr>
    </w:p>
    <w:p w14:paraId="3CD70CFA" w14:textId="77777777" w:rsidR="003B2045" w:rsidRPr="00B270D7" w:rsidRDefault="003B2045" w:rsidP="003B2045">
      <w:pPr>
        <w:pStyle w:val="BodyText"/>
        <w:tabs>
          <w:tab w:val="left" w:pos="1706"/>
        </w:tabs>
        <w:ind w:left="0" w:right="694"/>
        <w:rPr>
          <w:rFonts w:ascii="Calibri" w:hAnsi="Calibri" w:cs="Calibri"/>
        </w:rPr>
      </w:pPr>
      <w:r>
        <w:rPr>
          <w:rFonts w:ascii="Calibri" w:hAnsi="Calibri" w:cs="Calibri"/>
        </w:rPr>
        <w:t xml:space="preserve">Category </w:t>
      </w:r>
      <w:proofErr w:type="spellStart"/>
      <w:r>
        <w:rPr>
          <w:rFonts w:ascii="Calibri" w:hAnsi="Calibri" w:cs="Calibri"/>
        </w:rPr>
        <w:t>i</w:t>
      </w:r>
      <w:proofErr w:type="spellEnd"/>
      <w:r>
        <w:rPr>
          <w:rFonts w:ascii="Calibri" w:hAnsi="Calibri" w:cs="Calibri"/>
        </w:rPr>
        <w:t xml:space="preserve">, ii and iii require more process milestones which increase the timeline.  The additional process milestones are due to a required public comment and formal approval by the GNSO Council and </w:t>
      </w:r>
      <w:proofErr w:type="spellStart"/>
      <w:r>
        <w:rPr>
          <w:rFonts w:ascii="Calibri" w:hAnsi="Calibri" w:cs="Calibri"/>
        </w:rPr>
        <w:t>ccNSO</w:t>
      </w:r>
      <w:proofErr w:type="spellEnd"/>
      <w:r>
        <w:rPr>
          <w:rFonts w:ascii="Calibri" w:hAnsi="Calibri" w:cs="Calibri"/>
        </w:rPr>
        <w:t xml:space="preserve"> Council, both which have minimum day requirements. Category iv does not require a public comment or GNSO Council and </w:t>
      </w:r>
      <w:proofErr w:type="spellStart"/>
      <w:r>
        <w:rPr>
          <w:rFonts w:ascii="Calibri" w:hAnsi="Calibri" w:cs="Calibri"/>
        </w:rPr>
        <w:t>ccNSO</w:t>
      </w:r>
      <w:proofErr w:type="spellEnd"/>
      <w:r>
        <w:rPr>
          <w:rFonts w:ascii="Calibri" w:hAnsi="Calibri" w:cs="Calibri"/>
        </w:rPr>
        <w:t xml:space="preserve"> Council approvals, and therefor can be rolled out quickly once agreement on the new threshold has been achieved.</w:t>
      </w:r>
    </w:p>
    <w:p w14:paraId="2C25316F" w14:textId="44634821" w:rsidR="00752233" w:rsidRDefault="00752233" w:rsidP="00254A07">
      <w:pPr>
        <w:pStyle w:val="BodyText"/>
        <w:tabs>
          <w:tab w:val="left" w:pos="1706"/>
        </w:tabs>
        <w:ind w:left="0" w:right="694"/>
        <w:rPr>
          <w:rFonts w:ascii="Calibri" w:hAnsi="Calibri" w:cs="Calibri"/>
        </w:rPr>
      </w:pPr>
    </w:p>
    <w:p w14:paraId="0107D3A7" w14:textId="77777777" w:rsidR="00752233" w:rsidRDefault="00752233" w:rsidP="00254A07">
      <w:pPr>
        <w:pStyle w:val="BodyText"/>
        <w:tabs>
          <w:tab w:val="left" w:pos="1706"/>
        </w:tabs>
        <w:ind w:left="0" w:right="694"/>
        <w:rPr>
          <w:rFonts w:ascii="Calibri" w:hAnsi="Calibri" w:cs="Calibri"/>
        </w:rPr>
      </w:pPr>
    </w:p>
    <w:p w14:paraId="3102F630" w14:textId="4DFB7546" w:rsidR="002C2530" w:rsidRDefault="00752233" w:rsidP="00254A07">
      <w:pPr>
        <w:pStyle w:val="BodyText"/>
        <w:tabs>
          <w:tab w:val="left" w:pos="1706"/>
        </w:tabs>
        <w:ind w:left="0" w:right="694"/>
        <w:rPr>
          <w:rFonts w:ascii="Calibri" w:hAnsi="Calibri" w:cs="Calibri"/>
        </w:rPr>
      </w:pPr>
      <w:r w:rsidRPr="003B2045">
        <w:rPr>
          <w:rFonts w:ascii="Calibri" w:hAnsi="Calibri" w:cs="Calibri"/>
          <w:i/>
        </w:rPr>
        <w:t>Where each proposed SLA is within the change process:</w:t>
      </w:r>
      <w:r>
        <w:rPr>
          <w:rFonts w:ascii="Calibri" w:hAnsi="Calibri" w:cs="Calibri"/>
        </w:rPr>
        <w:t xml:space="preserve">  </w:t>
      </w:r>
      <w:r w:rsidR="002C2530">
        <w:rPr>
          <w:rFonts w:ascii="Calibri" w:hAnsi="Calibri" w:cs="Calibri"/>
        </w:rPr>
        <w:t xml:space="preserve">The Change Process has two key phases; the first is gaining agreement between the CSC, PTI and ICANN about a final SLA change recommendation; the second phase are the steps to gain community agreement, formulate a </w:t>
      </w:r>
      <w:r w:rsidR="002C2530">
        <w:rPr>
          <w:rFonts w:ascii="Calibri" w:hAnsi="Calibri" w:cs="Calibri"/>
        </w:rPr>
        <w:lastRenderedPageBreak/>
        <w:t>more concrete implementation plan and then complete the SLA request.</w:t>
      </w:r>
    </w:p>
    <w:p w14:paraId="42CEE9F4" w14:textId="16F20238" w:rsidR="00403A23" w:rsidRDefault="00403A23" w:rsidP="00254A07">
      <w:pPr>
        <w:pStyle w:val="BodyText"/>
        <w:tabs>
          <w:tab w:val="left" w:pos="1706"/>
        </w:tabs>
        <w:ind w:left="0" w:right="694"/>
        <w:rPr>
          <w:rFonts w:ascii="Calibri" w:hAnsi="Calibri" w:cs="Calibri"/>
        </w:rPr>
      </w:pPr>
    </w:p>
    <w:p w14:paraId="5D4BEA3F" w14:textId="77777777" w:rsidR="00403A23" w:rsidRDefault="00403A23" w:rsidP="00254A07">
      <w:pPr>
        <w:pStyle w:val="BodyText"/>
        <w:tabs>
          <w:tab w:val="left" w:pos="1706"/>
        </w:tabs>
        <w:ind w:left="0" w:right="694"/>
        <w:rPr>
          <w:rFonts w:ascii="Calibri" w:hAnsi="Calibri" w:cs="Calibri"/>
        </w:rPr>
      </w:pPr>
    </w:p>
    <w:p w14:paraId="0692F2E8" w14:textId="0EF6454F" w:rsidR="00403A23" w:rsidRPr="002C2530" w:rsidRDefault="00637F7D" w:rsidP="00637F7D">
      <w:pPr>
        <w:pStyle w:val="BodyText"/>
        <w:tabs>
          <w:tab w:val="left" w:pos="2102"/>
        </w:tabs>
        <w:spacing w:before="1"/>
        <w:ind w:left="0"/>
        <w:rPr>
          <w:rFonts w:asciiTheme="minorHAnsi" w:hAnsiTheme="minorHAnsi" w:cstheme="minorHAnsi"/>
        </w:rPr>
      </w:pPr>
      <w:r>
        <w:rPr>
          <w:rFonts w:asciiTheme="minorHAnsi" w:hAnsiTheme="minorHAnsi" w:cstheme="minorHAnsi"/>
          <w:spacing w:val="-1"/>
        </w:rPr>
        <w:t xml:space="preserve">The three planned SLA changes </w:t>
      </w:r>
      <w:r w:rsidR="00EC14ED">
        <w:rPr>
          <w:rFonts w:asciiTheme="minorHAnsi" w:hAnsiTheme="minorHAnsi" w:cstheme="minorHAnsi"/>
          <w:spacing w:val="-1"/>
        </w:rPr>
        <w:t xml:space="preserve">each require a different level of community consultation/approvals OR are at a different stage in the change process.  For this </w:t>
      </w:r>
      <w:proofErr w:type="gramStart"/>
      <w:r w:rsidR="00EC14ED">
        <w:rPr>
          <w:rFonts w:asciiTheme="minorHAnsi" w:hAnsiTheme="minorHAnsi" w:cstheme="minorHAnsi"/>
          <w:spacing w:val="-1"/>
        </w:rPr>
        <w:t>reason</w:t>
      </w:r>
      <w:proofErr w:type="gramEnd"/>
      <w:r w:rsidR="00EC14ED">
        <w:rPr>
          <w:rFonts w:asciiTheme="minorHAnsi" w:hAnsiTheme="minorHAnsi" w:cstheme="minorHAnsi"/>
          <w:spacing w:val="-1"/>
        </w:rPr>
        <w:t xml:space="preserve"> it is recommended that the three SLA Change requests be handled separately. </w:t>
      </w:r>
    </w:p>
    <w:p w14:paraId="04DC04FF" w14:textId="77777777" w:rsidR="00403A23" w:rsidRDefault="00403A23" w:rsidP="00254A07">
      <w:pPr>
        <w:pStyle w:val="BodyText"/>
        <w:tabs>
          <w:tab w:val="left" w:pos="1706"/>
        </w:tabs>
        <w:ind w:left="0" w:right="694"/>
        <w:rPr>
          <w:rFonts w:ascii="Calibri" w:hAnsi="Calibri" w:cs="Calibri"/>
        </w:rPr>
      </w:pPr>
    </w:p>
    <w:p w14:paraId="1FBBFCED" w14:textId="21BA470D" w:rsidR="002C2530" w:rsidRDefault="002C2530" w:rsidP="00254A07">
      <w:pPr>
        <w:pStyle w:val="BodyText"/>
        <w:tabs>
          <w:tab w:val="left" w:pos="1706"/>
        </w:tabs>
        <w:ind w:left="0" w:right="694"/>
        <w:rPr>
          <w:rFonts w:ascii="Calibri" w:hAnsi="Calibri" w:cs="Calibri"/>
        </w:rPr>
      </w:pPr>
    </w:p>
    <w:p w14:paraId="02447B51" w14:textId="183B91BE" w:rsidR="00403A23" w:rsidRDefault="00403A23" w:rsidP="00254A07">
      <w:pPr>
        <w:pStyle w:val="BodyText"/>
        <w:tabs>
          <w:tab w:val="left" w:pos="1706"/>
        </w:tabs>
        <w:ind w:left="0" w:right="694"/>
        <w:rPr>
          <w:rFonts w:ascii="Calibri" w:hAnsi="Calibri" w:cs="Calibri"/>
        </w:rPr>
      </w:pPr>
    </w:p>
    <w:tbl>
      <w:tblPr>
        <w:tblStyle w:val="TableGrid"/>
        <w:tblW w:w="0" w:type="auto"/>
        <w:tblLook w:val="04A0" w:firstRow="1" w:lastRow="0" w:firstColumn="1" w:lastColumn="0" w:noHBand="0" w:noVBand="1"/>
      </w:tblPr>
      <w:tblGrid>
        <w:gridCol w:w="2343"/>
        <w:gridCol w:w="2032"/>
        <w:gridCol w:w="2321"/>
        <w:gridCol w:w="2654"/>
      </w:tblGrid>
      <w:tr w:rsidR="00EC14ED" w14:paraId="2F1730B1" w14:textId="77777777" w:rsidTr="00EC14ED">
        <w:tc>
          <w:tcPr>
            <w:tcW w:w="2425" w:type="dxa"/>
          </w:tcPr>
          <w:p w14:paraId="058B4CAF" w14:textId="77777777" w:rsidR="00403A23" w:rsidRDefault="00403A23" w:rsidP="00254A07">
            <w:pPr>
              <w:pStyle w:val="BodyText"/>
              <w:tabs>
                <w:tab w:val="left" w:pos="1706"/>
              </w:tabs>
              <w:ind w:left="0" w:right="694"/>
              <w:rPr>
                <w:rFonts w:ascii="Calibri" w:hAnsi="Calibri" w:cs="Calibri"/>
              </w:rPr>
            </w:pPr>
          </w:p>
        </w:tc>
        <w:tc>
          <w:tcPr>
            <w:tcW w:w="1686" w:type="dxa"/>
          </w:tcPr>
          <w:p w14:paraId="069C1089" w14:textId="77777777" w:rsidR="00403A23" w:rsidRPr="002B0387" w:rsidRDefault="00403A23" w:rsidP="002B0387">
            <w:pPr>
              <w:pStyle w:val="BodyText"/>
              <w:tabs>
                <w:tab w:val="left" w:pos="1706"/>
              </w:tabs>
              <w:ind w:left="0" w:right="694"/>
              <w:jc w:val="center"/>
              <w:rPr>
                <w:rFonts w:ascii="Calibri" w:hAnsi="Calibri" w:cs="Calibri"/>
                <w:b/>
              </w:rPr>
            </w:pPr>
            <w:r w:rsidRPr="002B0387">
              <w:rPr>
                <w:rFonts w:ascii="Calibri" w:hAnsi="Calibri" w:cs="Calibri"/>
                <w:b/>
              </w:rPr>
              <w:t>Technical Checks</w:t>
            </w:r>
          </w:p>
          <w:p w14:paraId="4C098621" w14:textId="77777777" w:rsidR="00403A23" w:rsidRPr="002B0387" w:rsidRDefault="00403A23" w:rsidP="002B0387">
            <w:pPr>
              <w:pStyle w:val="BodyText"/>
              <w:tabs>
                <w:tab w:val="left" w:pos="1706"/>
              </w:tabs>
              <w:ind w:left="0" w:right="694"/>
              <w:jc w:val="center"/>
              <w:rPr>
                <w:rFonts w:ascii="Calibri" w:hAnsi="Calibri" w:cs="Calibri"/>
                <w:b/>
              </w:rPr>
            </w:pPr>
          </w:p>
        </w:tc>
        <w:tc>
          <w:tcPr>
            <w:tcW w:w="2378" w:type="dxa"/>
          </w:tcPr>
          <w:p w14:paraId="222D25F9" w14:textId="47864B34" w:rsidR="00403A23" w:rsidRPr="002B0387" w:rsidRDefault="00403A23" w:rsidP="002B0387">
            <w:pPr>
              <w:pStyle w:val="BodyText"/>
              <w:tabs>
                <w:tab w:val="left" w:pos="1706"/>
              </w:tabs>
              <w:ind w:left="0" w:right="694"/>
              <w:jc w:val="center"/>
              <w:rPr>
                <w:rFonts w:ascii="Calibri" w:hAnsi="Calibri" w:cs="Calibri"/>
                <w:b/>
              </w:rPr>
            </w:pPr>
            <w:r w:rsidRPr="002B0387">
              <w:rPr>
                <w:rFonts w:ascii="Calibri" w:hAnsi="Calibri" w:cs="Calibri"/>
                <w:b/>
              </w:rPr>
              <w:t>IDN Tables or LGRs</w:t>
            </w:r>
          </w:p>
          <w:p w14:paraId="246B6E71" w14:textId="77777777" w:rsidR="00403A23" w:rsidRPr="002B0387" w:rsidRDefault="00403A23" w:rsidP="002B0387">
            <w:pPr>
              <w:pStyle w:val="BodyText"/>
              <w:tabs>
                <w:tab w:val="left" w:pos="1706"/>
              </w:tabs>
              <w:ind w:left="0" w:right="694"/>
              <w:jc w:val="center"/>
              <w:rPr>
                <w:rFonts w:ascii="Calibri" w:hAnsi="Calibri" w:cs="Calibri"/>
                <w:b/>
              </w:rPr>
            </w:pPr>
          </w:p>
        </w:tc>
        <w:tc>
          <w:tcPr>
            <w:tcW w:w="2861" w:type="dxa"/>
          </w:tcPr>
          <w:p w14:paraId="3D68CD37" w14:textId="77777777" w:rsidR="00403A23" w:rsidRPr="002B0387" w:rsidRDefault="00403A23" w:rsidP="002B0387">
            <w:pPr>
              <w:pStyle w:val="BodyText"/>
              <w:tabs>
                <w:tab w:val="left" w:pos="1706"/>
              </w:tabs>
              <w:ind w:left="0" w:right="694"/>
              <w:jc w:val="center"/>
              <w:rPr>
                <w:rFonts w:ascii="Calibri" w:hAnsi="Calibri" w:cs="Calibri"/>
                <w:b/>
              </w:rPr>
            </w:pPr>
            <w:r w:rsidRPr="002B0387">
              <w:rPr>
                <w:rFonts w:ascii="Calibri" w:hAnsi="Calibri" w:cs="Calibri"/>
                <w:b/>
              </w:rPr>
              <w:t>ccTLD creation or transfer pending further collaboration on the nature of SLAs</w:t>
            </w:r>
          </w:p>
          <w:p w14:paraId="48789F58" w14:textId="77777777" w:rsidR="00403A23" w:rsidRPr="002B0387" w:rsidRDefault="00403A23" w:rsidP="002B0387">
            <w:pPr>
              <w:pStyle w:val="BodyText"/>
              <w:tabs>
                <w:tab w:val="left" w:pos="1706"/>
              </w:tabs>
              <w:ind w:left="0" w:right="694"/>
              <w:jc w:val="center"/>
              <w:rPr>
                <w:rFonts w:ascii="Calibri" w:hAnsi="Calibri" w:cs="Calibri"/>
                <w:b/>
              </w:rPr>
            </w:pPr>
          </w:p>
        </w:tc>
      </w:tr>
      <w:tr w:rsidR="00EC14ED" w14:paraId="0F4AA2C5" w14:textId="77777777" w:rsidTr="00EC14ED">
        <w:tc>
          <w:tcPr>
            <w:tcW w:w="2425" w:type="dxa"/>
          </w:tcPr>
          <w:p w14:paraId="27B3B47E" w14:textId="093936A2" w:rsidR="00403A23" w:rsidRPr="002B0387" w:rsidRDefault="00403A23" w:rsidP="00254A07">
            <w:pPr>
              <w:pStyle w:val="BodyText"/>
              <w:tabs>
                <w:tab w:val="left" w:pos="1706"/>
              </w:tabs>
              <w:ind w:left="0" w:right="694"/>
              <w:rPr>
                <w:rFonts w:ascii="Calibri" w:hAnsi="Calibri" w:cs="Calibri"/>
                <w:b/>
              </w:rPr>
            </w:pPr>
            <w:r w:rsidRPr="002B0387">
              <w:rPr>
                <w:rFonts w:ascii="Calibri" w:hAnsi="Calibri" w:cs="Calibri"/>
                <w:b/>
              </w:rPr>
              <w:t>Category</w:t>
            </w:r>
          </w:p>
        </w:tc>
        <w:tc>
          <w:tcPr>
            <w:tcW w:w="1686" w:type="dxa"/>
          </w:tcPr>
          <w:p w14:paraId="34201679" w14:textId="010342A0" w:rsidR="00403A23" w:rsidRDefault="00403A23" w:rsidP="00254A07">
            <w:pPr>
              <w:pStyle w:val="BodyText"/>
              <w:tabs>
                <w:tab w:val="left" w:pos="1706"/>
              </w:tabs>
              <w:ind w:left="0" w:right="694"/>
              <w:rPr>
                <w:rFonts w:ascii="Calibri" w:hAnsi="Calibri" w:cs="Calibri"/>
              </w:rPr>
            </w:pPr>
            <w:r>
              <w:rPr>
                <w:rFonts w:ascii="Calibri" w:hAnsi="Calibri" w:cs="Calibri"/>
              </w:rPr>
              <w:t>change</w:t>
            </w:r>
            <w:r w:rsidR="006B4725">
              <w:rPr>
                <w:rFonts w:ascii="Calibri" w:hAnsi="Calibri" w:cs="Calibri"/>
              </w:rPr>
              <w:t xml:space="preserve"> threshold only</w:t>
            </w:r>
            <w:r>
              <w:rPr>
                <w:rFonts w:ascii="Calibri" w:hAnsi="Calibri" w:cs="Calibri"/>
              </w:rPr>
              <w:t xml:space="preserve"> </w:t>
            </w:r>
          </w:p>
        </w:tc>
        <w:tc>
          <w:tcPr>
            <w:tcW w:w="2378" w:type="dxa"/>
          </w:tcPr>
          <w:p w14:paraId="4E0AEB7C" w14:textId="39E4F773" w:rsidR="00403A23" w:rsidRDefault="006B4725" w:rsidP="00EC14ED">
            <w:pPr>
              <w:pStyle w:val="BodyText"/>
              <w:tabs>
                <w:tab w:val="left" w:pos="1706"/>
              </w:tabs>
              <w:ind w:left="0" w:right="694"/>
              <w:rPr>
                <w:rFonts w:ascii="Calibri" w:hAnsi="Calibri" w:cs="Calibri"/>
              </w:rPr>
            </w:pPr>
            <w:r>
              <w:rPr>
                <w:rFonts w:ascii="Calibri" w:hAnsi="Calibri" w:cs="Calibri"/>
              </w:rPr>
              <w:t xml:space="preserve">New </w:t>
            </w:r>
            <w:r w:rsidR="00EC14ED">
              <w:rPr>
                <w:rFonts w:ascii="Calibri" w:hAnsi="Calibri" w:cs="Calibri"/>
              </w:rPr>
              <w:t>SLA</w:t>
            </w:r>
            <w:r>
              <w:rPr>
                <w:rFonts w:ascii="Calibri" w:hAnsi="Calibri" w:cs="Calibri"/>
              </w:rPr>
              <w:t xml:space="preserve"> item</w:t>
            </w:r>
          </w:p>
        </w:tc>
        <w:tc>
          <w:tcPr>
            <w:tcW w:w="2861" w:type="dxa"/>
          </w:tcPr>
          <w:p w14:paraId="13F8D17C" w14:textId="77E6034F" w:rsidR="00403A23" w:rsidRDefault="002B0387" w:rsidP="00EC14ED">
            <w:pPr>
              <w:pStyle w:val="BodyText"/>
              <w:tabs>
                <w:tab w:val="left" w:pos="1706"/>
              </w:tabs>
              <w:ind w:left="0" w:right="694"/>
              <w:rPr>
                <w:rFonts w:ascii="Calibri" w:hAnsi="Calibri" w:cs="Calibri"/>
              </w:rPr>
            </w:pPr>
            <w:r>
              <w:rPr>
                <w:rFonts w:ascii="Calibri" w:hAnsi="Calibri" w:cs="Calibri"/>
              </w:rPr>
              <w:t>Change SLA definition and threshold</w:t>
            </w:r>
          </w:p>
        </w:tc>
      </w:tr>
      <w:tr w:rsidR="00EC14ED" w14:paraId="1686E63D" w14:textId="77777777" w:rsidTr="00EC14ED">
        <w:tc>
          <w:tcPr>
            <w:tcW w:w="2425" w:type="dxa"/>
          </w:tcPr>
          <w:p w14:paraId="3D531BBC" w14:textId="3F9CCCBA" w:rsidR="00403A23" w:rsidRPr="002B0387" w:rsidRDefault="00403A23" w:rsidP="00254A07">
            <w:pPr>
              <w:pStyle w:val="BodyText"/>
              <w:tabs>
                <w:tab w:val="left" w:pos="1706"/>
              </w:tabs>
              <w:ind w:left="0" w:right="694"/>
              <w:rPr>
                <w:rFonts w:ascii="Calibri" w:hAnsi="Calibri" w:cs="Calibri"/>
                <w:b/>
              </w:rPr>
            </w:pPr>
            <w:r w:rsidRPr="002B0387">
              <w:rPr>
                <w:rFonts w:ascii="Calibri" w:hAnsi="Calibri" w:cs="Calibri"/>
                <w:b/>
              </w:rPr>
              <w:t>In Phase 1 of Change Process</w:t>
            </w:r>
          </w:p>
        </w:tc>
        <w:tc>
          <w:tcPr>
            <w:tcW w:w="1686" w:type="dxa"/>
          </w:tcPr>
          <w:p w14:paraId="385BCFAB" w14:textId="46906D40" w:rsidR="00403A23" w:rsidRDefault="002B0387" w:rsidP="00254A07">
            <w:pPr>
              <w:pStyle w:val="BodyText"/>
              <w:tabs>
                <w:tab w:val="left" w:pos="1706"/>
              </w:tabs>
              <w:ind w:left="0" w:right="694"/>
              <w:rPr>
                <w:rFonts w:ascii="Calibri" w:hAnsi="Calibri" w:cs="Calibri"/>
              </w:rPr>
            </w:pPr>
            <w:bookmarkStart w:id="2" w:name="_GoBack"/>
            <w:bookmarkEnd w:id="2"/>
            <w:r>
              <w:rPr>
                <w:rFonts w:ascii="Calibri" w:hAnsi="Calibri" w:cs="Calibri"/>
              </w:rPr>
              <w:t>COMPLETE</w:t>
            </w:r>
          </w:p>
        </w:tc>
        <w:tc>
          <w:tcPr>
            <w:tcW w:w="2378" w:type="dxa"/>
          </w:tcPr>
          <w:p w14:paraId="353A9AD4" w14:textId="558C0259" w:rsidR="00403A23" w:rsidRDefault="002B0387" w:rsidP="00254A07">
            <w:pPr>
              <w:pStyle w:val="BodyText"/>
              <w:tabs>
                <w:tab w:val="left" w:pos="1706"/>
              </w:tabs>
              <w:ind w:left="0" w:right="694"/>
              <w:rPr>
                <w:rFonts w:ascii="Calibri" w:hAnsi="Calibri" w:cs="Calibri"/>
              </w:rPr>
            </w:pPr>
            <w:r>
              <w:rPr>
                <w:rFonts w:ascii="Calibri" w:hAnsi="Calibri" w:cs="Calibri"/>
              </w:rPr>
              <w:t>COMPLETE</w:t>
            </w:r>
          </w:p>
        </w:tc>
        <w:tc>
          <w:tcPr>
            <w:tcW w:w="2861" w:type="dxa"/>
          </w:tcPr>
          <w:p w14:paraId="24528A57" w14:textId="190905E9" w:rsidR="00403A23" w:rsidRDefault="002B0387" w:rsidP="00254A07">
            <w:pPr>
              <w:pStyle w:val="BodyText"/>
              <w:tabs>
                <w:tab w:val="left" w:pos="1706"/>
              </w:tabs>
              <w:ind w:left="0" w:right="694"/>
              <w:rPr>
                <w:rFonts w:ascii="Calibri" w:hAnsi="Calibri" w:cs="Calibri"/>
              </w:rPr>
            </w:pPr>
            <w:r>
              <w:rPr>
                <w:rFonts w:ascii="Calibri" w:hAnsi="Calibri" w:cs="Calibri"/>
              </w:rPr>
              <w:t>IN PROGRESS: new threshold to set still under discussion and has been determined that more community input is needed</w:t>
            </w:r>
          </w:p>
        </w:tc>
      </w:tr>
      <w:tr w:rsidR="00EC14ED" w14:paraId="5E955620" w14:textId="77777777" w:rsidTr="00EC14ED">
        <w:tc>
          <w:tcPr>
            <w:tcW w:w="2425" w:type="dxa"/>
          </w:tcPr>
          <w:p w14:paraId="503B7D63" w14:textId="32F89355" w:rsidR="00403A23" w:rsidRPr="002B0387" w:rsidRDefault="00403A23" w:rsidP="00254A07">
            <w:pPr>
              <w:pStyle w:val="BodyText"/>
              <w:tabs>
                <w:tab w:val="left" w:pos="1706"/>
              </w:tabs>
              <w:ind w:left="0" w:right="694"/>
              <w:rPr>
                <w:rFonts w:ascii="Calibri" w:hAnsi="Calibri" w:cs="Calibri"/>
                <w:b/>
              </w:rPr>
            </w:pPr>
            <w:r w:rsidRPr="002B0387">
              <w:rPr>
                <w:rFonts w:ascii="Calibri" w:hAnsi="Calibri" w:cs="Calibri"/>
                <w:b/>
              </w:rPr>
              <w:t>In Phase 2 of Change Process</w:t>
            </w:r>
          </w:p>
        </w:tc>
        <w:tc>
          <w:tcPr>
            <w:tcW w:w="1686" w:type="dxa"/>
          </w:tcPr>
          <w:p w14:paraId="154626E5" w14:textId="3B662A54" w:rsidR="00403A23" w:rsidRDefault="002B0387" w:rsidP="00254A07">
            <w:pPr>
              <w:pStyle w:val="BodyText"/>
              <w:tabs>
                <w:tab w:val="left" w:pos="1706"/>
              </w:tabs>
              <w:ind w:left="0" w:right="694"/>
              <w:rPr>
                <w:rFonts w:ascii="Calibri" w:hAnsi="Calibri" w:cs="Calibri"/>
              </w:rPr>
            </w:pPr>
            <w:r>
              <w:rPr>
                <w:rFonts w:ascii="Calibri" w:hAnsi="Calibri" w:cs="Calibri"/>
              </w:rPr>
              <w:t>TO BEGIN</w:t>
            </w:r>
          </w:p>
        </w:tc>
        <w:tc>
          <w:tcPr>
            <w:tcW w:w="2378" w:type="dxa"/>
          </w:tcPr>
          <w:p w14:paraId="3F4ED032" w14:textId="2AC03896" w:rsidR="00403A23" w:rsidRDefault="002B0387" w:rsidP="00254A07">
            <w:pPr>
              <w:pStyle w:val="BodyText"/>
              <w:tabs>
                <w:tab w:val="left" w:pos="1706"/>
              </w:tabs>
              <w:ind w:left="0" w:right="694"/>
              <w:rPr>
                <w:rFonts w:ascii="Calibri" w:hAnsi="Calibri" w:cs="Calibri"/>
              </w:rPr>
            </w:pPr>
            <w:r>
              <w:rPr>
                <w:rFonts w:ascii="Calibri" w:hAnsi="Calibri" w:cs="Calibri"/>
              </w:rPr>
              <w:t>TO BEGIN</w:t>
            </w:r>
          </w:p>
        </w:tc>
        <w:tc>
          <w:tcPr>
            <w:tcW w:w="2861" w:type="dxa"/>
          </w:tcPr>
          <w:p w14:paraId="4D95E00F" w14:textId="78277FEC" w:rsidR="00403A23" w:rsidRDefault="002B0387" w:rsidP="00254A07">
            <w:pPr>
              <w:pStyle w:val="BodyText"/>
              <w:tabs>
                <w:tab w:val="left" w:pos="1706"/>
              </w:tabs>
              <w:ind w:left="0" w:right="694"/>
              <w:rPr>
                <w:rFonts w:ascii="Calibri" w:hAnsi="Calibri" w:cs="Calibri"/>
              </w:rPr>
            </w:pPr>
            <w:r>
              <w:rPr>
                <w:rFonts w:ascii="Calibri" w:hAnsi="Calibri" w:cs="Calibri"/>
              </w:rPr>
              <w:t>NOT READY</w:t>
            </w:r>
          </w:p>
        </w:tc>
      </w:tr>
      <w:tr w:rsidR="00EC14ED" w14:paraId="36AD8B99" w14:textId="77777777" w:rsidTr="00EC14ED">
        <w:tc>
          <w:tcPr>
            <w:tcW w:w="2425" w:type="dxa"/>
          </w:tcPr>
          <w:p w14:paraId="2215F167" w14:textId="4BF213ED" w:rsidR="00403A23" w:rsidRPr="002B0387" w:rsidRDefault="00637F7D" w:rsidP="00254A07">
            <w:pPr>
              <w:pStyle w:val="BodyText"/>
              <w:tabs>
                <w:tab w:val="left" w:pos="1706"/>
              </w:tabs>
              <w:ind w:left="0" w:right="694"/>
              <w:rPr>
                <w:rFonts w:ascii="Calibri" w:hAnsi="Calibri" w:cs="Calibri"/>
                <w:b/>
              </w:rPr>
            </w:pPr>
            <w:r>
              <w:rPr>
                <w:rFonts w:ascii="Calibri" w:hAnsi="Calibri" w:cs="Calibri"/>
                <w:b/>
              </w:rPr>
              <w:t>Community Consultation</w:t>
            </w:r>
          </w:p>
        </w:tc>
        <w:tc>
          <w:tcPr>
            <w:tcW w:w="1686" w:type="dxa"/>
          </w:tcPr>
          <w:p w14:paraId="3EDAC5D9" w14:textId="11A32935" w:rsidR="00403A23" w:rsidRDefault="00EC14ED" w:rsidP="00254A07">
            <w:pPr>
              <w:pStyle w:val="BodyText"/>
              <w:tabs>
                <w:tab w:val="left" w:pos="1706"/>
              </w:tabs>
              <w:ind w:left="0" w:right="694"/>
              <w:rPr>
                <w:rFonts w:ascii="Calibri" w:hAnsi="Calibri" w:cs="Calibri"/>
              </w:rPr>
            </w:pPr>
            <w:r>
              <w:rPr>
                <w:rFonts w:ascii="Calibri" w:hAnsi="Calibri" w:cs="Calibri"/>
              </w:rPr>
              <w:t>Only notification to the community required, no approvals needed</w:t>
            </w:r>
          </w:p>
        </w:tc>
        <w:tc>
          <w:tcPr>
            <w:tcW w:w="2378" w:type="dxa"/>
          </w:tcPr>
          <w:p w14:paraId="69E4EFF8" w14:textId="4C0839C2" w:rsidR="00403A23" w:rsidRDefault="00EC14ED" w:rsidP="00254A07">
            <w:pPr>
              <w:pStyle w:val="BodyText"/>
              <w:tabs>
                <w:tab w:val="left" w:pos="1706"/>
              </w:tabs>
              <w:ind w:left="0" w:right="694"/>
              <w:rPr>
                <w:rFonts w:ascii="Calibri" w:hAnsi="Calibri" w:cs="Calibri"/>
              </w:rPr>
            </w:pPr>
            <w:r>
              <w:rPr>
                <w:rFonts w:ascii="Calibri" w:hAnsi="Calibri" w:cs="Calibri"/>
              </w:rPr>
              <w:t>Public comment and GNSO/</w:t>
            </w:r>
            <w:proofErr w:type="spellStart"/>
            <w:r>
              <w:rPr>
                <w:rFonts w:ascii="Calibri" w:hAnsi="Calibri" w:cs="Calibri"/>
              </w:rPr>
              <w:t>ccNSO</w:t>
            </w:r>
            <w:proofErr w:type="spellEnd"/>
            <w:r>
              <w:rPr>
                <w:rFonts w:ascii="Calibri" w:hAnsi="Calibri" w:cs="Calibri"/>
              </w:rPr>
              <w:t xml:space="preserve"> Council approval required</w:t>
            </w:r>
          </w:p>
        </w:tc>
        <w:tc>
          <w:tcPr>
            <w:tcW w:w="2861" w:type="dxa"/>
          </w:tcPr>
          <w:p w14:paraId="0ED6EAA4" w14:textId="11FA0BAD" w:rsidR="00403A23" w:rsidRDefault="00EC14ED" w:rsidP="00254A07">
            <w:pPr>
              <w:pStyle w:val="BodyText"/>
              <w:tabs>
                <w:tab w:val="left" w:pos="1706"/>
              </w:tabs>
              <w:ind w:left="0" w:right="694"/>
              <w:rPr>
                <w:rFonts w:ascii="Calibri" w:hAnsi="Calibri" w:cs="Calibri"/>
              </w:rPr>
            </w:pPr>
            <w:r>
              <w:rPr>
                <w:rFonts w:ascii="Calibri" w:hAnsi="Calibri" w:cs="Calibri"/>
              </w:rPr>
              <w:t>Public comment and GNSO/</w:t>
            </w:r>
            <w:proofErr w:type="spellStart"/>
            <w:r>
              <w:rPr>
                <w:rFonts w:ascii="Calibri" w:hAnsi="Calibri" w:cs="Calibri"/>
              </w:rPr>
              <w:t>ccNSO</w:t>
            </w:r>
            <w:proofErr w:type="spellEnd"/>
            <w:r>
              <w:rPr>
                <w:rFonts w:ascii="Calibri" w:hAnsi="Calibri" w:cs="Calibri"/>
              </w:rPr>
              <w:t xml:space="preserve"> Council approval required</w:t>
            </w:r>
          </w:p>
        </w:tc>
      </w:tr>
    </w:tbl>
    <w:p w14:paraId="4052EC29" w14:textId="77777777" w:rsidR="00403A23" w:rsidRDefault="00403A23" w:rsidP="00254A07">
      <w:pPr>
        <w:pStyle w:val="BodyText"/>
        <w:tabs>
          <w:tab w:val="left" w:pos="1706"/>
        </w:tabs>
        <w:ind w:left="0" w:right="694"/>
        <w:rPr>
          <w:rFonts w:ascii="Calibri" w:hAnsi="Calibri" w:cs="Calibri"/>
        </w:rPr>
      </w:pPr>
    </w:p>
    <w:sectPr w:rsidR="00403A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B11F4" w14:textId="77777777" w:rsidR="00836FFE" w:rsidRDefault="00836FFE" w:rsidP="002F16F1">
      <w:pPr>
        <w:spacing w:after="0" w:line="240" w:lineRule="auto"/>
      </w:pPr>
      <w:r>
        <w:separator/>
      </w:r>
    </w:p>
  </w:endnote>
  <w:endnote w:type="continuationSeparator" w:id="0">
    <w:p w14:paraId="0B18831F" w14:textId="77777777" w:rsidR="00836FFE" w:rsidRDefault="00836FFE" w:rsidP="002F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FF8F" w14:textId="77777777" w:rsidR="007D7982" w:rsidRDefault="007D7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946990"/>
      <w:docPartObj>
        <w:docPartGallery w:val="Page Numbers (Bottom of Page)"/>
        <w:docPartUnique/>
      </w:docPartObj>
    </w:sdtPr>
    <w:sdtEndPr>
      <w:rPr>
        <w:color w:val="7F7F7F" w:themeColor="background1" w:themeShade="7F"/>
        <w:spacing w:val="60"/>
      </w:rPr>
    </w:sdtEndPr>
    <w:sdtContent>
      <w:p w14:paraId="1812D5BC" w14:textId="17B7D8E4" w:rsidR="009C6612" w:rsidRDefault="009C661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Overview on Proceeding with SLA Change Requests</w:t>
        </w:r>
      </w:p>
    </w:sdtContent>
  </w:sdt>
  <w:p w14:paraId="7DA459F5" w14:textId="77777777" w:rsidR="00304B9F" w:rsidRDefault="00304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13E6" w14:textId="77777777" w:rsidR="007D7982" w:rsidRDefault="007D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4430" w14:textId="77777777" w:rsidR="00836FFE" w:rsidRDefault="00836FFE" w:rsidP="002F16F1">
      <w:pPr>
        <w:spacing w:after="0" w:line="240" w:lineRule="auto"/>
      </w:pPr>
      <w:r>
        <w:separator/>
      </w:r>
    </w:p>
  </w:footnote>
  <w:footnote w:type="continuationSeparator" w:id="0">
    <w:p w14:paraId="5C6A5268" w14:textId="77777777" w:rsidR="00836FFE" w:rsidRDefault="00836FFE" w:rsidP="002F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2A6" w14:textId="2FA38812" w:rsidR="007D7982" w:rsidRDefault="00836FFE">
    <w:pPr>
      <w:pStyle w:val="Header"/>
    </w:pPr>
    <w:r>
      <w:rPr>
        <w:noProof/>
      </w:rPr>
      <w:pict w14:anchorId="2FA7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413522" o:spid="_x0000_s2051" type="#_x0000_t136" alt="" style="position:absolute;margin-left:0;margin-top:0;width:593.8pt;height:65.95pt;rotation:315;z-index:-251651072;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 string="Draft for Consider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4B07" w14:textId="45E84926" w:rsidR="009C6612" w:rsidRDefault="00836FFE">
    <w:pPr>
      <w:pStyle w:val="Header"/>
    </w:pPr>
    <w:r>
      <w:rPr>
        <w:noProof/>
      </w:rPr>
      <w:pict w14:anchorId="7B4B1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413523" o:spid="_x0000_s2050" type="#_x0000_t136" alt="" style="position:absolute;margin-left:0;margin-top:0;width:593.8pt;height:65.95pt;rotation:315;z-index:-251646976;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 string="Draft for Consideration"/>
        </v:shape>
      </w:pict>
    </w:r>
    <w:r w:rsidR="009C6612">
      <w:t>Draft, 04 March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2AD4" w14:textId="28E0C70B" w:rsidR="007D7982" w:rsidRDefault="00836FFE">
    <w:pPr>
      <w:pStyle w:val="Header"/>
    </w:pPr>
    <w:r>
      <w:rPr>
        <w:noProof/>
      </w:rPr>
      <w:pict w14:anchorId="5240C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413521" o:spid="_x0000_s2049" type="#_x0000_t136" alt="" style="position:absolute;margin-left:0;margin-top:0;width:593.8pt;height:65.95pt;rotation:315;z-index:-251655168;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 string="Draft for Consider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496"/>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7913"/>
    <w:multiLevelType w:val="hybridMultilevel"/>
    <w:tmpl w:val="CBB44268"/>
    <w:lvl w:ilvl="0" w:tplc="12B05AA8">
      <w:start w:val="1"/>
      <w:numFmt w:val="low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E147E"/>
    <w:multiLevelType w:val="hybridMultilevel"/>
    <w:tmpl w:val="A36A847C"/>
    <w:lvl w:ilvl="0" w:tplc="229E6AAE">
      <w:start w:val="1"/>
      <w:numFmt w:val="lowerRoman"/>
      <w:lvlText w:val="%1."/>
      <w:lvlJc w:val="left"/>
      <w:pPr>
        <w:ind w:left="1820" w:hanging="173"/>
      </w:pPr>
      <w:rPr>
        <w:rFonts w:ascii="Arial" w:eastAsia="Arial" w:hAnsi="Arial" w:hint="default"/>
        <w:spacing w:val="-2"/>
        <w:sz w:val="22"/>
        <w:szCs w:val="22"/>
      </w:rPr>
    </w:lvl>
    <w:lvl w:ilvl="1" w:tplc="F9445A3E">
      <w:start w:val="1"/>
      <w:numFmt w:val="bullet"/>
      <w:lvlText w:val="•"/>
      <w:lvlJc w:val="left"/>
      <w:pPr>
        <w:ind w:left="2658" w:hanging="173"/>
      </w:pPr>
      <w:rPr>
        <w:rFonts w:hint="default"/>
      </w:rPr>
    </w:lvl>
    <w:lvl w:ilvl="2" w:tplc="5FD04B56">
      <w:start w:val="1"/>
      <w:numFmt w:val="bullet"/>
      <w:lvlText w:val="•"/>
      <w:lvlJc w:val="left"/>
      <w:pPr>
        <w:ind w:left="3496" w:hanging="173"/>
      </w:pPr>
      <w:rPr>
        <w:rFonts w:hint="default"/>
      </w:rPr>
    </w:lvl>
    <w:lvl w:ilvl="3" w:tplc="9D18440C">
      <w:start w:val="1"/>
      <w:numFmt w:val="bullet"/>
      <w:lvlText w:val="•"/>
      <w:lvlJc w:val="left"/>
      <w:pPr>
        <w:ind w:left="4334" w:hanging="173"/>
      </w:pPr>
      <w:rPr>
        <w:rFonts w:hint="default"/>
      </w:rPr>
    </w:lvl>
    <w:lvl w:ilvl="4" w:tplc="FCFC1A56">
      <w:start w:val="1"/>
      <w:numFmt w:val="bullet"/>
      <w:lvlText w:val="•"/>
      <w:lvlJc w:val="left"/>
      <w:pPr>
        <w:ind w:left="5172" w:hanging="173"/>
      </w:pPr>
      <w:rPr>
        <w:rFonts w:hint="default"/>
      </w:rPr>
    </w:lvl>
    <w:lvl w:ilvl="5" w:tplc="D4DA670C">
      <w:start w:val="1"/>
      <w:numFmt w:val="bullet"/>
      <w:lvlText w:val="•"/>
      <w:lvlJc w:val="left"/>
      <w:pPr>
        <w:ind w:left="6010" w:hanging="173"/>
      </w:pPr>
      <w:rPr>
        <w:rFonts w:hint="default"/>
      </w:rPr>
    </w:lvl>
    <w:lvl w:ilvl="6" w:tplc="AB242ECA">
      <w:start w:val="1"/>
      <w:numFmt w:val="bullet"/>
      <w:lvlText w:val="•"/>
      <w:lvlJc w:val="left"/>
      <w:pPr>
        <w:ind w:left="6848" w:hanging="173"/>
      </w:pPr>
      <w:rPr>
        <w:rFonts w:hint="default"/>
      </w:rPr>
    </w:lvl>
    <w:lvl w:ilvl="7" w:tplc="7EB445A2">
      <w:start w:val="1"/>
      <w:numFmt w:val="bullet"/>
      <w:lvlText w:val="•"/>
      <w:lvlJc w:val="left"/>
      <w:pPr>
        <w:ind w:left="7686" w:hanging="173"/>
      </w:pPr>
      <w:rPr>
        <w:rFonts w:hint="default"/>
      </w:rPr>
    </w:lvl>
    <w:lvl w:ilvl="8" w:tplc="B9DA88A0">
      <w:start w:val="1"/>
      <w:numFmt w:val="bullet"/>
      <w:lvlText w:val="•"/>
      <w:lvlJc w:val="left"/>
      <w:pPr>
        <w:ind w:left="8524" w:hanging="173"/>
      </w:pPr>
      <w:rPr>
        <w:rFonts w:hint="default"/>
      </w:rPr>
    </w:lvl>
  </w:abstractNum>
  <w:abstractNum w:abstractNumId="4" w15:restartNumberingAfterBreak="0">
    <w:nsid w:val="1E93241D"/>
    <w:multiLevelType w:val="hybridMultilevel"/>
    <w:tmpl w:val="89A6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4F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162E14"/>
    <w:multiLevelType w:val="hybridMultilevel"/>
    <w:tmpl w:val="89A6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9425C"/>
    <w:multiLevelType w:val="hybridMultilevel"/>
    <w:tmpl w:val="89A6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B0E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7C3D99"/>
    <w:multiLevelType w:val="hybridMultilevel"/>
    <w:tmpl w:val="D9C86936"/>
    <w:lvl w:ilvl="0" w:tplc="D742B79C">
      <w:start w:val="1"/>
      <w:numFmt w:val="lowerRoman"/>
      <w:lvlText w:val="%1."/>
      <w:lvlJc w:val="left"/>
      <w:pPr>
        <w:ind w:left="-287" w:hanging="173"/>
      </w:pPr>
      <w:rPr>
        <w:rFonts w:ascii="Arial" w:eastAsia="Arial" w:hAnsi="Arial" w:hint="default"/>
        <w:spacing w:val="-2"/>
        <w:sz w:val="22"/>
        <w:szCs w:val="22"/>
      </w:rPr>
    </w:lvl>
    <w:lvl w:ilvl="1" w:tplc="526C70E0">
      <w:start w:val="1"/>
      <w:numFmt w:val="bullet"/>
      <w:lvlText w:val="•"/>
      <w:lvlJc w:val="left"/>
      <w:pPr>
        <w:ind w:left="531" w:hanging="173"/>
      </w:pPr>
      <w:rPr>
        <w:rFonts w:hint="default"/>
      </w:rPr>
    </w:lvl>
    <w:lvl w:ilvl="2" w:tplc="C6461B8C">
      <w:start w:val="1"/>
      <w:numFmt w:val="bullet"/>
      <w:lvlText w:val="•"/>
      <w:lvlJc w:val="left"/>
      <w:pPr>
        <w:ind w:left="1350" w:hanging="173"/>
      </w:pPr>
      <w:rPr>
        <w:rFonts w:hint="default"/>
      </w:rPr>
    </w:lvl>
    <w:lvl w:ilvl="3" w:tplc="37E8260E">
      <w:start w:val="1"/>
      <w:numFmt w:val="bullet"/>
      <w:lvlText w:val="•"/>
      <w:lvlJc w:val="left"/>
      <w:pPr>
        <w:ind w:left="2169" w:hanging="173"/>
      </w:pPr>
      <w:rPr>
        <w:rFonts w:hint="default"/>
      </w:rPr>
    </w:lvl>
    <w:lvl w:ilvl="4" w:tplc="503C9B40">
      <w:start w:val="1"/>
      <w:numFmt w:val="bullet"/>
      <w:lvlText w:val="•"/>
      <w:lvlJc w:val="left"/>
      <w:pPr>
        <w:ind w:left="2987" w:hanging="173"/>
      </w:pPr>
      <w:rPr>
        <w:rFonts w:hint="default"/>
      </w:rPr>
    </w:lvl>
    <w:lvl w:ilvl="5" w:tplc="5576E0C6">
      <w:start w:val="1"/>
      <w:numFmt w:val="bullet"/>
      <w:lvlText w:val="•"/>
      <w:lvlJc w:val="left"/>
      <w:pPr>
        <w:ind w:left="3806" w:hanging="173"/>
      </w:pPr>
      <w:rPr>
        <w:rFonts w:hint="default"/>
      </w:rPr>
    </w:lvl>
    <w:lvl w:ilvl="6" w:tplc="B3E03134">
      <w:start w:val="1"/>
      <w:numFmt w:val="bullet"/>
      <w:lvlText w:val="•"/>
      <w:lvlJc w:val="left"/>
      <w:pPr>
        <w:ind w:left="4625" w:hanging="173"/>
      </w:pPr>
      <w:rPr>
        <w:rFonts w:hint="default"/>
      </w:rPr>
    </w:lvl>
    <w:lvl w:ilvl="7" w:tplc="EFA05F8C">
      <w:start w:val="1"/>
      <w:numFmt w:val="bullet"/>
      <w:lvlText w:val="•"/>
      <w:lvlJc w:val="left"/>
      <w:pPr>
        <w:ind w:left="5443" w:hanging="173"/>
      </w:pPr>
      <w:rPr>
        <w:rFonts w:hint="default"/>
      </w:rPr>
    </w:lvl>
    <w:lvl w:ilvl="8" w:tplc="DA6856FE">
      <w:start w:val="1"/>
      <w:numFmt w:val="bullet"/>
      <w:lvlText w:val="•"/>
      <w:lvlJc w:val="left"/>
      <w:pPr>
        <w:ind w:left="6262" w:hanging="173"/>
      </w:pPr>
      <w:rPr>
        <w:rFonts w:hint="default"/>
      </w:rPr>
    </w:lvl>
  </w:abstractNum>
  <w:abstractNum w:abstractNumId="10" w15:restartNumberingAfterBreak="0">
    <w:nsid w:val="52875322"/>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701D8"/>
    <w:multiLevelType w:val="hybridMultilevel"/>
    <w:tmpl w:val="E5209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abstractNum w:abstractNumId="13" w15:restartNumberingAfterBreak="0">
    <w:nsid w:val="69065898"/>
    <w:multiLevelType w:val="hybridMultilevel"/>
    <w:tmpl w:val="C92AE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64324"/>
    <w:multiLevelType w:val="hybridMultilevel"/>
    <w:tmpl w:val="D9C86936"/>
    <w:lvl w:ilvl="0" w:tplc="D742B79C">
      <w:start w:val="1"/>
      <w:numFmt w:val="lowerRoman"/>
      <w:lvlText w:val="%1."/>
      <w:lvlJc w:val="left"/>
      <w:pPr>
        <w:ind w:left="-287" w:hanging="173"/>
      </w:pPr>
      <w:rPr>
        <w:rFonts w:ascii="Arial" w:eastAsia="Arial" w:hAnsi="Arial" w:hint="default"/>
        <w:spacing w:val="-2"/>
        <w:sz w:val="22"/>
        <w:szCs w:val="22"/>
      </w:rPr>
    </w:lvl>
    <w:lvl w:ilvl="1" w:tplc="526C70E0">
      <w:start w:val="1"/>
      <w:numFmt w:val="bullet"/>
      <w:lvlText w:val="•"/>
      <w:lvlJc w:val="left"/>
      <w:pPr>
        <w:ind w:left="531" w:hanging="173"/>
      </w:pPr>
      <w:rPr>
        <w:rFonts w:hint="default"/>
      </w:rPr>
    </w:lvl>
    <w:lvl w:ilvl="2" w:tplc="C6461B8C">
      <w:start w:val="1"/>
      <w:numFmt w:val="bullet"/>
      <w:lvlText w:val="•"/>
      <w:lvlJc w:val="left"/>
      <w:pPr>
        <w:ind w:left="1350" w:hanging="173"/>
      </w:pPr>
      <w:rPr>
        <w:rFonts w:hint="default"/>
      </w:rPr>
    </w:lvl>
    <w:lvl w:ilvl="3" w:tplc="37E8260E">
      <w:start w:val="1"/>
      <w:numFmt w:val="bullet"/>
      <w:lvlText w:val="•"/>
      <w:lvlJc w:val="left"/>
      <w:pPr>
        <w:ind w:left="2169" w:hanging="173"/>
      </w:pPr>
      <w:rPr>
        <w:rFonts w:hint="default"/>
      </w:rPr>
    </w:lvl>
    <w:lvl w:ilvl="4" w:tplc="503C9B40">
      <w:start w:val="1"/>
      <w:numFmt w:val="bullet"/>
      <w:lvlText w:val="•"/>
      <w:lvlJc w:val="left"/>
      <w:pPr>
        <w:ind w:left="2987" w:hanging="173"/>
      </w:pPr>
      <w:rPr>
        <w:rFonts w:hint="default"/>
      </w:rPr>
    </w:lvl>
    <w:lvl w:ilvl="5" w:tplc="5576E0C6">
      <w:start w:val="1"/>
      <w:numFmt w:val="bullet"/>
      <w:lvlText w:val="•"/>
      <w:lvlJc w:val="left"/>
      <w:pPr>
        <w:ind w:left="3806" w:hanging="173"/>
      </w:pPr>
      <w:rPr>
        <w:rFonts w:hint="default"/>
      </w:rPr>
    </w:lvl>
    <w:lvl w:ilvl="6" w:tplc="B3E03134">
      <w:start w:val="1"/>
      <w:numFmt w:val="bullet"/>
      <w:lvlText w:val="•"/>
      <w:lvlJc w:val="left"/>
      <w:pPr>
        <w:ind w:left="4625" w:hanging="173"/>
      </w:pPr>
      <w:rPr>
        <w:rFonts w:hint="default"/>
      </w:rPr>
    </w:lvl>
    <w:lvl w:ilvl="7" w:tplc="EFA05F8C">
      <w:start w:val="1"/>
      <w:numFmt w:val="bullet"/>
      <w:lvlText w:val="•"/>
      <w:lvlJc w:val="left"/>
      <w:pPr>
        <w:ind w:left="5443" w:hanging="173"/>
      </w:pPr>
      <w:rPr>
        <w:rFonts w:hint="default"/>
      </w:rPr>
    </w:lvl>
    <w:lvl w:ilvl="8" w:tplc="DA6856FE">
      <w:start w:val="1"/>
      <w:numFmt w:val="bullet"/>
      <w:lvlText w:val="•"/>
      <w:lvlJc w:val="left"/>
      <w:pPr>
        <w:ind w:left="6262" w:hanging="173"/>
      </w:pPr>
      <w:rPr>
        <w:rFonts w:hint="default"/>
      </w:rPr>
    </w:lvl>
  </w:abstractNum>
  <w:abstractNum w:abstractNumId="15" w15:restartNumberingAfterBreak="0">
    <w:nsid w:val="78941ECA"/>
    <w:multiLevelType w:val="hybridMultilevel"/>
    <w:tmpl w:val="89A6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810FC"/>
    <w:multiLevelType w:val="hybridMultilevel"/>
    <w:tmpl w:val="53C05DF2"/>
    <w:lvl w:ilvl="0" w:tplc="E392F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AB5058"/>
    <w:multiLevelType w:val="hybridMultilevel"/>
    <w:tmpl w:val="1B7246B8"/>
    <w:lvl w:ilvl="0" w:tplc="6D9ECF12">
      <w:start w:val="1"/>
      <w:numFmt w:val="lowerRoman"/>
      <w:lvlText w:val="(%1)"/>
      <w:lvlJc w:val="left"/>
      <w:pPr>
        <w:ind w:left="1080" w:hanging="720"/>
      </w:pPr>
      <w:rPr>
        <w:rFonts w:ascii="Calibri" w:eastAsia="Arial"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8"/>
  </w:num>
  <w:num w:numId="5">
    <w:abstractNumId w:val="3"/>
  </w:num>
  <w:num w:numId="6">
    <w:abstractNumId w:val="14"/>
  </w:num>
  <w:num w:numId="7">
    <w:abstractNumId w:val="12"/>
  </w:num>
  <w:num w:numId="8">
    <w:abstractNumId w:val="1"/>
  </w:num>
  <w:num w:numId="9">
    <w:abstractNumId w:val="0"/>
  </w:num>
  <w:num w:numId="10">
    <w:abstractNumId w:val="10"/>
  </w:num>
  <w:num w:numId="11">
    <w:abstractNumId w:val="16"/>
  </w:num>
  <w:num w:numId="12">
    <w:abstractNumId w:val="2"/>
  </w:num>
  <w:num w:numId="13">
    <w:abstractNumId w:val="4"/>
  </w:num>
  <w:num w:numId="14">
    <w:abstractNumId w:val="7"/>
  </w:num>
  <w:num w:numId="15">
    <w:abstractNumId w:val="6"/>
  </w:num>
  <w:num w:numId="16">
    <w:abstractNumId w:val="1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B9"/>
    <w:rsid w:val="00013DBE"/>
    <w:rsid w:val="00017569"/>
    <w:rsid w:val="0006335C"/>
    <w:rsid w:val="00070EDD"/>
    <w:rsid w:val="000838B9"/>
    <w:rsid w:val="000A4272"/>
    <w:rsid w:val="000C44D5"/>
    <w:rsid w:val="000D20D8"/>
    <w:rsid w:val="000D2F4E"/>
    <w:rsid w:val="000F44B7"/>
    <w:rsid w:val="000F45F6"/>
    <w:rsid w:val="000F5605"/>
    <w:rsid w:val="000F6381"/>
    <w:rsid w:val="000F71DE"/>
    <w:rsid w:val="0010068A"/>
    <w:rsid w:val="001051E4"/>
    <w:rsid w:val="001143A8"/>
    <w:rsid w:val="00137783"/>
    <w:rsid w:val="0016519B"/>
    <w:rsid w:val="001739BD"/>
    <w:rsid w:val="001D6E82"/>
    <w:rsid w:val="001E003B"/>
    <w:rsid w:val="001E23C0"/>
    <w:rsid w:val="001F5F0B"/>
    <w:rsid w:val="001F6250"/>
    <w:rsid w:val="0020296F"/>
    <w:rsid w:val="00203D99"/>
    <w:rsid w:val="00205F43"/>
    <w:rsid w:val="00220B95"/>
    <w:rsid w:val="00254A07"/>
    <w:rsid w:val="002556A8"/>
    <w:rsid w:val="002B0387"/>
    <w:rsid w:val="002B6F63"/>
    <w:rsid w:val="002C2530"/>
    <w:rsid w:val="002C66B4"/>
    <w:rsid w:val="002D4C93"/>
    <w:rsid w:val="002F16F1"/>
    <w:rsid w:val="002F65FE"/>
    <w:rsid w:val="00304B9F"/>
    <w:rsid w:val="00313216"/>
    <w:rsid w:val="0031386F"/>
    <w:rsid w:val="00322EDC"/>
    <w:rsid w:val="0033575B"/>
    <w:rsid w:val="00364676"/>
    <w:rsid w:val="0039686A"/>
    <w:rsid w:val="003A13B9"/>
    <w:rsid w:val="003A3EC5"/>
    <w:rsid w:val="003A4446"/>
    <w:rsid w:val="003B2045"/>
    <w:rsid w:val="003F1928"/>
    <w:rsid w:val="00403A23"/>
    <w:rsid w:val="0042781E"/>
    <w:rsid w:val="004368FB"/>
    <w:rsid w:val="00446314"/>
    <w:rsid w:val="00480158"/>
    <w:rsid w:val="004903BE"/>
    <w:rsid w:val="0049347E"/>
    <w:rsid w:val="00495CFF"/>
    <w:rsid w:val="004A0287"/>
    <w:rsid w:val="004A61CB"/>
    <w:rsid w:val="004D647D"/>
    <w:rsid w:val="0054008B"/>
    <w:rsid w:val="005D139F"/>
    <w:rsid w:val="006135C0"/>
    <w:rsid w:val="006248E5"/>
    <w:rsid w:val="00631254"/>
    <w:rsid w:val="00636830"/>
    <w:rsid w:val="00637F7D"/>
    <w:rsid w:val="006470BB"/>
    <w:rsid w:val="006A0596"/>
    <w:rsid w:val="006B4725"/>
    <w:rsid w:val="006B5395"/>
    <w:rsid w:val="006C45C7"/>
    <w:rsid w:val="007165BB"/>
    <w:rsid w:val="007342E6"/>
    <w:rsid w:val="00743F21"/>
    <w:rsid w:val="00752233"/>
    <w:rsid w:val="0076387D"/>
    <w:rsid w:val="007672E6"/>
    <w:rsid w:val="0076792F"/>
    <w:rsid w:val="00770080"/>
    <w:rsid w:val="00776DF0"/>
    <w:rsid w:val="007770A9"/>
    <w:rsid w:val="007966D5"/>
    <w:rsid w:val="007C213B"/>
    <w:rsid w:val="007D7067"/>
    <w:rsid w:val="007D7982"/>
    <w:rsid w:val="0080545E"/>
    <w:rsid w:val="00822B95"/>
    <w:rsid w:val="00836428"/>
    <w:rsid w:val="00836FFE"/>
    <w:rsid w:val="008564DC"/>
    <w:rsid w:val="00882615"/>
    <w:rsid w:val="00886D90"/>
    <w:rsid w:val="008872F9"/>
    <w:rsid w:val="008D3D34"/>
    <w:rsid w:val="008E2A07"/>
    <w:rsid w:val="008F3F5B"/>
    <w:rsid w:val="009020DB"/>
    <w:rsid w:val="009021F6"/>
    <w:rsid w:val="00904CEC"/>
    <w:rsid w:val="00923A3B"/>
    <w:rsid w:val="00942AAA"/>
    <w:rsid w:val="00950341"/>
    <w:rsid w:val="009961A9"/>
    <w:rsid w:val="009B3B29"/>
    <w:rsid w:val="009C45AB"/>
    <w:rsid w:val="009C6612"/>
    <w:rsid w:val="009F46BD"/>
    <w:rsid w:val="009F49C8"/>
    <w:rsid w:val="00A0239E"/>
    <w:rsid w:val="00A505B1"/>
    <w:rsid w:val="00A54AD9"/>
    <w:rsid w:val="00A65850"/>
    <w:rsid w:val="00A70A88"/>
    <w:rsid w:val="00AA0CB6"/>
    <w:rsid w:val="00AE4E8D"/>
    <w:rsid w:val="00AE5BE8"/>
    <w:rsid w:val="00AE796F"/>
    <w:rsid w:val="00B019CA"/>
    <w:rsid w:val="00B05539"/>
    <w:rsid w:val="00B23BC9"/>
    <w:rsid w:val="00B270D7"/>
    <w:rsid w:val="00B32C32"/>
    <w:rsid w:val="00B40D82"/>
    <w:rsid w:val="00B65933"/>
    <w:rsid w:val="00B7707D"/>
    <w:rsid w:val="00BB3587"/>
    <w:rsid w:val="00BB6014"/>
    <w:rsid w:val="00BE050B"/>
    <w:rsid w:val="00BF46D2"/>
    <w:rsid w:val="00C10E1E"/>
    <w:rsid w:val="00C23683"/>
    <w:rsid w:val="00C567F7"/>
    <w:rsid w:val="00C636E3"/>
    <w:rsid w:val="00C73762"/>
    <w:rsid w:val="00C7781B"/>
    <w:rsid w:val="00C93E10"/>
    <w:rsid w:val="00CC4B34"/>
    <w:rsid w:val="00CD0C3C"/>
    <w:rsid w:val="00CE79B7"/>
    <w:rsid w:val="00CF30A0"/>
    <w:rsid w:val="00CF61DB"/>
    <w:rsid w:val="00D057DE"/>
    <w:rsid w:val="00D411FB"/>
    <w:rsid w:val="00D71529"/>
    <w:rsid w:val="00D83C18"/>
    <w:rsid w:val="00D87F16"/>
    <w:rsid w:val="00DB15ED"/>
    <w:rsid w:val="00DB570C"/>
    <w:rsid w:val="00DE628E"/>
    <w:rsid w:val="00DF2C54"/>
    <w:rsid w:val="00DF323F"/>
    <w:rsid w:val="00DF40B3"/>
    <w:rsid w:val="00E17162"/>
    <w:rsid w:val="00E22F21"/>
    <w:rsid w:val="00EC14ED"/>
    <w:rsid w:val="00EC4652"/>
    <w:rsid w:val="00EC528E"/>
    <w:rsid w:val="00EC7689"/>
    <w:rsid w:val="00ED097E"/>
    <w:rsid w:val="00EE3FA1"/>
    <w:rsid w:val="00EF3B32"/>
    <w:rsid w:val="00F113A6"/>
    <w:rsid w:val="00F13B04"/>
    <w:rsid w:val="00F1508F"/>
    <w:rsid w:val="00F21DA2"/>
    <w:rsid w:val="00F5383D"/>
    <w:rsid w:val="00F60A93"/>
    <w:rsid w:val="00F74DB9"/>
    <w:rsid w:val="00F96BE0"/>
    <w:rsid w:val="00FD2148"/>
    <w:rsid w:val="00FD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ADD009"/>
  <w15:chartTrackingRefBased/>
  <w15:docId w15:val="{E547794B-B625-44D1-B116-C5D5B89F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F4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C76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D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E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0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30A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B6014"/>
    <w:rPr>
      <w:sz w:val="16"/>
      <w:szCs w:val="16"/>
    </w:rPr>
  </w:style>
  <w:style w:type="paragraph" w:styleId="CommentText">
    <w:name w:val="annotation text"/>
    <w:basedOn w:val="Normal"/>
    <w:link w:val="CommentTextChar"/>
    <w:uiPriority w:val="99"/>
    <w:semiHidden/>
    <w:unhideWhenUsed/>
    <w:rsid w:val="00BB6014"/>
    <w:pPr>
      <w:spacing w:line="240" w:lineRule="auto"/>
    </w:pPr>
    <w:rPr>
      <w:sz w:val="20"/>
      <w:szCs w:val="20"/>
    </w:rPr>
  </w:style>
  <w:style w:type="character" w:customStyle="1" w:styleId="CommentTextChar">
    <w:name w:val="Comment Text Char"/>
    <w:basedOn w:val="DefaultParagraphFont"/>
    <w:link w:val="CommentText"/>
    <w:uiPriority w:val="99"/>
    <w:semiHidden/>
    <w:rsid w:val="00BB6014"/>
    <w:rPr>
      <w:sz w:val="20"/>
      <w:szCs w:val="20"/>
    </w:rPr>
  </w:style>
  <w:style w:type="paragraph" w:styleId="CommentSubject">
    <w:name w:val="annotation subject"/>
    <w:basedOn w:val="CommentText"/>
    <w:next w:val="CommentText"/>
    <w:link w:val="CommentSubjectChar"/>
    <w:uiPriority w:val="99"/>
    <w:semiHidden/>
    <w:unhideWhenUsed/>
    <w:rsid w:val="00BB6014"/>
    <w:rPr>
      <w:b/>
      <w:bCs/>
    </w:rPr>
  </w:style>
  <w:style w:type="character" w:customStyle="1" w:styleId="CommentSubjectChar">
    <w:name w:val="Comment Subject Char"/>
    <w:basedOn w:val="CommentTextChar"/>
    <w:link w:val="CommentSubject"/>
    <w:uiPriority w:val="99"/>
    <w:semiHidden/>
    <w:rsid w:val="00BB6014"/>
    <w:rPr>
      <w:b/>
      <w:bCs/>
      <w:sz w:val="20"/>
      <w:szCs w:val="20"/>
    </w:rPr>
  </w:style>
  <w:style w:type="character" w:styleId="Hyperlink">
    <w:name w:val="Hyperlink"/>
    <w:basedOn w:val="DefaultParagraphFont"/>
    <w:uiPriority w:val="99"/>
    <w:unhideWhenUsed/>
    <w:rsid w:val="00F5383D"/>
    <w:rPr>
      <w:color w:val="0563C1" w:themeColor="hyperlink"/>
      <w:u w:val="single"/>
    </w:rPr>
  </w:style>
  <w:style w:type="character" w:styleId="UnresolvedMention">
    <w:name w:val="Unresolved Mention"/>
    <w:basedOn w:val="DefaultParagraphFont"/>
    <w:uiPriority w:val="99"/>
    <w:semiHidden/>
    <w:unhideWhenUsed/>
    <w:rsid w:val="00F5383D"/>
    <w:rPr>
      <w:color w:val="605E5C"/>
      <w:shd w:val="clear" w:color="auto" w:fill="E1DFDD"/>
    </w:rPr>
  </w:style>
  <w:style w:type="paragraph" w:styleId="Revision">
    <w:name w:val="Revision"/>
    <w:hidden/>
    <w:uiPriority w:val="99"/>
    <w:semiHidden/>
    <w:rsid w:val="001E23C0"/>
    <w:pPr>
      <w:spacing w:after="0" w:line="240" w:lineRule="auto"/>
    </w:pPr>
  </w:style>
  <w:style w:type="paragraph" w:styleId="ListParagraph">
    <w:name w:val="List Paragraph"/>
    <w:basedOn w:val="Normal"/>
    <w:qFormat/>
    <w:rsid w:val="001739BD"/>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DF40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3D34"/>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8D3D3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8D3D34"/>
    <w:rPr>
      <w:rFonts w:ascii="Arial" w:eastAsia="Arial" w:hAnsi="Arial"/>
    </w:rPr>
  </w:style>
  <w:style w:type="character" w:customStyle="1" w:styleId="Heading2Char">
    <w:name w:val="Heading 2 Char"/>
    <w:basedOn w:val="DefaultParagraphFont"/>
    <w:link w:val="Heading2"/>
    <w:uiPriority w:val="9"/>
    <w:rsid w:val="00EC768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F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F1"/>
  </w:style>
  <w:style w:type="paragraph" w:styleId="Footer">
    <w:name w:val="footer"/>
    <w:basedOn w:val="Normal"/>
    <w:link w:val="FooterChar"/>
    <w:uiPriority w:val="99"/>
    <w:unhideWhenUsed/>
    <w:rsid w:val="002F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F1"/>
  </w:style>
  <w:style w:type="character" w:styleId="FollowedHyperlink">
    <w:name w:val="FollowedHyperlink"/>
    <w:basedOn w:val="DefaultParagraphFont"/>
    <w:uiPriority w:val="99"/>
    <w:semiHidden/>
    <w:unhideWhenUsed/>
    <w:rsid w:val="00776DF0"/>
    <w:rPr>
      <w:color w:val="954F72" w:themeColor="followedHyperlink"/>
      <w:u w:val="single"/>
    </w:rPr>
  </w:style>
  <w:style w:type="paragraph" w:styleId="NormalWeb">
    <w:name w:val="Normal (Web)"/>
    <w:basedOn w:val="Normal"/>
    <w:uiPriority w:val="99"/>
    <w:semiHidden/>
    <w:unhideWhenUsed/>
    <w:rsid w:val="009C661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4124">
      <w:bodyDiv w:val="1"/>
      <w:marLeft w:val="0"/>
      <w:marRight w:val="0"/>
      <w:marTop w:val="0"/>
      <w:marBottom w:val="0"/>
      <w:divBdr>
        <w:top w:val="none" w:sz="0" w:space="0" w:color="auto"/>
        <w:left w:val="none" w:sz="0" w:space="0" w:color="auto"/>
        <w:bottom w:val="none" w:sz="0" w:space="0" w:color="auto"/>
        <w:right w:val="none" w:sz="0" w:space="0" w:color="auto"/>
      </w:divBdr>
    </w:div>
    <w:div w:id="380254707">
      <w:bodyDiv w:val="1"/>
      <w:marLeft w:val="0"/>
      <w:marRight w:val="0"/>
      <w:marTop w:val="0"/>
      <w:marBottom w:val="0"/>
      <w:divBdr>
        <w:top w:val="none" w:sz="0" w:space="0" w:color="auto"/>
        <w:left w:val="none" w:sz="0" w:space="0" w:color="auto"/>
        <w:bottom w:val="none" w:sz="0" w:space="0" w:color="auto"/>
        <w:right w:val="none" w:sz="0" w:space="0" w:color="auto"/>
      </w:divBdr>
      <w:divsChild>
        <w:div w:id="946161212">
          <w:marLeft w:val="0"/>
          <w:marRight w:val="0"/>
          <w:marTop w:val="0"/>
          <w:marBottom w:val="0"/>
          <w:divBdr>
            <w:top w:val="none" w:sz="0" w:space="0" w:color="auto"/>
            <w:left w:val="none" w:sz="0" w:space="0" w:color="auto"/>
            <w:bottom w:val="none" w:sz="0" w:space="0" w:color="auto"/>
            <w:right w:val="none" w:sz="0" w:space="0" w:color="auto"/>
          </w:divBdr>
          <w:divsChild>
            <w:div w:id="2017615503">
              <w:marLeft w:val="0"/>
              <w:marRight w:val="0"/>
              <w:marTop w:val="0"/>
              <w:marBottom w:val="0"/>
              <w:divBdr>
                <w:top w:val="none" w:sz="0" w:space="0" w:color="auto"/>
                <w:left w:val="none" w:sz="0" w:space="0" w:color="auto"/>
                <w:bottom w:val="none" w:sz="0" w:space="0" w:color="auto"/>
                <w:right w:val="none" w:sz="0" w:space="0" w:color="auto"/>
              </w:divBdr>
              <w:divsChild>
                <w:div w:id="352994305">
                  <w:marLeft w:val="0"/>
                  <w:marRight w:val="0"/>
                  <w:marTop w:val="0"/>
                  <w:marBottom w:val="0"/>
                  <w:divBdr>
                    <w:top w:val="none" w:sz="0" w:space="0" w:color="auto"/>
                    <w:left w:val="none" w:sz="0" w:space="0" w:color="auto"/>
                    <w:bottom w:val="none" w:sz="0" w:space="0" w:color="auto"/>
                    <w:right w:val="none" w:sz="0" w:space="0" w:color="auto"/>
                  </w:divBdr>
                  <w:divsChild>
                    <w:div w:id="7359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7088">
      <w:bodyDiv w:val="1"/>
      <w:marLeft w:val="0"/>
      <w:marRight w:val="0"/>
      <w:marTop w:val="0"/>
      <w:marBottom w:val="0"/>
      <w:divBdr>
        <w:top w:val="none" w:sz="0" w:space="0" w:color="auto"/>
        <w:left w:val="none" w:sz="0" w:space="0" w:color="auto"/>
        <w:bottom w:val="none" w:sz="0" w:space="0" w:color="auto"/>
        <w:right w:val="none" w:sz="0" w:space="0" w:color="auto"/>
      </w:divBdr>
    </w:div>
    <w:div w:id="641933848">
      <w:bodyDiv w:val="1"/>
      <w:marLeft w:val="0"/>
      <w:marRight w:val="0"/>
      <w:marTop w:val="0"/>
      <w:marBottom w:val="0"/>
      <w:divBdr>
        <w:top w:val="none" w:sz="0" w:space="0" w:color="auto"/>
        <w:left w:val="none" w:sz="0" w:space="0" w:color="auto"/>
        <w:bottom w:val="none" w:sz="0" w:space="0" w:color="auto"/>
        <w:right w:val="none" w:sz="0" w:space="0" w:color="auto"/>
      </w:divBdr>
      <w:divsChild>
        <w:div w:id="175731621">
          <w:marLeft w:val="0"/>
          <w:marRight w:val="0"/>
          <w:marTop w:val="0"/>
          <w:marBottom w:val="0"/>
          <w:divBdr>
            <w:top w:val="none" w:sz="0" w:space="0" w:color="auto"/>
            <w:left w:val="none" w:sz="0" w:space="0" w:color="auto"/>
            <w:bottom w:val="none" w:sz="0" w:space="0" w:color="auto"/>
            <w:right w:val="none" w:sz="0" w:space="0" w:color="auto"/>
          </w:divBdr>
          <w:divsChild>
            <w:div w:id="2022732181">
              <w:marLeft w:val="0"/>
              <w:marRight w:val="0"/>
              <w:marTop w:val="0"/>
              <w:marBottom w:val="0"/>
              <w:divBdr>
                <w:top w:val="none" w:sz="0" w:space="0" w:color="auto"/>
                <w:left w:val="none" w:sz="0" w:space="0" w:color="auto"/>
                <w:bottom w:val="none" w:sz="0" w:space="0" w:color="auto"/>
                <w:right w:val="none" w:sz="0" w:space="0" w:color="auto"/>
              </w:divBdr>
              <w:divsChild>
                <w:div w:id="2058431771">
                  <w:marLeft w:val="0"/>
                  <w:marRight w:val="0"/>
                  <w:marTop w:val="0"/>
                  <w:marBottom w:val="0"/>
                  <w:divBdr>
                    <w:top w:val="none" w:sz="0" w:space="0" w:color="auto"/>
                    <w:left w:val="none" w:sz="0" w:space="0" w:color="auto"/>
                    <w:bottom w:val="none" w:sz="0" w:space="0" w:color="auto"/>
                    <w:right w:val="none" w:sz="0" w:space="0" w:color="auto"/>
                  </w:divBdr>
                  <w:divsChild>
                    <w:div w:id="3056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8541">
      <w:bodyDiv w:val="1"/>
      <w:marLeft w:val="0"/>
      <w:marRight w:val="0"/>
      <w:marTop w:val="0"/>
      <w:marBottom w:val="0"/>
      <w:divBdr>
        <w:top w:val="none" w:sz="0" w:space="0" w:color="auto"/>
        <w:left w:val="none" w:sz="0" w:space="0" w:color="auto"/>
        <w:bottom w:val="none" w:sz="0" w:space="0" w:color="auto"/>
        <w:right w:val="none" w:sz="0" w:space="0" w:color="auto"/>
      </w:divBdr>
      <w:divsChild>
        <w:div w:id="291012526">
          <w:marLeft w:val="0"/>
          <w:marRight w:val="0"/>
          <w:marTop w:val="0"/>
          <w:marBottom w:val="0"/>
          <w:divBdr>
            <w:top w:val="none" w:sz="0" w:space="0" w:color="auto"/>
            <w:left w:val="none" w:sz="0" w:space="0" w:color="auto"/>
            <w:bottom w:val="none" w:sz="0" w:space="0" w:color="auto"/>
            <w:right w:val="none" w:sz="0" w:space="0" w:color="auto"/>
          </w:divBdr>
          <w:divsChild>
            <w:div w:id="1665352172">
              <w:marLeft w:val="0"/>
              <w:marRight w:val="0"/>
              <w:marTop w:val="0"/>
              <w:marBottom w:val="0"/>
              <w:divBdr>
                <w:top w:val="none" w:sz="0" w:space="0" w:color="auto"/>
                <w:left w:val="none" w:sz="0" w:space="0" w:color="auto"/>
                <w:bottom w:val="none" w:sz="0" w:space="0" w:color="auto"/>
                <w:right w:val="none" w:sz="0" w:space="0" w:color="auto"/>
              </w:divBdr>
            </w:div>
          </w:divsChild>
        </w:div>
        <w:div w:id="1649162755">
          <w:marLeft w:val="0"/>
          <w:marRight w:val="0"/>
          <w:marTop w:val="0"/>
          <w:marBottom w:val="0"/>
          <w:divBdr>
            <w:top w:val="none" w:sz="0" w:space="0" w:color="auto"/>
            <w:left w:val="none" w:sz="0" w:space="0" w:color="auto"/>
            <w:bottom w:val="none" w:sz="0" w:space="0" w:color="auto"/>
            <w:right w:val="none" w:sz="0" w:space="0" w:color="auto"/>
          </w:divBdr>
          <w:divsChild>
            <w:div w:id="1427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589">
      <w:bodyDiv w:val="1"/>
      <w:marLeft w:val="0"/>
      <w:marRight w:val="0"/>
      <w:marTop w:val="0"/>
      <w:marBottom w:val="0"/>
      <w:divBdr>
        <w:top w:val="none" w:sz="0" w:space="0" w:color="auto"/>
        <w:left w:val="none" w:sz="0" w:space="0" w:color="auto"/>
        <w:bottom w:val="none" w:sz="0" w:space="0" w:color="auto"/>
        <w:right w:val="none" w:sz="0" w:space="0" w:color="auto"/>
      </w:divBdr>
    </w:div>
    <w:div w:id="1115516996">
      <w:bodyDiv w:val="1"/>
      <w:marLeft w:val="0"/>
      <w:marRight w:val="0"/>
      <w:marTop w:val="0"/>
      <w:marBottom w:val="0"/>
      <w:divBdr>
        <w:top w:val="none" w:sz="0" w:space="0" w:color="auto"/>
        <w:left w:val="none" w:sz="0" w:space="0" w:color="auto"/>
        <w:bottom w:val="none" w:sz="0" w:space="0" w:color="auto"/>
        <w:right w:val="none" w:sz="0" w:space="0" w:color="auto"/>
      </w:divBdr>
    </w:div>
    <w:div w:id="1155997653">
      <w:bodyDiv w:val="1"/>
      <w:marLeft w:val="0"/>
      <w:marRight w:val="0"/>
      <w:marTop w:val="0"/>
      <w:marBottom w:val="0"/>
      <w:divBdr>
        <w:top w:val="none" w:sz="0" w:space="0" w:color="auto"/>
        <w:left w:val="none" w:sz="0" w:space="0" w:color="auto"/>
        <w:bottom w:val="none" w:sz="0" w:space="0" w:color="auto"/>
        <w:right w:val="none" w:sz="0" w:space="0" w:color="auto"/>
      </w:divBdr>
      <w:divsChild>
        <w:div w:id="910577519">
          <w:marLeft w:val="0"/>
          <w:marRight w:val="0"/>
          <w:marTop w:val="0"/>
          <w:marBottom w:val="0"/>
          <w:divBdr>
            <w:top w:val="none" w:sz="0" w:space="0" w:color="auto"/>
            <w:left w:val="none" w:sz="0" w:space="0" w:color="auto"/>
            <w:bottom w:val="none" w:sz="0" w:space="0" w:color="auto"/>
            <w:right w:val="none" w:sz="0" w:space="0" w:color="auto"/>
          </w:divBdr>
          <w:divsChild>
            <w:div w:id="722213374">
              <w:marLeft w:val="0"/>
              <w:marRight w:val="0"/>
              <w:marTop w:val="0"/>
              <w:marBottom w:val="0"/>
              <w:divBdr>
                <w:top w:val="none" w:sz="0" w:space="0" w:color="auto"/>
                <w:left w:val="none" w:sz="0" w:space="0" w:color="auto"/>
                <w:bottom w:val="none" w:sz="0" w:space="0" w:color="auto"/>
                <w:right w:val="none" w:sz="0" w:space="0" w:color="auto"/>
              </w:divBdr>
            </w:div>
          </w:divsChild>
        </w:div>
        <w:div w:id="1954943069">
          <w:marLeft w:val="0"/>
          <w:marRight w:val="0"/>
          <w:marTop w:val="0"/>
          <w:marBottom w:val="0"/>
          <w:divBdr>
            <w:top w:val="none" w:sz="0" w:space="0" w:color="auto"/>
            <w:left w:val="none" w:sz="0" w:space="0" w:color="auto"/>
            <w:bottom w:val="none" w:sz="0" w:space="0" w:color="auto"/>
            <w:right w:val="none" w:sz="0" w:space="0" w:color="auto"/>
          </w:divBdr>
          <w:divsChild>
            <w:div w:id="19503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3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52">
          <w:marLeft w:val="0"/>
          <w:marRight w:val="0"/>
          <w:marTop w:val="0"/>
          <w:marBottom w:val="0"/>
          <w:divBdr>
            <w:top w:val="none" w:sz="0" w:space="0" w:color="auto"/>
            <w:left w:val="none" w:sz="0" w:space="0" w:color="auto"/>
            <w:bottom w:val="none" w:sz="0" w:space="0" w:color="auto"/>
            <w:right w:val="none" w:sz="0" w:space="0" w:color="auto"/>
          </w:divBdr>
          <w:divsChild>
            <w:div w:id="1272973444">
              <w:marLeft w:val="0"/>
              <w:marRight w:val="0"/>
              <w:marTop w:val="0"/>
              <w:marBottom w:val="0"/>
              <w:divBdr>
                <w:top w:val="none" w:sz="0" w:space="0" w:color="auto"/>
                <w:left w:val="none" w:sz="0" w:space="0" w:color="auto"/>
                <w:bottom w:val="none" w:sz="0" w:space="0" w:color="auto"/>
                <w:right w:val="none" w:sz="0" w:space="0" w:color="auto"/>
              </w:divBdr>
            </w:div>
          </w:divsChild>
        </w:div>
        <w:div w:id="993602892">
          <w:marLeft w:val="0"/>
          <w:marRight w:val="0"/>
          <w:marTop w:val="0"/>
          <w:marBottom w:val="0"/>
          <w:divBdr>
            <w:top w:val="none" w:sz="0" w:space="0" w:color="auto"/>
            <w:left w:val="none" w:sz="0" w:space="0" w:color="auto"/>
            <w:bottom w:val="none" w:sz="0" w:space="0" w:color="auto"/>
            <w:right w:val="none" w:sz="0" w:space="0" w:color="auto"/>
          </w:divBdr>
          <w:divsChild>
            <w:div w:id="1925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38">
      <w:bodyDiv w:val="1"/>
      <w:marLeft w:val="0"/>
      <w:marRight w:val="0"/>
      <w:marTop w:val="0"/>
      <w:marBottom w:val="0"/>
      <w:divBdr>
        <w:top w:val="none" w:sz="0" w:space="0" w:color="auto"/>
        <w:left w:val="none" w:sz="0" w:space="0" w:color="auto"/>
        <w:bottom w:val="none" w:sz="0" w:space="0" w:color="auto"/>
        <w:right w:val="none" w:sz="0" w:space="0" w:color="auto"/>
      </w:divBdr>
    </w:div>
    <w:div w:id="1855925078">
      <w:bodyDiv w:val="1"/>
      <w:marLeft w:val="0"/>
      <w:marRight w:val="0"/>
      <w:marTop w:val="0"/>
      <w:marBottom w:val="0"/>
      <w:divBdr>
        <w:top w:val="none" w:sz="0" w:space="0" w:color="auto"/>
        <w:left w:val="none" w:sz="0" w:space="0" w:color="auto"/>
        <w:bottom w:val="none" w:sz="0" w:space="0" w:color="auto"/>
        <w:right w:val="none" w:sz="0" w:space="0" w:color="auto"/>
      </w:divBdr>
    </w:div>
    <w:div w:id="1939369909">
      <w:bodyDiv w:val="1"/>
      <w:marLeft w:val="0"/>
      <w:marRight w:val="0"/>
      <w:marTop w:val="0"/>
      <w:marBottom w:val="0"/>
      <w:divBdr>
        <w:top w:val="none" w:sz="0" w:space="0" w:color="auto"/>
        <w:left w:val="none" w:sz="0" w:space="0" w:color="auto"/>
        <w:bottom w:val="none" w:sz="0" w:space="0" w:color="auto"/>
        <w:right w:val="none" w:sz="0" w:space="0" w:color="auto"/>
      </w:divBdr>
      <w:divsChild>
        <w:div w:id="2008942214">
          <w:marLeft w:val="0"/>
          <w:marRight w:val="0"/>
          <w:marTop w:val="0"/>
          <w:marBottom w:val="0"/>
          <w:divBdr>
            <w:top w:val="none" w:sz="0" w:space="0" w:color="auto"/>
            <w:left w:val="none" w:sz="0" w:space="0" w:color="auto"/>
            <w:bottom w:val="none" w:sz="0" w:space="0" w:color="auto"/>
            <w:right w:val="none" w:sz="0" w:space="0" w:color="auto"/>
          </w:divBdr>
          <w:divsChild>
            <w:div w:id="1548569858">
              <w:marLeft w:val="0"/>
              <w:marRight w:val="0"/>
              <w:marTop w:val="0"/>
              <w:marBottom w:val="0"/>
              <w:divBdr>
                <w:top w:val="none" w:sz="0" w:space="0" w:color="auto"/>
                <w:left w:val="none" w:sz="0" w:space="0" w:color="auto"/>
                <w:bottom w:val="none" w:sz="0" w:space="0" w:color="auto"/>
                <w:right w:val="none" w:sz="0" w:space="0" w:color="auto"/>
              </w:divBdr>
            </w:div>
          </w:divsChild>
        </w:div>
        <w:div w:id="2099666650">
          <w:marLeft w:val="0"/>
          <w:marRight w:val="0"/>
          <w:marTop w:val="0"/>
          <w:marBottom w:val="0"/>
          <w:divBdr>
            <w:top w:val="none" w:sz="0" w:space="0" w:color="auto"/>
            <w:left w:val="none" w:sz="0" w:space="0" w:color="auto"/>
            <w:bottom w:val="none" w:sz="0" w:space="0" w:color="auto"/>
            <w:right w:val="none" w:sz="0" w:space="0" w:color="auto"/>
          </w:divBdr>
          <w:divsChild>
            <w:div w:id="14867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en/system/files/files/iana-naming-sla-amend-process-17dec18-en.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7D79-A3FC-0E4B-8051-22B8ACB2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Naela Sarras</cp:lastModifiedBy>
  <cp:revision>3</cp:revision>
  <cp:lastPrinted>2019-02-05T02:41:00Z</cp:lastPrinted>
  <dcterms:created xsi:type="dcterms:W3CDTF">2019-03-05T22:07:00Z</dcterms:created>
  <dcterms:modified xsi:type="dcterms:W3CDTF">2019-03-06T17:21:00Z</dcterms:modified>
</cp:coreProperties>
</file>