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780" w:rsidRPr="00F75FF6" w:rsidRDefault="00A61780" w:rsidP="00A61780">
      <w:pPr>
        <w:rPr>
          <w:b/>
          <w:bCs/>
          <w:color w:val="000000" w:themeColor="text1"/>
        </w:rPr>
      </w:pPr>
      <w:r w:rsidRPr="00F75FF6">
        <w:rPr>
          <w:b/>
          <w:bCs/>
          <w:color w:val="000000" w:themeColor="text1"/>
        </w:rPr>
        <w:t>IDN Implementation Guidelines (IDNG) Working Group (WG)</w:t>
      </w:r>
    </w:p>
    <w:p w:rsidR="00A61780" w:rsidRPr="00F75FF6" w:rsidRDefault="00A61780" w:rsidP="00CA2957">
      <w:pPr>
        <w:rPr>
          <w:b/>
          <w:bCs/>
          <w:color w:val="000000" w:themeColor="text1"/>
        </w:rPr>
      </w:pPr>
      <w:r w:rsidRPr="00F75FF6">
        <w:rPr>
          <w:b/>
          <w:bCs/>
          <w:color w:val="000000" w:themeColor="text1"/>
        </w:rPr>
        <w:t xml:space="preserve">Notes from Meeting on </w:t>
      </w:r>
      <w:r w:rsidR="00306428">
        <w:rPr>
          <w:b/>
          <w:bCs/>
          <w:color w:val="000000" w:themeColor="text1"/>
        </w:rPr>
        <w:t>25</w:t>
      </w:r>
      <w:r w:rsidR="00CA2957">
        <w:rPr>
          <w:b/>
          <w:bCs/>
          <w:color w:val="000000" w:themeColor="text1"/>
        </w:rPr>
        <w:t xml:space="preserve"> </w:t>
      </w:r>
      <w:r w:rsidR="00387776">
        <w:rPr>
          <w:b/>
          <w:bCs/>
          <w:color w:val="000000" w:themeColor="text1"/>
        </w:rPr>
        <w:t>May</w:t>
      </w:r>
      <w:r w:rsidR="00F04826">
        <w:rPr>
          <w:b/>
          <w:bCs/>
          <w:color w:val="000000" w:themeColor="text1"/>
        </w:rPr>
        <w:t>,</w:t>
      </w:r>
      <w:r w:rsidRPr="00F75FF6">
        <w:rPr>
          <w:b/>
          <w:bCs/>
          <w:color w:val="000000" w:themeColor="text1"/>
        </w:rPr>
        <w:t xml:space="preserve"> 201</w:t>
      </w:r>
      <w:r w:rsidR="00BD769C">
        <w:rPr>
          <w:b/>
          <w:bCs/>
          <w:color w:val="000000" w:themeColor="text1"/>
        </w:rPr>
        <w:t>7</w:t>
      </w:r>
    </w:p>
    <w:p w:rsidR="00B6339C" w:rsidRPr="00F75FF6" w:rsidRDefault="007100C7" w:rsidP="00A61780">
      <w:pPr>
        <w:rPr>
          <w:color w:val="000000" w:themeColor="text1"/>
          <w:u w:val="single"/>
        </w:rPr>
      </w:pPr>
      <w:r w:rsidRPr="00F75FF6">
        <w:rPr>
          <w:color w:val="000000" w:themeColor="text1"/>
          <w:u w:val="single"/>
        </w:rPr>
        <w:t>Meeting Attendees</w:t>
      </w:r>
      <w:r w:rsidR="00387776">
        <w:rPr>
          <w:color w:val="000000" w:themeColor="text1"/>
          <w:u w:val="single"/>
        </w:rPr>
        <w:t xml:space="preserve"> </w:t>
      </w:r>
      <w:r w:rsidR="009757CD" w:rsidRPr="00F75FF6">
        <w:rPr>
          <w:color w:val="000000" w:themeColor="text1"/>
        </w:rPr>
        <w:t>(in alphabetical order)</w:t>
      </w:r>
    </w:p>
    <w:p w:rsidR="00A61780" w:rsidRPr="00F75FF6" w:rsidRDefault="007E6AF4" w:rsidP="00E209AC">
      <w:pPr>
        <w:spacing w:after="0"/>
        <w:rPr>
          <w:color w:val="000000" w:themeColor="text1"/>
        </w:rPr>
      </w:pPr>
      <w:r w:rsidRPr="00F75FF6">
        <w:rPr>
          <w:color w:val="000000" w:themeColor="text1"/>
        </w:rPr>
        <w:tab/>
      </w:r>
      <w:r w:rsidR="00AA1F90" w:rsidRPr="00F75FF6">
        <w:rPr>
          <w:color w:val="000000" w:themeColor="text1"/>
        </w:rPr>
        <w:t>WG</w:t>
      </w:r>
      <w:r w:rsidR="00B6339C" w:rsidRPr="00F75FF6">
        <w:rPr>
          <w:color w:val="000000" w:themeColor="text1"/>
        </w:rPr>
        <w:t xml:space="preserve"> members</w:t>
      </w:r>
      <w:r w:rsidR="007100C7" w:rsidRPr="00F75FF6">
        <w:rPr>
          <w:color w:val="000000" w:themeColor="text1"/>
        </w:rPr>
        <w:t>:</w:t>
      </w:r>
    </w:p>
    <w:p w:rsidR="00F147AF" w:rsidRDefault="00F147AF" w:rsidP="00F147AF">
      <w:pPr>
        <w:pStyle w:val="ListParagraph"/>
        <w:numPr>
          <w:ilvl w:val="0"/>
          <w:numId w:val="2"/>
        </w:numPr>
        <w:rPr>
          <w:color w:val="000000" w:themeColor="text1"/>
        </w:rPr>
      </w:pPr>
      <w:r>
        <w:rPr>
          <w:color w:val="000000" w:themeColor="text1"/>
        </w:rPr>
        <w:t>Dennis Tanaka</w:t>
      </w:r>
    </w:p>
    <w:p w:rsidR="00387776" w:rsidRDefault="00387776" w:rsidP="00387776">
      <w:pPr>
        <w:pStyle w:val="ListParagraph"/>
        <w:numPr>
          <w:ilvl w:val="0"/>
          <w:numId w:val="2"/>
        </w:numPr>
        <w:rPr>
          <w:color w:val="000000" w:themeColor="text1"/>
        </w:rPr>
      </w:pPr>
      <w:r>
        <w:rPr>
          <w:color w:val="000000" w:themeColor="text1"/>
        </w:rPr>
        <w:t>Mats Dufberg</w:t>
      </w:r>
    </w:p>
    <w:p w:rsidR="00CA2957" w:rsidRDefault="00CA2957" w:rsidP="00CA2957">
      <w:pPr>
        <w:pStyle w:val="ListParagraph"/>
        <w:numPr>
          <w:ilvl w:val="0"/>
          <w:numId w:val="2"/>
        </w:numPr>
        <w:rPr>
          <w:color w:val="000000" w:themeColor="text1"/>
        </w:rPr>
      </w:pPr>
      <w:r>
        <w:rPr>
          <w:color w:val="000000" w:themeColor="text1"/>
        </w:rPr>
        <w:t>Satish Babu</w:t>
      </w:r>
    </w:p>
    <w:p w:rsidR="00AA1F90" w:rsidRPr="00F75FF6" w:rsidRDefault="007E6AF4" w:rsidP="00AA1F90">
      <w:pPr>
        <w:pStyle w:val="ListParagraph"/>
        <w:ind w:left="0"/>
        <w:rPr>
          <w:color w:val="000000" w:themeColor="text1"/>
        </w:rPr>
      </w:pPr>
      <w:r w:rsidRPr="00F75FF6">
        <w:rPr>
          <w:color w:val="000000" w:themeColor="text1"/>
        </w:rPr>
        <w:tab/>
        <w:t>Staff</w:t>
      </w:r>
      <w:r w:rsidR="007100C7" w:rsidRPr="00F75FF6">
        <w:rPr>
          <w:color w:val="000000" w:themeColor="text1"/>
        </w:rPr>
        <w:t>:</w:t>
      </w:r>
    </w:p>
    <w:p w:rsidR="00073921" w:rsidRPr="00F75FF6" w:rsidRDefault="00AA1F90" w:rsidP="0033160D">
      <w:pPr>
        <w:pStyle w:val="ListParagraph"/>
        <w:numPr>
          <w:ilvl w:val="0"/>
          <w:numId w:val="2"/>
        </w:numPr>
        <w:rPr>
          <w:color w:val="000000" w:themeColor="text1"/>
        </w:rPr>
      </w:pPr>
      <w:r w:rsidRPr="00F75FF6">
        <w:rPr>
          <w:color w:val="000000" w:themeColor="text1"/>
        </w:rPr>
        <w:t xml:space="preserve">Sarmad Hussain </w:t>
      </w:r>
    </w:p>
    <w:p w:rsidR="00A61780" w:rsidRDefault="007100C7" w:rsidP="00A61780">
      <w:pPr>
        <w:rPr>
          <w:color w:val="000000" w:themeColor="text1"/>
          <w:u w:val="single"/>
        </w:rPr>
      </w:pPr>
      <w:r w:rsidRPr="00F75FF6">
        <w:rPr>
          <w:color w:val="000000" w:themeColor="text1"/>
          <w:u w:val="single"/>
        </w:rPr>
        <w:t>Meeting Notes</w:t>
      </w:r>
    </w:p>
    <w:p w:rsidR="009D4314" w:rsidRPr="009D4314" w:rsidRDefault="009D4314" w:rsidP="00BD769C">
      <w:pPr>
        <w:rPr>
          <w:color w:val="000000" w:themeColor="text1"/>
        </w:rPr>
      </w:pPr>
      <w:r>
        <w:rPr>
          <w:color w:val="000000" w:themeColor="text1"/>
        </w:rPr>
        <w:t xml:space="preserve">The WG members </w:t>
      </w:r>
      <w:r w:rsidR="00E54F2C">
        <w:rPr>
          <w:color w:val="000000" w:themeColor="text1"/>
        </w:rPr>
        <w:t>continued to discuss</w:t>
      </w:r>
      <w:r w:rsidR="00387776">
        <w:rPr>
          <w:color w:val="000000" w:themeColor="text1"/>
        </w:rPr>
        <w:t xml:space="preserve"> the public comments received, based on the PC summary circulated to the WG members</w:t>
      </w:r>
      <w:r w:rsidR="009C5C1A" w:rsidRPr="009C5C1A">
        <w:rPr>
          <w:color w:val="000000" w:themeColor="text1"/>
        </w:rPr>
        <w:t>.</w:t>
      </w:r>
    </w:p>
    <w:p w:rsidR="00E54F2C" w:rsidRPr="00E54F2C" w:rsidRDefault="00E54F2C" w:rsidP="00E54F2C">
      <w:pPr>
        <w:pStyle w:val="ListParagraph"/>
        <w:numPr>
          <w:ilvl w:val="0"/>
          <w:numId w:val="1"/>
        </w:numPr>
        <w:rPr>
          <w:b/>
          <w:bCs/>
          <w:color w:val="000000" w:themeColor="text1"/>
        </w:rPr>
      </w:pPr>
      <w:r>
        <w:rPr>
          <w:b/>
          <w:bCs/>
          <w:color w:val="000000" w:themeColor="text1"/>
        </w:rPr>
        <w:t xml:space="preserve">Comments: O-X1 - O-X3.  </w:t>
      </w:r>
      <w:r>
        <w:rPr>
          <w:color w:val="000000" w:themeColor="text1"/>
        </w:rPr>
        <w:t xml:space="preserve"> </w:t>
      </w:r>
      <w:r>
        <w:rPr>
          <w:color w:val="000000" w:themeColor="text1"/>
        </w:rPr>
        <w:t xml:space="preserve">The discussion continued from last meeting.  It was noted that first the </w:t>
      </w:r>
      <w:proofErr w:type="spellStart"/>
      <w:r>
        <w:rPr>
          <w:color w:val="000000" w:themeColor="text1"/>
        </w:rPr>
        <w:t>confusables</w:t>
      </w:r>
      <w:proofErr w:type="spellEnd"/>
      <w:r>
        <w:rPr>
          <w:color w:val="000000" w:themeColor="text1"/>
        </w:rPr>
        <w:t xml:space="preserve"> are not limited to IDNs.  Second, TR39 is an algorithm but the real issue is the </w:t>
      </w:r>
      <w:r w:rsidR="003B3457">
        <w:rPr>
          <w:color w:val="000000" w:themeColor="text1"/>
        </w:rPr>
        <w:t xml:space="preserve">reference </w:t>
      </w:r>
      <w:r>
        <w:rPr>
          <w:color w:val="000000" w:themeColor="text1"/>
        </w:rPr>
        <w:t>repertoire and that there is no authoritative source available – WG considered confusables.txt and intentaional.txt at the time of the initial discussion of this recommendation and decided that neither was sufficient, one is too liberal and the other narrow.  Thus, the suggested te</w:t>
      </w:r>
      <w:r w:rsidR="003B3457">
        <w:rPr>
          <w:color w:val="000000" w:themeColor="text1"/>
        </w:rPr>
        <w:t>xt was proposed as a compromise</w:t>
      </w:r>
      <w:r>
        <w:rPr>
          <w:color w:val="000000" w:themeColor="text1"/>
        </w:rPr>
        <w:t xml:space="preserve">.  </w:t>
      </w:r>
    </w:p>
    <w:p w:rsidR="00E54F2C" w:rsidRDefault="00E54F2C" w:rsidP="00E54F2C">
      <w:pPr>
        <w:pStyle w:val="ListParagraph"/>
        <w:rPr>
          <w:b/>
          <w:bCs/>
          <w:color w:val="000000" w:themeColor="text1"/>
        </w:rPr>
      </w:pPr>
    </w:p>
    <w:p w:rsidR="00E54F2C" w:rsidRDefault="00E54F2C" w:rsidP="00E54F2C">
      <w:pPr>
        <w:pStyle w:val="ListParagraph"/>
        <w:rPr>
          <w:color w:val="000000" w:themeColor="text1"/>
        </w:rPr>
      </w:pPr>
      <w:r>
        <w:rPr>
          <w:color w:val="000000" w:themeColor="text1"/>
        </w:rPr>
        <w:t xml:space="preserve">It was proposed a middle way could be to require at least the intentional.txt should be required.  However, other members of WG stated that it should be addressed by the registries.  </w:t>
      </w:r>
      <w:r w:rsidR="001074D9">
        <w:rPr>
          <w:color w:val="000000" w:themeColor="text1"/>
        </w:rPr>
        <w:t xml:space="preserve">It was shared that there may also be some misunderstanding between what IDN Guidelines can do and community expects, e.g. the example of </w:t>
      </w:r>
      <w:r w:rsidR="001074D9" w:rsidRPr="001074D9">
        <w:rPr>
          <w:color w:val="000000" w:themeColor="text1"/>
        </w:rPr>
        <w:t>"g00gle.com"</w:t>
      </w:r>
      <w:r w:rsidR="001074D9">
        <w:rPr>
          <w:color w:val="000000" w:themeColor="text1"/>
        </w:rPr>
        <w:t xml:space="preserve"> given in the comment of </w:t>
      </w:r>
      <w:proofErr w:type="spellStart"/>
      <w:r w:rsidR="001074D9">
        <w:rPr>
          <w:color w:val="000000" w:themeColor="text1"/>
        </w:rPr>
        <w:t>GoI</w:t>
      </w:r>
      <w:proofErr w:type="spellEnd"/>
      <w:r w:rsidR="00D07B7E">
        <w:rPr>
          <w:color w:val="000000" w:themeColor="text1"/>
        </w:rPr>
        <w:t>, which is ASCII</w:t>
      </w:r>
      <w:r w:rsidR="001074D9">
        <w:rPr>
          <w:color w:val="000000" w:themeColor="text1"/>
        </w:rPr>
        <w:t>.</w:t>
      </w:r>
    </w:p>
    <w:p w:rsidR="001074D9" w:rsidRDefault="001074D9" w:rsidP="00E54F2C">
      <w:pPr>
        <w:pStyle w:val="ListParagraph"/>
        <w:rPr>
          <w:color w:val="000000" w:themeColor="text1"/>
        </w:rPr>
      </w:pPr>
    </w:p>
    <w:p w:rsidR="001074D9" w:rsidRDefault="00D07B7E" w:rsidP="00E54F2C">
      <w:pPr>
        <w:pStyle w:val="ListParagraph"/>
        <w:rPr>
          <w:color w:val="000000" w:themeColor="text1"/>
        </w:rPr>
      </w:pPr>
      <w:r>
        <w:rPr>
          <w:color w:val="000000" w:themeColor="text1"/>
        </w:rPr>
        <w:t>However, it was also</w:t>
      </w:r>
      <w:r w:rsidR="005B028C">
        <w:rPr>
          <w:color w:val="000000" w:themeColor="text1"/>
        </w:rPr>
        <w:t xml:space="preserve"> raised that a gap still exists between what has been suggested by the guidelines and what the community is asking for, for protecting the end user by preventing the user confusion.  </w:t>
      </w:r>
    </w:p>
    <w:p w:rsidR="005B028C" w:rsidRDefault="005B028C" w:rsidP="00E54F2C">
      <w:pPr>
        <w:pStyle w:val="ListParagraph"/>
        <w:rPr>
          <w:color w:val="000000" w:themeColor="text1"/>
        </w:rPr>
      </w:pPr>
    </w:p>
    <w:p w:rsidR="005B028C" w:rsidRDefault="00D07B7E" w:rsidP="00E54F2C">
      <w:pPr>
        <w:pStyle w:val="ListParagraph"/>
        <w:rPr>
          <w:color w:val="000000" w:themeColor="text1"/>
        </w:rPr>
      </w:pPr>
      <w:r>
        <w:rPr>
          <w:color w:val="000000" w:themeColor="text1"/>
        </w:rPr>
        <w:t>T</w:t>
      </w:r>
      <w:r w:rsidR="005B028C">
        <w:rPr>
          <w:color w:val="000000" w:themeColor="text1"/>
        </w:rPr>
        <w:t>here are two points</w:t>
      </w:r>
      <w:r w:rsidR="00966DBE">
        <w:rPr>
          <w:color w:val="000000" w:themeColor="text1"/>
        </w:rPr>
        <w:t xml:space="preserve"> raised by O-X.  First, the point being discussed, of changing “may” to “must”, and second, that these labels should be termed as variants and thus allocated to same registrant or blocked.</w:t>
      </w:r>
    </w:p>
    <w:p w:rsidR="00966DBE" w:rsidRDefault="00966DBE" w:rsidP="00E54F2C">
      <w:pPr>
        <w:pStyle w:val="ListParagraph"/>
        <w:rPr>
          <w:color w:val="000000" w:themeColor="text1"/>
        </w:rPr>
      </w:pPr>
    </w:p>
    <w:p w:rsidR="00966DBE" w:rsidRDefault="00966DBE" w:rsidP="00E54F2C">
      <w:pPr>
        <w:pStyle w:val="ListParagraph"/>
        <w:rPr>
          <w:color w:val="000000" w:themeColor="text1"/>
        </w:rPr>
      </w:pPr>
      <w:r>
        <w:rPr>
          <w:color w:val="000000" w:themeColor="text1"/>
        </w:rPr>
        <w:t xml:space="preserve">It was agreed to </w:t>
      </w:r>
      <w:r w:rsidR="00D07B7E">
        <w:rPr>
          <w:color w:val="000000" w:themeColor="text1"/>
        </w:rPr>
        <w:t>defer the discussion until more members of WG</w:t>
      </w:r>
      <w:r>
        <w:rPr>
          <w:color w:val="000000" w:themeColor="text1"/>
        </w:rPr>
        <w:t xml:space="preserve"> </w:t>
      </w:r>
      <w:r w:rsidR="00D07B7E">
        <w:rPr>
          <w:color w:val="000000" w:themeColor="text1"/>
        </w:rPr>
        <w:t>are</w:t>
      </w:r>
      <w:r>
        <w:rPr>
          <w:color w:val="000000" w:themeColor="text1"/>
        </w:rPr>
        <w:t xml:space="preserve"> online for discussion.  An alternate would be to have a</w:t>
      </w:r>
      <w:r w:rsidR="00D07B7E">
        <w:rPr>
          <w:color w:val="000000" w:themeColor="text1"/>
        </w:rPr>
        <w:t>n</w:t>
      </w:r>
      <w:r>
        <w:rPr>
          <w:color w:val="000000" w:themeColor="text1"/>
        </w:rPr>
        <w:t xml:space="preserve"> initial discussion and get others’ feedback through email, </w:t>
      </w:r>
      <w:proofErr w:type="gramStart"/>
      <w:r>
        <w:rPr>
          <w:color w:val="000000" w:themeColor="text1"/>
        </w:rPr>
        <w:t>in order to</w:t>
      </w:r>
      <w:proofErr w:type="gramEnd"/>
      <w:r>
        <w:rPr>
          <w:color w:val="000000" w:themeColor="text1"/>
        </w:rPr>
        <w:t xml:space="preserve"> make progress. </w:t>
      </w:r>
    </w:p>
    <w:p w:rsidR="00966DBE" w:rsidRDefault="00966DBE" w:rsidP="00E54F2C">
      <w:pPr>
        <w:pStyle w:val="ListParagraph"/>
        <w:rPr>
          <w:color w:val="000000" w:themeColor="text1"/>
        </w:rPr>
      </w:pPr>
    </w:p>
    <w:p w:rsidR="00966DBE" w:rsidRDefault="00D52A39" w:rsidP="00E54F2C">
      <w:pPr>
        <w:pStyle w:val="ListParagraph"/>
        <w:rPr>
          <w:color w:val="000000" w:themeColor="text1"/>
        </w:rPr>
      </w:pPr>
      <w:r>
        <w:rPr>
          <w:color w:val="000000" w:themeColor="text1"/>
        </w:rPr>
        <w:t>It was suggested that if the change to “must” is needed, a short rationale should be developed for it with its potential impact on the registries.  The final decision on how to proceed was parked.</w:t>
      </w:r>
    </w:p>
    <w:p w:rsidR="00E54F2C" w:rsidRPr="00DF10A3" w:rsidRDefault="00E54F2C" w:rsidP="00E54F2C">
      <w:pPr>
        <w:pStyle w:val="ListParagraph"/>
        <w:rPr>
          <w:b/>
          <w:bCs/>
          <w:color w:val="000000" w:themeColor="text1"/>
        </w:rPr>
      </w:pPr>
    </w:p>
    <w:p w:rsidR="00B96461" w:rsidRDefault="00664CB8" w:rsidP="00A1512A">
      <w:pPr>
        <w:pStyle w:val="ListParagraph"/>
        <w:numPr>
          <w:ilvl w:val="0"/>
          <w:numId w:val="1"/>
        </w:numPr>
        <w:rPr>
          <w:bCs/>
        </w:rPr>
      </w:pPr>
      <w:r>
        <w:rPr>
          <w:b/>
        </w:rPr>
        <w:lastRenderedPageBreak/>
        <w:t>Comment</w:t>
      </w:r>
      <w:r w:rsidR="00387776">
        <w:rPr>
          <w:b/>
        </w:rPr>
        <w:t xml:space="preserve">: </w:t>
      </w:r>
      <w:r w:rsidR="0066254D">
        <w:rPr>
          <w:b/>
        </w:rPr>
        <w:t>IAB1</w:t>
      </w:r>
      <w:r w:rsidR="002F585C" w:rsidRPr="00387776">
        <w:rPr>
          <w:b/>
        </w:rPr>
        <w:t xml:space="preserve">.  </w:t>
      </w:r>
      <w:r w:rsidR="00543C9B" w:rsidRPr="00387776">
        <w:rPr>
          <w:bCs/>
        </w:rPr>
        <w:t xml:space="preserve"> </w:t>
      </w:r>
      <w:r w:rsidR="0066254D">
        <w:rPr>
          <w:bCs/>
        </w:rPr>
        <w:t xml:space="preserve">RFC 2119 is designed to use terminology for interoperability or security purposes.  The current guidelines could use it but then it may be explained that these are used for security purposes, e.g. those arising from </w:t>
      </w:r>
      <w:proofErr w:type="spellStart"/>
      <w:r w:rsidR="0066254D">
        <w:rPr>
          <w:bCs/>
        </w:rPr>
        <w:t>confusables</w:t>
      </w:r>
      <w:proofErr w:type="spellEnd"/>
      <w:r w:rsidR="0066254D">
        <w:rPr>
          <w:bCs/>
        </w:rPr>
        <w:t xml:space="preserve">.  Other option is to leave out the reference to RFC 2119 but keep the same </w:t>
      </w:r>
      <w:r w:rsidR="00652200">
        <w:rPr>
          <w:bCs/>
        </w:rPr>
        <w:t>terminology.  It was suggested that the definitions could be picked up fro</w:t>
      </w:r>
      <w:r w:rsidR="00E452D2">
        <w:rPr>
          <w:bCs/>
        </w:rPr>
        <w:t xml:space="preserve">m the RFC or defined directly. E.g. “must” for compliance purposes. </w:t>
      </w:r>
    </w:p>
    <w:p w:rsidR="00AD0647" w:rsidRDefault="00AD0647" w:rsidP="00AD0647">
      <w:pPr>
        <w:pStyle w:val="ListParagraph"/>
        <w:rPr>
          <w:bCs/>
        </w:rPr>
      </w:pPr>
    </w:p>
    <w:p w:rsidR="00AD0647" w:rsidRPr="00AD0647" w:rsidRDefault="00AD0647" w:rsidP="00A1512A">
      <w:pPr>
        <w:pStyle w:val="ListParagraph"/>
        <w:numPr>
          <w:ilvl w:val="0"/>
          <w:numId w:val="1"/>
        </w:numPr>
        <w:rPr>
          <w:b/>
        </w:rPr>
      </w:pPr>
      <w:r w:rsidRPr="00AD0647">
        <w:rPr>
          <w:b/>
        </w:rPr>
        <w:t xml:space="preserve">Comment IAB2. </w:t>
      </w:r>
      <w:r>
        <w:rPr>
          <w:bCs/>
        </w:rPr>
        <w:t>It was discussed that this remark supports the WG recommendations and no further action is needed.</w:t>
      </w:r>
    </w:p>
    <w:p w:rsidR="00AD0647" w:rsidRPr="00AD0647" w:rsidRDefault="00AD0647" w:rsidP="00AD0647">
      <w:pPr>
        <w:pStyle w:val="ListParagraph"/>
        <w:rPr>
          <w:b/>
        </w:rPr>
      </w:pPr>
    </w:p>
    <w:p w:rsidR="00AD0647" w:rsidRPr="00AD0647" w:rsidRDefault="00AD0647" w:rsidP="00A1512A">
      <w:pPr>
        <w:pStyle w:val="ListParagraph"/>
        <w:numPr>
          <w:ilvl w:val="0"/>
          <w:numId w:val="1"/>
        </w:numPr>
        <w:rPr>
          <w:b/>
        </w:rPr>
      </w:pPr>
      <w:r w:rsidRPr="00AD0647">
        <w:rPr>
          <w:b/>
        </w:rPr>
        <w:t>Comment IAB</w:t>
      </w:r>
      <w:r>
        <w:rPr>
          <w:b/>
        </w:rPr>
        <w:t>3</w:t>
      </w:r>
      <w:r w:rsidRPr="00AD0647">
        <w:rPr>
          <w:b/>
        </w:rPr>
        <w:t xml:space="preserve">. </w:t>
      </w:r>
      <w:r>
        <w:rPr>
          <w:bCs/>
        </w:rPr>
        <w:t xml:space="preserve">WG discussed the comment by IAB but was not clear what IAB meant as the comment spans six different guidelines.  </w:t>
      </w:r>
    </w:p>
    <w:p w:rsidR="00AD0647" w:rsidRPr="00AD0647" w:rsidRDefault="00AD0647" w:rsidP="00AD0647">
      <w:pPr>
        <w:pStyle w:val="ListParagraph"/>
        <w:rPr>
          <w:b/>
        </w:rPr>
      </w:pPr>
    </w:p>
    <w:p w:rsidR="00CA05BC" w:rsidRPr="00CA05BC" w:rsidRDefault="00AD0647" w:rsidP="00CA05BC">
      <w:pPr>
        <w:pStyle w:val="ListParagraph"/>
        <w:numPr>
          <w:ilvl w:val="0"/>
          <w:numId w:val="1"/>
        </w:numPr>
        <w:rPr>
          <w:b/>
        </w:rPr>
      </w:pPr>
      <w:r w:rsidRPr="00AD0647">
        <w:rPr>
          <w:b/>
        </w:rPr>
        <w:t>Comment IAB</w:t>
      </w:r>
      <w:r>
        <w:rPr>
          <w:b/>
        </w:rPr>
        <w:t>4</w:t>
      </w:r>
      <w:r w:rsidRPr="00AD0647">
        <w:rPr>
          <w:b/>
        </w:rPr>
        <w:t xml:space="preserve">. </w:t>
      </w:r>
      <w:r>
        <w:rPr>
          <w:bCs/>
        </w:rPr>
        <w:t>WG members agreed</w:t>
      </w:r>
      <w:bookmarkStart w:id="0" w:name="_GoBack"/>
      <w:bookmarkEnd w:id="0"/>
      <w:r>
        <w:rPr>
          <w:bCs/>
        </w:rPr>
        <w:t xml:space="preserve"> with the comment </w:t>
      </w:r>
      <w:r w:rsidR="000A3D85">
        <w:rPr>
          <w:bCs/>
        </w:rPr>
        <w:t xml:space="preserve">on </w:t>
      </w:r>
      <w:r>
        <w:rPr>
          <w:bCs/>
        </w:rPr>
        <w:t xml:space="preserve">why it is a separate paragraph.  Check how </w:t>
      </w:r>
      <w:r w:rsidR="000A3D85">
        <w:rPr>
          <w:bCs/>
        </w:rPr>
        <w:t>the recommendation</w:t>
      </w:r>
      <w:r>
        <w:rPr>
          <w:bCs/>
        </w:rPr>
        <w:t xml:space="preserve"> can be rectified </w:t>
      </w:r>
      <w:r w:rsidR="000A3D85">
        <w:rPr>
          <w:bCs/>
        </w:rPr>
        <w:t>by editing or removing the last part</w:t>
      </w:r>
      <w:r>
        <w:rPr>
          <w:bCs/>
        </w:rPr>
        <w:t xml:space="preserve">.  In addition, WG discussed that the recommendation is quite long and should be reduced.  </w:t>
      </w:r>
    </w:p>
    <w:p w:rsidR="00CA05BC" w:rsidRPr="00CA05BC" w:rsidRDefault="00CA05BC" w:rsidP="00CA05BC">
      <w:pPr>
        <w:pStyle w:val="ListParagraph"/>
        <w:rPr>
          <w:bCs/>
        </w:rPr>
      </w:pPr>
    </w:p>
    <w:p w:rsidR="00CA05BC" w:rsidRPr="00CA05BC" w:rsidRDefault="00CA05BC" w:rsidP="00CA05BC">
      <w:pPr>
        <w:pStyle w:val="ListParagraph"/>
        <w:numPr>
          <w:ilvl w:val="0"/>
          <w:numId w:val="1"/>
        </w:numPr>
        <w:rPr>
          <w:b/>
        </w:rPr>
      </w:pPr>
      <w:r>
        <w:rPr>
          <w:b/>
        </w:rPr>
        <w:t>Public Comment Report.</w:t>
      </w:r>
      <w:r>
        <w:rPr>
          <w:bCs/>
        </w:rPr>
        <w:t xml:space="preserve"> </w:t>
      </w:r>
      <w:r w:rsidR="002D475E" w:rsidRPr="00CA05BC">
        <w:rPr>
          <w:bCs/>
        </w:rPr>
        <w:t xml:space="preserve">The working group discussed when it can finish the response to the public comments.  It was suggested that two more months may be needed.  Staff to confirm if that would be procedurally ok. </w:t>
      </w:r>
    </w:p>
    <w:p w:rsidR="00CA05BC" w:rsidRPr="00CA05BC" w:rsidRDefault="00CA05BC" w:rsidP="00CA05BC">
      <w:pPr>
        <w:pStyle w:val="ListParagraph"/>
        <w:rPr>
          <w:bCs/>
        </w:rPr>
      </w:pPr>
    </w:p>
    <w:p w:rsidR="002D475E" w:rsidRPr="00CA05BC" w:rsidRDefault="00CA05BC" w:rsidP="00CA05BC">
      <w:pPr>
        <w:pStyle w:val="ListParagraph"/>
        <w:numPr>
          <w:ilvl w:val="0"/>
          <w:numId w:val="1"/>
        </w:numPr>
        <w:rPr>
          <w:b/>
        </w:rPr>
      </w:pPr>
      <w:r w:rsidRPr="00CA05BC">
        <w:rPr>
          <w:b/>
        </w:rPr>
        <w:t>Attendance to make progress.</w:t>
      </w:r>
      <w:r>
        <w:rPr>
          <w:bCs/>
        </w:rPr>
        <w:t xml:space="preserve"> </w:t>
      </w:r>
      <w:r w:rsidR="002D475E" w:rsidRPr="00CA05BC">
        <w:rPr>
          <w:bCs/>
        </w:rPr>
        <w:t xml:space="preserve">The members present also raised that it is essential for the WG members to make the weekly calls to make the necessary decisions. The chairs to follow up on it. </w:t>
      </w:r>
    </w:p>
    <w:p w:rsidR="002D475E" w:rsidRPr="002D475E" w:rsidRDefault="002D475E" w:rsidP="002D475E">
      <w:pPr>
        <w:rPr>
          <w:bCs/>
        </w:rPr>
      </w:pPr>
    </w:p>
    <w:p w:rsidR="0072451D" w:rsidRPr="000A4D1B" w:rsidRDefault="0072451D" w:rsidP="000A4D1B">
      <w:pPr>
        <w:rPr>
          <w:color w:val="000000" w:themeColor="text1"/>
          <w:u w:val="single"/>
        </w:rPr>
      </w:pPr>
      <w:r w:rsidRPr="000A4D1B">
        <w:rPr>
          <w:color w:val="000000" w:themeColor="text1"/>
          <w:u w:val="single"/>
        </w:rPr>
        <w:t>Action Items</w:t>
      </w:r>
    </w:p>
    <w:tbl>
      <w:tblPr>
        <w:tblStyle w:val="TableGrid"/>
        <w:tblW w:w="0" w:type="auto"/>
        <w:tblLook w:val="04A0" w:firstRow="1" w:lastRow="0" w:firstColumn="1" w:lastColumn="0" w:noHBand="0" w:noVBand="1"/>
      </w:tblPr>
      <w:tblGrid>
        <w:gridCol w:w="804"/>
        <w:gridCol w:w="7224"/>
        <w:gridCol w:w="1322"/>
      </w:tblGrid>
      <w:tr w:rsidR="0072451D" w:rsidRPr="0083537E" w:rsidTr="00F147AF">
        <w:tc>
          <w:tcPr>
            <w:tcW w:w="804" w:type="dxa"/>
          </w:tcPr>
          <w:p w:rsidR="0072451D" w:rsidRPr="0083537E" w:rsidRDefault="0072451D" w:rsidP="008D6A71">
            <w:pPr>
              <w:rPr>
                <w:b/>
                <w:bCs/>
              </w:rPr>
            </w:pPr>
            <w:r w:rsidRPr="0083537E">
              <w:rPr>
                <w:b/>
                <w:bCs/>
              </w:rPr>
              <w:t>S. No.</w:t>
            </w:r>
          </w:p>
        </w:tc>
        <w:tc>
          <w:tcPr>
            <w:tcW w:w="7224" w:type="dxa"/>
          </w:tcPr>
          <w:p w:rsidR="0072451D" w:rsidRPr="0083537E" w:rsidRDefault="0072451D" w:rsidP="008D6A71">
            <w:pPr>
              <w:rPr>
                <w:b/>
                <w:bCs/>
              </w:rPr>
            </w:pPr>
            <w:r w:rsidRPr="0083537E">
              <w:rPr>
                <w:b/>
                <w:bCs/>
              </w:rPr>
              <w:t xml:space="preserve">Action Items </w:t>
            </w:r>
          </w:p>
        </w:tc>
        <w:tc>
          <w:tcPr>
            <w:tcW w:w="1322" w:type="dxa"/>
          </w:tcPr>
          <w:p w:rsidR="0072451D" w:rsidRPr="0083537E" w:rsidRDefault="0072451D" w:rsidP="008D6A71">
            <w:pPr>
              <w:rPr>
                <w:b/>
                <w:bCs/>
              </w:rPr>
            </w:pPr>
            <w:r w:rsidRPr="0083537E">
              <w:rPr>
                <w:b/>
                <w:bCs/>
              </w:rPr>
              <w:t>Owner</w:t>
            </w:r>
          </w:p>
        </w:tc>
      </w:tr>
      <w:tr w:rsidR="006A553E" w:rsidRPr="0083537E" w:rsidTr="00F147AF">
        <w:tc>
          <w:tcPr>
            <w:tcW w:w="804" w:type="dxa"/>
          </w:tcPr>
          <w:p w:rsidR="006A553E" w:rsidRPr="0083537E" w:rsidRDefault="006A553E" w:rsidP="006A553E">
            <w:pPr>
              <w:rPr>
                <w:b/>
                <w:bCs/>
              </w:rPr>
            </w:pPr>
            <w:r>
              <w:t>1</w:t>
            </w:r>
          </w:p>
        </w:tc>
        <w:tc>
          <w:tcPr>
            <w:tcW w:w="7224" w:type="dxa"/>
          </w:tcPr>
          <w:p w:rsidR="006A553E" w:rsidRPr="004C6C8C" w:rsidRDefault="00D52A39" w:rsidP="000B082D">
            <w:pPr>
              <w:rPr>
                <w:i/>
                <w:iCs/>
              </w:rPr>
            </w:pPr>
            <w:r>
              <w:rPr>
                <w:i/>
                <w:iCs/>
              </w:rPr>
              <w:t xml:space="preserve">Develop </w:t>
            </w:r>
            <w:r w:rsidRPr="00D52A39">
              <w:rPr>
                <w:i/>
                <w:iCs/>
              </w:rPr>
              <w:t xml:space="preserve">a short rationale </w:t>
            </w:r>
            <w:r>
              <w:rPr>
                <w:i/>
                <w:iCs/>
              </w:rPr>
              <w:t>to change “may”</w:t>
            </w:r>
            <w:r w:rsidR="00AD0647">
              <w:rPr>
                <w:i/>
                <w:iCs/>
              </w:rPr>
              <w:t xml:space="preserve"> to a</w:t>
            </w:r>
            <w:r>
              <w:rPr>
                <w:i/>
                <w:iCs/>
              </w:rPr>
              <w:t xml:space="preserve"> “must” in recommendation 16, </w:t>
            </w:r>
            <w:r w:rsidRPr="00D52A39">
              <w:rPr>
                <w:i/>
                <w:iCs/>
              </w:rPr>
              <w:t>with its potential impact on the registries</w:t>
            </w:r>
          </w:p>
        </w:tc>
        <w:tc>
          <w:tcPr>
            <w:tcW w:w="1322" w:type="dxa"/>
          </w:tcPr>
          <w:p w:rsidR="006A553E" w:rsidRPr="004C6C8C" w:rsidRDefault="00D52A39" w:rsidP="006A553E">
            <w:r>
              <w:t>MD</w:t>
            </w:r>
          </w:p>
        </w:tc>
      </w:tr>
      <w:tr w:rsidR="000F4D9B" w:rsidRPr="0083537E" w:rsidTr="00F147AF">
        <w:tc>
          <w:tcPr>
            <w:tcW w:w="804" w:type="dxa"/>
          </w:tcPr>
          <w:p w:rsidR="000F4D9B" w:rsidRDefault="000F4D9B" w:rsidP="006A553E">
            <w:r>
              <w:t>2</w:t>
            </w:r>
          </w:p>
        </w:tc>
        <w:tc>
          <w:tcPr>
            <w:tcW w:w="7224" w:type="dxa"/>
          </w:tcPr>
          <w:p w:rsidR="000F4D9B" w:rsidRDefault="002D475E" w:rsidP="000B082D">
            <w:pPr>
              <w:rPr>
                <w:i/>
                <w:iCs/>
              </w:rPr>
            </w:pPr>
            <w:r>
              <w:rPr>
                <w:i/>
                <w:iCs/>
              </w:rPr>
              <w:t>Review recommendation 13 to address the comment IAB4</w:t>
            </w:r>
          </w:p>
        </w:tc>
        <w:tc>
          <w:tcPr>
            <w:tcW w:w="1322" w:type="dxa"/>
          </w:tcPr>
          <w:p w:rsidR="000F4D9B" w:rsidRDefault="002D475E" w:rsidP="006A553E">
            <w:r>
              <w:t>EC</w:t>
            </w:r>
          </w:p>
        </w:tc>
      </w:tr>
      <w:tr w:rsidR="002D475E" w:rsidRPr="0083537E" w:rsidTr="00F147AF">
        <w:tc>
          <w:tcPr>
            <w:tcW w:w="804" w:type="dxa"/>
          </w:tcPr>
          <w:p w:rsidR="002D475E" w:rsidRDefault="002D475E" w:rsidP="006A553E">
            <w:r>
              <w:t>3</w:t>
            </w:r>
          </w:p>
        </w:tc>
        <w:tc>
          <w:tcPr>
            <w:tcW w:w="7224" w:type="dxa"/>
          </w:tcPr>
          <w:p w:rsidR="002D475E" w:rsidRDefault="002D475E" w:rsidP="000B082D">
            <w:pPr>
              <w:rPr>
                <w:i/>
                <w:iCs/>
              </w:rPr>
            </w:pPr>
            <w:r>
              <w:rPr>
                <w:i/>
                <w:iCs/>
              </w:rPr>
              <w:t>Check when public comment report could be published and if two more months is a feasible timeframe?</w:t>
            </w:r>
          </w:p>
        </w:tc>
        <w:tc>
          <w:tcPr>
            <w:tcW w:w="1322" w:type="dxa"/>
          </w:tcPr>
          <w:p w:rsidR="002D475E" w:rsidRDefault="002D475E" w:rsidP="006A553E">
            <w:r>
              <w:t>SH</w:t>
            </w:r>
          </w:p>
        </w:tc>
      </w:tr>
      <w:tr w:rsidR="002D475E" w:rsidRPr="0083537E" w:rsidTr="00F147AF">
        <w:tc>
          <w:tcPr>
            <w:tcW w:w="804" w:type="dxa"/>
          </w:tcPr>
          <w:p w:rsidR="002D475E" w:rsidRDefault="002D475E" w:rsidP="006A553E">
            <w:r>
              <w:t>4</w:t>
            </w:r>
          </w:p>
        </w:tc>
        <w:tc>
          <w:tcPr>
            <w:tcW w:w="7224" w:type="dxa"/>
          </w:tcPr>
          <w:p w:rsidR="002D475E" w:rsidRDefault="002D475E" w:rsidP="000B082D">
            <w:pPr>
              <w:rPr>
                <w:i/>
                <w:iCs/>
              </w:rPr>
            </w:pPr>
            <w:r>
              <w:rPr>
                <w:i/>
                <w:iCs/>
              </w:rPr>
              <w:t xml:space="preserve">Maintain consistent attendance </w:t>
            </w:r>
            <w:r>
              <w:rPr>
                <w:i/>
                <w:iCs/>
              </w:rPr>
              <w:t xml:space="preserve">of WG members </w:t>
            </w:r>
            <w:r>
              <w:rPr>
                <w:i/>
                <w:iCs/>
              </w:rPr>
              <w:t>in weekly calls to effectively discuss and conclude on the feedback by the community</w:t>
            </w:r>
          </w:p>
        </w:tc>
        <w:tc>
          <w:tcPr>
            <w:tcW w:w="1322" w:type="dxa"/>
          </w:tcPr>
          <w:p w:rsidR="002D475E" w:rsidRDefault="002D475E" w:rsidP="006A553E">
            <w:r>
              <w:t>MT, EC (co-chairs) and all</w:t>
            </w:r>
          </w:p>
        </w:tc>
      </w:tr>
    </w:tbl>
    <w:p w:rsidR="0072451D" w:rsidRDefault="0072451D" w:rsidP="00F147AF"/>
    <w:sectPr w:rsidR="0072451D" w:rsidSect="00B67F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813" w:rsidRDefault="00B06813" w:rsidP="00876CE6">
      <w:pPr>
        <w:spacing w:after="0" w:line="240" w:lineRule="auto"/>
      </w:pPr>
      <w:r>
        <w:separator/>
      </w:r>
    </w:p>
  </w:endnote>
  <w:endnote w:type="continuationSeparator" w:id="0">
    <w:p w:rsidR="00B06813" w:rsidRDefault="00B06813" w:rsidP="0087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260190"/>
      <w:docPartObj>
        <w:docPartGallery w:val="Page Numbers (Bottom of Page)"/>
        <w:docPartUnique/>
      </w:docPartObj>
    </w:sdtPr>
    <w:sdtEndPr>
      <w:rPr>
        <w:noProof/>
      </w:rPr>
    </w:sdtEndPr>
    <w:sdtContent>
      <w:p w:rsidR="00AC1B67" w:rsidRDefault="00C87F51">
        <w:pPr>
          <w:pStyle w:val="Footer"/>
          <w:jc w:val="center"/>
        </w:pPr>
        <w:r>
          <w:fldChar w:fldCharType="begin"/>
        </w:r>
        <w:r>
          <w:instrText xml:space="preserve"> PAGE   \* MERGEFORMAT </w:instrText>
        </w:r>
        <w:r>
          <w:fldChar w:fldCharType="separate"/>
        </w:r>
        <w:r w:rsidR="00CA05BC">
          <w:rPr>
            <w:noProof/>
          </w:rPr>
          <w:t>2</w:t>
        </w:r>
        <w:r>
          <w:rPr>
            <w:noProof/>
          </w:rPr>
          <w:fldChar w:fldCharType="end"/>
        </w:r>
      </w:p>
    </w:sdtContent>
  </w:sdt>
  <w:p w:rsidR="00AC1B67" w:rsidRDefault="00AC1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813" w:rsidRDefault="00B06813" w:rsidP="00876CE6">
      <w:pPr>
        <w:spacing w:after="0" w:line="240" w:lineRule="auto"/>
      </w:pPr>
      <w:r>
        <w:separator/>
      </w:r>
    </w:p>
  </w:footnote>
  <w:footnote w:type="continuationSeparator" w:id="0">
    <w:p w:rsidR="00B06813" w:rsidRDefault="00B06813" w:rsidP="00876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6E8"/>
    <w:multiLevelType w:val="hybridMultilevel"/>
    <w:tmpl w:val="306620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175FA"/>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C319A2"/>
    <w:multiLevelType w:val="hybridMultilevel"/>
    <w:tmpl w:val="690EDE1A"/>
    <w:lvl w:ilvl="0" w:tplc="21B22362">
      <w:start w:val="1"/>
      <w:numFmt w:val="decimal"/>
      <w:lvlText w:val="%1."/>
      <w:lvlJc w:val="left"/>
      <w:pPr>
        <w:ind w:left="720" w:hanging="360"/>
      </w:pPr>
      <w:rPr>
        <w:rFonts w:hint="default"/>
        <w:b/>
        <w:bCs/>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A4225"/>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A83CBC"/>
    <w:multiLevelType w:val="hybridMultilevel"/>
    <w:tmpl w:val="95FA4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05130B"/>
    <w:multiLevelType w:val="hybridMultilevel"/>
    <w:tmpl w:val="84FC4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0E7147F"/>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E47650"/>
    <w:multiLevelType w:val="hybridMultilevel"/>
    <w:tmpl w:val="6BCE2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D17E22"/>
    <w:multiLevelType w:val="hybridMultilevel"/>
    <w:tmpl w:val="54EAE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385E74"/>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8F9678A"/>
    <w:multiLevelType w:val="hybridMultilevel"/>
    <w:tmpl w:val="337E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9"/>
  </w:num>
  <w:num w:numId="5">
    <w:abstractNumId w:val="0"/>
  </w:num>
  <w:num w:numId="6">
    <w:abstractNumId w:val="10"/>
  </w:num>
  <w:num w:numId="7">
    <w:abstractNumId w:val="3"/>
  </w:num>
  <w:num w:numId="8">
    <w:abstractNumId w:val="1"/>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1DFA"/>
    <w:rsid w:val="0000306F"/>
    <w:rsid w:val="00003BC7"/>
    <w:rsid w:val="00016ED8"/>
    <w:rsid w:val="00032989"/>
    <w:rsid w:val="00034369"/>
    <w:rsid w:val="000362B2"/>
    <w:rsid w:val="0004538E"/>
    <w:rsid w:val="000462EA"/>
    <w:rsid w:val="00057300"/>
    <w:rsid w:val="00065C6E"/>
    <w:rsid w:val="0006668D"/>
    <w:rsid w:val="00066D26"/>
    <w:rsid w:val="000670E2"/>
    <w:rsid w:val="00073921"/>
    <w:rsid w:val="00075303"/>
    <w:rsid w:val="0008294B"/>
    <w:rsid w:val="00084F0E"/>
    <w:rsid w:val="00096556"/>
    <w:rsid w:val="00097223"/>
    <w:rsid w:val="000A0618"/>
    <w:rsid w:val="000A33C2"/>
    <w:rsid w:val="000A3D85"/>
    <w:rsid w:val="000A4D1B"/>
    <w:rsid w:val="000A669F"/>
    <w:rsid w:val="000B0252"/>
    <w:rsid w:val="000B082D"/>
    <w:rsid w:val="000B3659"/>
    <w:rsid w:val="000B693C"/>
    <w:rsid w:val="000C12C1"/>
    <w:rsid w:val="000C61EE"/>
    <w:rsid w:val="000D427F"/>
    <w:rsid w:val="000D51AD"/>
    <w:rsid w:val="000E3879"/>
    <w:rsid w:val="000E47F2"/>
    <w:rsid w:val="000E5382"/>
    <w:rsid w:val="000F2DF0"/>
    <w:rsid w:val="000F4D9B"/>
    <w:rsid w:val="000F5B02"/>
    <w:rsid w:val="000F732B"/>
    <w:rsid w:val="001006ED"/>
    <w:rsid w:val="00102FA3"/>
    <w:rsid w:val="001074D9"/>
    <w:rsid w:val="00115AED"/>
    <w:rsid w:val="00142922"/>
    <w:rsid w:val="00143C59"/>
    <w:rsid w:val="00153BAF"/>
    <w:rsid w:val="00154E71"/>
    <w:rsid w:val="00157F69"/>
    <w:rsid w:val="001868B9"/>
    <w:rsid w:val="001936C7"/>
    <w:rsid w:val="00193AA0"/>
    <w:rsid w:val="00196AB3"/>
    <w:rsid w:val="00197356"/>
    <w:rsid w:val="00197FCA"/>
    <w:rsid w:val="001A6A50"/>
    <w:rsid w:val="001C36C8"/>
    <w:rsid w:val="001D110A"/>
    <w:rsid w:val="001D2A35"/>
    <w:rsid w:val="001E56F8"/>
    <w:rsid w:val="001E60AB"/>
    <w:rsid w:val="001F15CB"/>
    <w:rsid w:val="001F5EB2"/>
    <w:rsid w:val="0020153D"/>
    <w:rsid w:val="00211106"/>
    <w:rsid w:val="00212600"/>
    <w:rsid w:val="0021486A"/>
    <w:rsid w:val="0022283C"/>
    <w:rsid w:val="00223EF8"/>
    <w:rsid w:val="002245AE"/>
    <w:rsid w:val="0023554C"/>
    <w:rsid w:val="00241234"/>
    <w:rsid w:val="00243272"/>
    <w:rsid w:val="00244F07"/>
    <w:rsid w:val="0024576E"/>
    <w:rsid w:val="00245F49"/>
    <w:rsid w:val="00250359"/>
    <w:rsid w:val="0025498E"/>
    <w:rsid w:val="002648C2"/>
    <w:rsid w:val="002712E5"/>
    <w:rsid w:val="00276ECB"/>
    <w:rsid w:val="002773ED"/>
    <w:rsid w:val="002815ED"/>
    <w:rsid w:val="002961D0"/>
    <w:rsid w:val="002A0BBE"/>
    <w:rsid w:val="002A3D56"/>
    <w:rsid w:val="002A7A6F"/>
    <w:rsid w:val="002B0AB0"/>
    <w:rsid w:val="002B55EC"/>
    <w:rsid w:val="002B61C9"/>
    <w:rsid w:val="002C1488"/>
    <w:rsid w:val="002D33E3"/>
    <w:rsid w:val="002D35E9"/>
    <w:rsid w:val="002D475E"/>
    <w:rsid w:val="002E5A3D"/>
    <w:rsid w:val="002F09C3"/>
    <w:rsid w:val="002F0DF7"/>
    <w:rsid w:val="002F3131"/>
    <w:rsid w:val="002F585C"/>
    <w:rsid w:val="002F7CAC"/>
    <w:rsid w:val="00306428"/>
    <w:rsid w:val="00307446"/>
    <w:rsid w:val="00310935"/>
    <w:rsid w:val="00313B48"/>
    <w:rsid w:val="00313B7B"/>
    <w:rsid w:val="00317820"/>
    <w:rsid w:val="0032286B"/>
    <w:rsid w:val="00326C70"/>
    <w:rsid w:val="0033160D"/>
    <w:rsid w:val="00331A0E"/>
    <w:rsid w:val="00333121"/>
    <w:rsid w:val="0033762C"/>
    <w:rsid w:val="003415BD"/>
    <w:rsid w:val="003421E2"/>
    <w:rsid w:val="00344A89"/>
    <w:rsid w:val="00350A9C"/>
    <w:rsid w:val="0035238F"/>
    <w:rsid w:val="00352635"/>
    <w:rsid w:val="00353980"/>
    <w:rsid w:val="00357AE4"/>
    <w:rsid w:val="003637C3"/>
    <w:rsid w:val="00373A16"/>
    <w:rsid w:val="00383AE4"/>
    <w:rsid w:val="003864D8"/>
    <w:rsid w:val="003870BE"/>
    <w:rsid w:val="00387776"/>
    <w:rsid w:val="00397D1C"/>
    <w:rsid w:val="003A01ED"/>
    <w:rsid w:val="003A354F"/>
    <w:rsid w:val="003A437E"/>
    <w:rsid w:val="003A5A5E"/>
    <w:rsid w:val="003B2F9B"/>
    <w:rsid w:val="003B3457"/>
    <w:rsid w:val="003B3FD3"/>
    <w:rsid w:val="003B7594"/>
    <w:rsid w:val="003C2F01"/>
    <w:rsid w:val="003C47C6"/>
    <w:rsid w:val="003C5002"/>
    <w:rsid w:val="003D0519"/>
    <w:rsid w:val="003D1C6C"/>
    <w:rsid w:val="003D1E49"/>
    <w:rsid w:val="003D4B2E"/>
    <w:rsid w:val="003D50DF"/>
    <w:rsid w:val="003E4628"/>
    <w:rsid w:val="003F0DC6"/>
    <w:rsid w:val="003F7F51"/>
    <w:rsid w:val="004044C6"/>
    <w:rsid w:val="00410A3C"/>
    <w:rsid w:val="00424BC9"/>
    <w:rsid w:val="00427DC6"/>
    <w:rsid w:val="00430C67"/>
    <w:rsid w:val="00442EF1"/>
    <w:rsid w:val="0044418C"/>
    <w:rsid w:val="00444FFA"/>
    <w:rsid w:val="00445115"/>
    <w:rsid w:val="00446290"/>
    <w:rsid w:val="00452BC3"/>
    <w:rsid w:val="00452DC7"/>
    <w:rsid w:val="00454CA4"/>
    <w:rsid w:val="00457464"/>
    <w:rsid w:val="00461FDD"/>
    <w:rsid w:val="0047036F"/>
    <w:rsid w:val="0047143E"/>
    <w:rsid w:val="00474E79"/>
    <w:rsid w:val="00477F0E"/>
    <w:rsid w:val="00481CC8"/>
    <w:rsid w:val="00486FA2"/>
    <w:rsid w:val="00492DF1"/>
    <w:rsid w:val="0049346E"/>
    <w:rsid w:val="00493A89"/>
    <w:rsid w:val="004A1473"/>
    <w:rsid w:val="004A578F"/>
    <w:rsid w:val="004B1588"/>
    <w:rsid w:val="004B19B3"/>
    <w:rsid w:val="004B4A8A"/>
    <w:rsid w:val="004C3A84"/>
    <w:rsid w:val="004C3ADC"/>
    <w:rsid w:val="004C566B"/>
    <w:rsid w:val="004C5F72"/>
    <w:rsid w:val="004C6C8C"/>
    <w:rsid w:val="004D242C"/>
    <w:rsid w:val="004D5A6B"/>
    <w:rsid w:val="004D71CD"/>
    <w:rsid w:val="004D734C"/>
    <w:rsid w:val="004E1C2C"/>
    <w:rsid w:val="004E4867"/>
    <w:rsid w:val="004E48B0"/>
    <w:rsid w:val="004E6F2C"/>
    <w:rsid w:val="004F3E29"/>
    <w:rsid w:val="004F4930"/>
    <w:rsid w:val="00511E91"/>
    <w:rsid w:val="0051491F"/>
    <w:rsid w:val="00515637"/>
    <w:rsid w:val="0052290D"/>
    <w:rsid w:val="00524A02"/>
    <w:rsid w:val="00531DC0"/>
    <w:rsid w:val="00532F11"/>
    <w:rsid w:val="00535003"/>
    <w:rsid w:val="005369EC"/>
    <w:rsid w:val="00543C9B"/>
    <w:rsid w:val="00545768"/>
    <w:rsid w:val="00545C0A"/>
    <w:rsid w:val="00553E8C"/>
    <w:rsid w:val="005544E5"/>
    <w:rsid w:val="00565D7C"/>
    <w:rsid w:val="005662B9"/>
    <w:rsid w:val="0056656B"/>
    <w:rsid w:val="005713E8"/>
    <w:rsid w:val="00572A01"/>
    <w:rsid w:val="00596BF1"/>
    <w:rsid w:val="005B028C"/>
    <w:rsid w:val="005B35C3"/>
    <w:rsid w:val="005B6815"/>
    <w:rsid w:val="005C2B21"/>
    <w:rsid w:val="005C3115"/>
    <w:rsid w:val="005C3972"/>
    <w:rsid w:val="005D4028"/>
    <w:rsid w:val="005D4CD7"/>
    <w:rsid w:val="005E1272"/>
    <w:rsid w:val="005F488B"/>
    <w:rsid w:val="00602121"/>
    <w:rsid w:val="006027AC"/>
    <w:rsid w:val="006030AF"/>
    <w:rsid w:val="0061064A"/>
    <w:rsid w:val="0063564E"/>
    <w:rsid w:val="00636F7A"/>
    <w:rsid w:val="00643D36"/>
    <w:rsid w:val="00652200"/>
    <w:rsid w:val="0066220B"/>
    <w:rsid w:val="0066254D"/>
    <w:rsid w:val="00664CB8"/>
    <w:rsid w:val="006661AE"/>
    <w:rsid w:val="0067351E"/>
    <w:rsid w:val="00674402"/>
    <w:rsid w:val="0068668D"/>
    <w:rsid w:val="00687C8F"/>
    <w:rsid w:val="00696C91"/>
    <w:rsid w:val="006A00A3"/>
    <w:rsid w:val="006A2E71"/>
    <w:rsid w:val="006A553E"/>
    <w:rsid w:val="006B1EE4"/>
    <w:rsid w:val="006B68DD"/>
    <w:rsid w:val="006B7655"/>
    <w:rsid w:val="006B76A5"/>
    <w:rsid w:val="006C0D8D"/>
    <w:rsid w:val="006D29E8"/>
    <w:rsid w:val="006D56E5"/>
    <w:rsid w:val="006E1C49"/>
    <w:rsid w:val="006E1D6C"/>
    <w:rsid w:val="006E37D0"/>
    <w:rsid w:val="006F17D2"/>
    <w:rsid w:val="007026D2"/>
    <w:rsid w:val="00704767"/>
    <w:rsid w:val="007068CB"/>
    <w:rsid w:val="007100C7"/>
    <w:rsid w:val="00712F1A"/>
    <w:rsid w:val="0071526E"/>
    <w:rsid w:val="0072451D"/>
    <w:rsid w:val="00724F07"/>
    <w:rsid w:val="00724F12"/>
    <w:rsid w:val="00731C46"/>
    <w:rsid w:val="00736A05"/>
    <w:rsid w:val="00741271"/>
    <w:rsid w:val="0074260C"/>
    <w:rsid w:val="007464EC"/>
    <w:rsid w:val="00757743"/>
    <w:rsid w:val="00764EC7"/>
    <w:rsid w:val="00770EEA"/>
    <w:rsid w:val="00775D67"/>
    <w:rsid w:val="00776A45"/>
    <w:rsid w:val="0078132E"/>
    <w:rsid w:val="007816A6"/>
    <w:rsid w:val="00786384"/>
    <w:rsid w:val="007945CA"/>
    <w:rsid w:val="00797BA3"/>
    <w:rsid w:val="007A3B34"/>
    <w:rsid w:val="007A4EA1"/>
    <w:rsid w:val="007A594A"/>
    <w:rsid w:val="007C1A9C"/>
    <w:rsid w:val="007C1C4A"/>
    <w:rsid w:val="007C3BB9"/>
    <w:rsid w:val="007C74C8"/>
    <w:rsid w:val="007E3472"/>
    <w:rsid w:val="007E6AF4"/>
    <w:rsid w:val="007F4307"/>
    <w:rsid w:val="007F67B0"/>
    <w:rsid w:val="007F69F9"/>
    <w:rsid w:val="00800132"/>
    <w:rsid w:val="0080118F"/>
    <w:rsid w:val="00802745"/>
    <w:rsid w:val="00802DAB"/>
    <w:rsid w:val="00806706"/>
    <w:rsid w:val="0080673C"/>
    <w:rsid w:val="00817194"/>
    <w:rsid w:val="00825EB0"/>
    <w:rsid w:val="00827EC1"/>
    <w:rsid w:val="0083537E"/>
    <w:rsid w:val="008458F8"/>
    <w:rsid w:val="00846081"/>
    <w:rsid w:val="008474EB"/>
    <w:rsid w:val="0085079E"/>
    <w:rsid w:val="0085120F"/>
    <w:rsid w:val="00863ADD"/>
    <w:rsid w:val="00874D72"/>
    <w:rsid w:val="00876CE6"/>
    <w:rsid w:val="00880346"/>
    <w:rsid w:val="0089081A"/>
    <w:rsid w:val="00891C17"/>
    <w:rsid w:val="008A4E79"/>
    <w:rsid w:val="008A5D19"/>
    <w:rsid w:val="008A7140"/>
    <w:rsid w:val="008C1C19"/>
    <w:rsid w:val="008C711B"/>
    <w:rsid w:val="008D3BFD"/>
    <w:rsid w:val="008D53DB"/>
    <w:rsid w:val="008D6A71"/>
    <w:rsid w:val="00903927"/>
    <w:rsid w:val="00904609"/>
    <w:rsid w:val="00906080"/>
    <w:rsid w:val="00912BE5"/>
    <w:rsid w:val="00915B26"/>
    <w:rsid w:val="00921B50"/>
    <w:rsid w:val="00921E47"/>
    <w:rsid w:val="00923BE8"/>
    <w:rsid w:val="00930A97"/>
    <w:rsid w:val="009344ED"/>
    <w:rsid w:val="00934E8D"/>
    <w:rsid w:val="009522AB"/>
    <w:rsid w:val="0095743A"/>
    <w:rsid w:val="0096217F"/>
    <w:rsid w:val="00964AAB"/>
    <w:rsid w:val="00966DBE"/>
    <w:rsid w:val="00971DFA"/>
    <w:rsid w:val="009757CD"/>
    <w:rsid w:val="00976193"/>
    <w:rsid w:val="00981A07"/>
    <w:rsid w:val="00987022"/>
    <w:rsid w:val="009902ED"/>
    <w:rsid w:val="0099728D"/>
    <w:rsid w:val="009A7919"/>
    <w:rsid w:val="009C41AA"/>
    <w:rsid w:val="009C5276"/>
    <w:rsid w:val="009C5C1A"/>
    <w:rsid w:val="009D4314"/>
    <w:rsid w:val="009D556D"/>
    <w:rsid w:val="009F68F0"/>
    <w:rsid w:val="00A00CCA"/>
    <w:rsid w:val="00A0546C"/>
    <w:rsid w:val="00A11ACF"/>
    <w:rsid w:val="00A14428"/>
    <w:rsid w:val="00A14707"/>
    <w:rsid w:val="00A17EDE"/>
    <w:rsid w:val="00A316DE"/>
    <w:rsid w:val="00A5732B"/>
    <w:rsid w:val="00A61780"/>
    <w:rsid w:val="00A6436C"/>
    <w:rsid w:val="00A6678E"/>
    <w:rsid w:val="00A72AA0"/>
    <w:rsid w:val="00A73ED4"/>
    <w:rsid w:val="00A7740D"/>
    <w:rsid w:val="00AA1F90"/>
    <w:rsid w:val="00AA64D2"/>
    <w:rsid w:val="00AC1B67"/>
    <w:rsid w:val="00AD0082"/>
    <w:rsid w:val="00AD0647"/>
    <w:rsid w:val="00AD157C"/>
    <w:rsid w:val="00AD4FEC"/>
    <w:rsid w:val="00AD7D6B"/>
    <w:rsid w:val="00AE3759"/>
    <w:rsid w:val="00AE389B"/>
    <w:rsid w:val="00AE5B0B"/>
    <w:rsid w:val="00AF68D4"/>
    <w:rsid w:val="00B00884"/>
    <w:rsid w:val="00B02826"/>
    <w:rsid w:val="00B06813"/>
    <w:rsid w:val="00B10002"/>
    <w:rsid w:val="00B14B5B"/>
    <w:rsid w:val="00B2170E"/>
    <w:rsid w:val="00B304E2"/>
    <w:rsid w:val="00B310B0"/>
    <w:rsid w:val="00B33490"/>
    <w:rsid w:val="00B335FD"/>
    <w:rsid w:val="00B37953"/>
    <w:rsid w:val="00B41638"/>
    <w:rsid w:val="00B508DA"/>
    <w:rsid w:val="00B53A1F"/>
    <w:rsid w:val="00B57C5A"/>
    <w:rsid w:val="00B61D6B"/>
    <w:rsid w:val="00B6339C"/>
    <w:rsid w:val="00B6465E"/>
    <w:rsid w:val="00B67FCF"/>
    <w:rsid w:val="00B747A9"/>
    <w:rsid w:val="00B84C45"/>
    <w:rsid w:val="00B86BD4"/>
    <w:rsid w:val="00B93DC0"/>
    <w:rsid w:val="00B96461"/>
    <w:rsid w:val="00BA491F"/>
    <w:rsid w:val="00BA6580"/>
    <w:rsid w:val="00BC1169"/>
    <w:rsid w:val="00BC4D46"/>
    <w:rsid w:val="00BC4E4A"/>
    <w:rsid w:val="00BD7190"/>
    <w:rsid w:val="00BD769C"/>
    <w:rsid w:val="00BF038D"/>
    <w:rsid w:val="00BF175D"/>
    <w:rsid w:val="00BF7EBE"/>
    <w:rsid w:val="00C0527D"/>
    <w:rsid w:val="00C05501"/>
    <w:rsid w:val="00C067F5"/>
    <w:rsid w:val="00C12F52"/>
    <w:rsid w:val="00C162FC"/>
    <w:rsid w:val="00C213E9"/>
    <w:rsid w:val="00C438BD"/>
    <w:rsid w:val="00C644D6"/>
    <w:rsid w:val="00C66ACE"/>
    <w:rsid w:val="00C84A62"/>
    <w:rsid w:val="00C853FD"/>
    <w:rsid w:val="00C85E99"/>
    <w:rsid w:val="00C87F51"/>
    <w:rsid w:val="00C921FC"/>
    <w:rsid w:val="00C92DF4"/>
    <w:rsid w:val="00C93BFD"/>
    <w:rsid w:val="00C97798"/>
    <w:rsid w:val="00CA05BC"/>
    <w:rsid w:val="00CA2957"/>
    <w:rsid w:val="00CB025F"/>
    <w:rsid w:val="00CB0F4A"/>
    <w:rsid w:val="00CB3155"/>
    <w:rsid w:val="00CB4222"/>
    <w:rsid w:val="00CC0527"/>
    <w:rsid w:val="00CC5A4E"/>
    <w:rsid w:val="00CC6D1A"/>
    <w:rsid w:val="00CD693F"/>
    <w:rsid w:val="00CE15DD"/>
    <w:rsid w:val="00CF4B0B"/>
    <w:rsid w:val="00CF52B0"/>
    <w:rsid w:val="00CF58FB"/>
    <w:rsid w:val="00CF74B5"/>
    <w:rsid w:val="00D0191F"/>
    <w:rsid w:val="00D04831"/>
    <w:rsid w:val="00D056A3"/>
    <w:rsid w:val="00D05BD4"/>
    <w:rsid w:val="00D07B7E"/>
    <w:rsid w:val="00D15A8C"/>
    <w:rsid w:val="00D17F68"/>
    <w:rsid w:val="00D24655"/>
    <w:rsid w:val="00D24A2C"/>
    <w:rsid w:val="00D3016D"/>
    <w:rsid w:val="00D335E2"/>
    <w:rsid w:val="00D33720"/>
    <w:rsid w:val="00D36C5A"/>
    <w:rsid w:val="00D36EAA"/>
    <w:rsid w:val="00D405A8"/>
    <w:rsid w:val="00D52A39"/>
    <w:rsid w:val="00D53964"/>
    <w:rsid w:val="00D57D9A"/>
    <w:rsid w:val="00D70363"/>
    <w:rsid w:val="00D72609"/>
    <w:rsid w:val="00D74068"/>
    <w:rsid w:val="00D81089"/>
    <w:rsid w:val="00D860E6"/>
    <w:rsid w:val="00D91C03"/>
    <w:rsid w:val="00D92726"/>
    <w:rsid w:val="00D92C70"/>
    <w:rsid w:val="00D94224"/>
    <w:rsid w:val="00DA77FB"/>
    <w:rsid w:val="00DB0CD5"/>
    <w:rsid w:val="00DB14F7"/>
    <w:rsid w:val="00DC3BEB"/>
    <w:rsid w:val="00DC5B96"/>
    <w:rsid w:val="00DC7261"/>
    <w:rsid w:val="00DD2DA3"/>
    <w:rsid w:val="00DD4BC4"/>
    <w:rsid w:val="00DE50ED"/>
    <w:rsid w:val="00DF10A3"/>
    <w:rsid w:val="00DF1470"/>
    <w:rsid w:val="00DF3CBA"/>
    <w:rsid w:val="00DF74FC"/>
    <w:rsid w:val="00E02C98"/>
    <w:rsid w:val="00E04C4E"/>
    <w:rsid w:val="00E114AB"/>
    <w:rsid w:val="00E12D7E"/>
    <w:rsid w:val="00E1488F"/>
    <w:rsid w:val="00E209AC"/>
    <w:rsid w:val="00E30607"/>
    <w:rsid w:val="00E34B91"/>
    <w:rsid w:val="00E41356"/>
    <w:rsid w:val="00E4365A"/>
    <w:rsid w:val="00E44242"/>
    <w:rsid w:val="00E452D2"/>
    <w:rsid w:val="00E51A12"/>
    <w:rsid w:val="00E53687"/>
    <w:rsid w:val="00E54F2C"/>
    <w:rsid w:val="00E6162C"/>
    <w:rsid w:val="00E61F09"/>
    <w:rsid w:val="00E7535E"/>
    <w:rsid w:val="00E80306"/>
    <w:rsid w:val="00E857A8"/>
    <w:rsid w:val="00E90C27"/>
    <w:rsid w:val="00E97114"/>
    <w:rsid w:val="00EA1AD4"/>
    <w:rsid w:val="00EA3B0A"/>
    <w:rsid w:val="00EB4C09"/>
    <w:rsid w:val="00EB5AC2"/>
    <w:rsid w:val="00EC0AC6"/>
    <w:rsid w:val="00EC12BC"/>
    <w:rsid w:val="00EC279C"/>
    <w:rsid w:val="00ED2B41"/>
    <w:rsid w:val="00EE05D0"/>
    <w:rsid w:val="00EF4D54"/>
    <w:rsid w:val="00F006D0"/>
    <w:rsid w:val="00F009FE"/>
    <w:rsid w:val="00F00A44"/>
    <w:rsid w:val="00F012E3"/>
    <w:rsid w:val="00F04826"/>
    <w:rsid w:val="00F07BF4"/>
    <w:rsid w:val="00F102E7"/>
    <w:rsid w:val="00F13B2A"/>
    <w:rsid w:val="00F147AF"/>
    <w:rsid w:val="00F159EE"/>
    <w:rsid w:val="00F24DCB"/>
    <w:rsid w:val="00F265D7"/>
    <w:rsid w:val="00F317D4"/>
    <w:rsid w:val="00F32A4D"/>
    <w:rsid w:val="00F37D68"/>
    <w:rsid w:val="00F40C5A"/>
    <w:rsid w:val="00F53497"/>
    <w:rsid w:val="00F6532A"/>
    <w:rsid w:val="00F65D4A"/>
    <w:rsid w:val="00F71422"/>
    <w:rsid w:val="00F75FF6"/>
    <w:rsid w:val="00F80685"/>
    <w:rsid w:val="00F82306"/>
    <w:rsid w:val="00F90064"/>
    <w:rsid w:val="00F9225C"/>
    <w:rsid w:val="00F97EED"/>
    <w:rsid w:val="00FB1795"/>
    <w:rsid w:val="00FB5032"/>
    <w:rsid w:val="00FB69FB"/>
    <w:rsid w:val="00FB6D2B"/>
    <w:rsid w:val="00FC1185"/>
    <w:rsid w:val="00FC2C3B"/>
    <w:rsid w:val="00FC3DC2"/>
    <w:rsid w:val="00FC6B5B"/>
    <w:rsid w:val="00FD1916"/>
    <w:rsid w:val="00FE0C6F"/>
    <w:rsid w:val="00FE4ABA"/>
    <w:rsid w:val="00FE58A2"/>
    <w:rsid w:val="00FF3C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03CB"/>
  <w15:docId w15:val="{EF143511-9811-45F7-BCF9-93791B28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67F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780"/>
    <w:pPr>
      <w:ind w:left="720"/>
      <w:contextualSpacing/>
    </w:pPr>
  </w:style>
  <w:style w:type="paragraph" w:styleId="FootnoteText">
    <w:name w:val="footnote text"/>
    <w:basedOn w:val="Normal"/>
    <w:link w:val="FootnoteTextChar"/>
    <w:uiPriority w:val="99"/>
    <w:semiHidden/>
    <w:unhideWhenUsed/>
    <w:rsid w:val="00876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CE6"/>
    <w:rPr>
      <w:sz w:val="20"/>
      <w:szCs w:val="20"/>
    </w:rPr>
  </w:style>
  <w:style w:type="character" w:styleId="FootnoteReference">
    <w:name w:val="footnote reference"/>
    <w:basedOn w:val="DefaultParagraphFont"/>
    <w:uiPriority w:val="99"/>
    <w:semiHidden/>
    <w:unhideWhenUsed/>
    <w:rsid w:val="00876CE6"/>
    <w:rPr>
      <w:vertAlign w:val="superscript"/>
    </w:rPr>
  </w:style>
  <w:style w:type="character" w:styleId="Hyperlink">
    <w:name w:val="Hyperlink"/>
    <w:basedOn w:val="DefaultParagraphFont"/>
    <w:uiPriority w:val="99"/>
    <w:unhideWhenUsed/>
    <w:rsid w:val="00876CE6"/>
    <w:rPr>
      <w:color w:val="0563C1" w:themeColor="hyperlink"/>
      <w:u w:val="single"/>
    </w:rPr>
  </w:style>
  <w:style w:type="character" w:styleId="FollowedHyperlink">
    <w:name w:val="FollowedHyperlink"/>
    <w:basedOn w:val="DefaultParagraphFont"/>
    <w:uiPriority w:val="99"/>
    <w:semiHidden/>
    <w:unhideWhenUsed/>
    <w:rsid w:val="00876CE6"/>
    <w:rPr>
      <w:color w:val="954F72" w:themeColor="followedHyperlink"/>
      <w:u w:val="single"/>
    </w:rPr>
  </w:style>
  <w:style w:type="table" w:styleId="TableGrid">
    <w:name w:val="Table Grid"/>
    <w:basedOn w:val="TableNormal"/>
    <w:uiPriority w:val="39"/>
    <w:rsid w:val="00B63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290D"/>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26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C70"/>
    <w:rPr>
      <w:rFonts w:ascii="Segoe UI" w:hAnsi="Segoe UI" w:cs="Segoe UI"/>
      <w:sz w:val="18"/>
      <w:szCs w:val="18"/>
    </w:rPr>
  </w:style>
  <w:style w:type="paragraph" w:styleId="Header">
    <w:name w:val="header"/>
    <w:basedOn w:val="Normal"/>
    <w:link w:val="HeaderChar"/>
    <w:uiPriority w:val="99"/>
    <w:unhideWhenUsed/>
    <w:rsid w:val="00F9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EED"/>
  </w:style>
  <w:style w:type="paragraph" w:styleId="Footer">
    <w:name w:val="footer"/>
    <w:basedOn w:val="Normal"/>
    <w:link w:val="FooterChar"/>
    <w:uiPriority w:val="99"/>
    <w:unhideWhenUsed/>
    <w:rsid w:val="00F9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6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7C8D8-59BA-42AA-B48E-43C87640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3366</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Sarmad Hussain</cp:lastModifiedBy>
  <cp:revision>157</cp:revision>
  <cp:lastPrinted>2017-01-31T17:17:00Z</cp:lastPrinted>
  <dcterms:created xsi:type="dcterms:W3CDTF">2016-04-22T09:10:00Z</dcterms:created>
  <dcterms:modified xsi:type="dcterms:W3CDTF">2017-06-01T12:43:00Z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