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459D4B66" w:rsidR="00D74C23" w:rsidRPr="002B3746" w:rsidRDefault="003912F9" w:rsidP="000B0A3E">
            <w:pPr>
              <w:spacing w:after="0" w:line="240" w:lineRule="auto"/>
              <w:rPr>
                <w:rFonts w:ascii="Arial" w:hAnsi="Arial" w:cs="Arial"/>
                <w:b/>
                <w:sz w:val="28"/>
                <w:szCs w:val="28"/>
              </w:rPr>
            </w:pPr>
            <w:r w:rsidRPr="003912F9">
              <w:rPr>
                <w:rFonts w:ascii="Arial" w:hAnsi="Arial" w:cs="Arial"/>
                <w:b/>
                <w:sz w:val="28"/>
                <w:szCs w:val="28"/>
              </w:rPr>
              <w:t>Internationalized Domain Name (IDN) Implementation Guidelines</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360433BE" w:rsidR="000B0A3E" w:rsidRPr="002B3746" w:rsidRDefault="001D3D15" w:rsidP="000B0A3E">
            <w:pPr>
              <w:spacing w:after="0" w:line="240" w:lineRule="auto"/>
              <w:rPr>
                <w:rFonts w:ascii="Arial" w:hAnsi="Arial" w:cs="Arial"/>
                <w:sz w:val="24"/>
                <w:szCs w:val="24"/>
              </w:rPr>
            </w:pPr>
            <w:r>
              <w:rPr>
                <w:rFonts w:ascii="Arial" w:hAnsi="Arial" w:cs="Arial"/>
                <w:sz w:val="24"/>
                <w:szCs w:val="24"/>
              </w:rPr>
              <w:t>9 June 2017</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7506C4B1" w:rsidR="000B0A3E" w:rsidRPr="002B3746" w:rsidRDefault="003912F9" w:rsidP="000B0A3E">
            <w:pPr>
              <w:spacing w:after="0" w:line="240" w:lineRule="auto"/>
              <w:rPr>
                <w:rFonts w:ascii="Arial" w:hAnsi="Arial" w:cs="Arial"/>
                <w:sz w:val="24"/>
                <w:szCs w:val="24"/>
              </w:rPr>
            </w:pPr>
            <w:r>
              <w:rPr>
                <w:rFonts w:ascii="Arial" w:hAnsi="Arial" w:cs="Arial"/>
                <w:sz w:val="24"/>
                <w:szCs w:val="24"/>
              </w:rPr>
              <w:t>IDN Guidelines Working Group</w:t>
            </w:r>
            <w:r w:rsidR="00C5746A">
              <w:rPr>
                <w:rFonts w:ascii="Arial" w:hAnsi="Arial" w:cs="Arial"/>
                <w:sz w:val="24"/>
                <w:szCs w:val="24"/>
              </w:rPr>
              <w:t xml:space="preserve"> (IDNGWG)</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06B678CA" w:rsidR="000B0A3E" w:rsidRPr="002B3746" w:rsidRDefault="003912F9" w:rsidP="000B0A3E">
                  <w:pPr>
                    <w:spacing w:after="0" w:line="240" w:lineRule="auto"/>
                    <w:jc w:val="center"/>
                    <w:rPr>
                      <w:rFonts w:ascii="Arial" w:hAnsi="Arial" w:cs="Arial"/>
                      <w:sz w:val="24"/>
                      <w:szCs w:val="24"/>
                    </w:rPr>
                  </w:pPr>
                  <w:r>
                    <w:rPr>
                      <w:rFonts w:ascii="Arial" w:hAnsi="Arial" w:cs="Arial"/>
                      <w:sz w:val="24"/>
                      <w:szCs w:val="24"/>
                    </w:rPr>
                    <w:t>3 March</w:t>
                  </w:r>
                  <w:r w:rsidR="000B523B">
                    <w:rPr>
                      <w:rFonts w:ascii="Arial" w:hAnsi="Arial" w:cs="Arial"/>
                      <w:sz w:val="24"/>
                      <w:szCs w:val="24"/>
                    </w:rPr>
                    <w:t xml:space="preserve">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15BBF007" w:rsidR="000B0A3E" w:rsidRPr="002B3746" w:rsidRDefault="003912F9" w:rsidP="000B0A3E">
                  <w:pPr>
                    <w:spacing w:after="0" w:line="240" w:lineRule="auto"/>
                    <w:jc w:val="center"/>
                    <w:rPr>
                      <w:rFonts w:ascii="Arial" w:hAnsi="Arial" w:cs="Arial"/>
                      <w:sz w:val="24"/>
                      <w:szCs w:val="24"/>
                    </w:rPr>
                  </w:pPr>
                  <w:r>
                    <w:rPr>
                      <w:rFonts w:ascii="Arial" w:hAnsi="Arial" w:cs="Arial"/>
                      <w:sz w:val="24"/>
                      <w:szCs w:val="24"/>
                    </w:rPr>
                    <w:t>2 May</w:t>
                  </w:r>
                  <w:r w:rsidR="000B523B">
                    <w:rPr>
                      <w:rFonts w:ascii="Arial" w:hAnsi="Arial" w:cs="Arial"/>
                      <w:sz w:val="24"/>
                      <w:szCs w:val="24"/>
                    </w:rPr>
                    <w:t xml:space="preserve">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5E694813" w:rsidR="00D74C23" w:rsidRPr="002B3746" w:rsidRDefault="003912F9" w:rsidP="000B0A3E">
                  <w:pPr>
                    <w:spacing w:after="0" w:line="240" w:lineRule="auto"/>
                    <w:jc w:val="center"/>
                    <w:rPr>
                      <w:rFonts w:ascii="Arial" w:hAnsi="Arial" w:cs="Arial"/>
                      <w:sz w:val="24"/>
                      <w:szCs w:val="24"/>
                    </w:rPr>
                  </w:pPr>
                  <w:r>
                    <w:rPr>
                      <w:rFonts w:ascii="Arial" w:hAnsi="Arial" w:cs="Arial"/>
                      <w:sz w:val="24"/>
                      <w:szCs w:val="24"/>
                    </w:rPr>
                    <w:t>9 June</w:t>
                  </w:r>
                  <w:r w:rsidR="000B523B">
                    <w:rPr>
                      <w:rFonts w:ascii="Arial" w:hAnsi="Arial" w:cs="Arial"/>
                      <w:sz w:val="24"/>
                      <w:szCs w:val="24"/>
                    </w:rPr>
                    <w:t xml:space="preserve"> 2017</w:t>
                  </w:r>
                  <w:r w:rsidR="00756067">
                    <w:rPr>
                      <w:rFonts w:ascii="Arial" w:hAnsi="Arial" w:cs="Arial"/>
                      <w:sz w:val="24"/>
                      <w:szCs w:val="24"/>
                    </w:rPr>
                    <w:t xml:space="preserve"> </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Announcement</w:t>
                  </w:r>
                </w:p>
              </w:tc>
            </w:tr>
            <w:tr w:rsidR="000B0A3E" w:rsidRPr="002B3746" w14:paraId="75B96316" w14:textId="77777777">
              <w:trPr>
                <w:trHeight w:hRule="exact" w:val="288"/>
                <w:jc w:val="center"/>
              </w:trPr>
              <w:tc>
                <w:tcPr>
                  <w:tcW w:w="4239" w:type="dxa"/>
                  <w:shd w:val="clear" w:color="auto" w:fill="auto"/>
                </w:tcPr>
                <w:p w14:paraId="4AAD4EEB"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Public Comment</w:t>
                  </w:r>
                  <w:r w:rsidR="00D74C23" w:rsidRPr="002B3746">
                    <w:rPr>
                      <w:rFonts w:ascii="Arial" w:hAnsi="Arial" w:cs="Arial"/>
                      <w:sz w:val="24"/>
                      <w:szCs w:val="24"/>
                    </w:rPr>
                    <w:t xml:space="preserve"> Proceeding</w:t>
                  </w:r>
                </w:p>
              </w:tc>
            </w:tr>
            <w:tr w:rsidR="000B0A3E" w:rsidRPr="002B3746" w14:paraId="03C2B45D" w14:textId="77777777">
              <w:trPr>
                <w:trHeight w:hRule="exact" w:val="288"/>
                <w:jc w:val="center"/>
              </w:trPr>
              <w:tc>
                <w:tcPr>
                  <w:tcW w:w="4239" w:type="dxa"/>
                  <w:shd w:val="clear" w:color="auto" w:fill="auto"/>
                </w:tcPr>
                <w:p w14:paraId="641B3B66" w14:textId="77777777" w:rsidR="000B0A3E" w:rsidRPr="002B3746" w:rsidRDefault="00D74C23" w:rsidP="000B0A3E">
                  <w:pPr>
                    <w:spacing w:after="0" w:line="240" w:lineRule="auto"/>
                    <w:jc w:val="center"/>
                    <w:rPr>
                      <w:rFonts w:ascii="Arial" w:hAnsi="Arial" w:cs="Arial"/>
                      <w:sz w:val="24"/>
                      <w:szCs w:val="24"/>
                    </w:rPr>
                  </w:pPr>
                  <w:r w:rsidRPr="002B3746">
                    <w:rPr>
                      <w:rFonts w:ascii="Arial" w:hAnsi="Arial" w:cs="Arial"/>
                      <w:sz w:val="24"/>
                      <w:szCs w:val="24"/>
                    </w:rPr>
                    <w:t>View Comments Submitted</w:t>
                  </w:r>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  General Overview and Next Steps</w:t>
            </w:r>
          </w:p>
        </w:tc>
      </w:tr>
      <w:tr w:rsidR="000B0A3E" w:rsidRPr="002B3746" w14:paraId="070FD3A4" w14:textId="77777777">
        <w:trPr>
          <w:trHeight w:val="360"/>
        </w:trPr>
        <w:tc>
          <w:tcPr>
            <w:tcW w:w="10188" w:type="dxa"/>
            <w:gridSpan w:val="5"/>
            <w:shd w:val="clear" w:color="auto" w:fill="auto"/>
            <w:vAlign w:val="center"/>
          </w:tcPr>
          <w:p w14:paraId="4DC37058" w14:textId="77777777" w:rsidR="002812F7" w:rsidRPr="00EB42DE" w:rsidRDefault="002812F7" w:rsidP="002812F7">
            <w:pPr>
              <w:pStyle w:val="NormalWeb"/>
              <w:shd w:val="clear" w:color="auto" w:fill="FFFFFF"/>
              <w:rPr>
                <w:rFonts w:ascii="Arial" w:hAnsi="Arial" w:cs="Arial"/>
                <w:color w:val="333333"/>
              </w:rPr>
            </w:pPr>
            <w:r w:rsidRPr="00EB42DE">
              <w:rPr>
                <w:rFonts w:ascii="Arial" w:hAnsi="Arial" w:cs="Arial"/>
                <w:color w:val="333333"/>
              </w:rPr>
              <w:t>The Internationalized</w:t>
            </w:r>
            <w:r w:rsidRPr="00EB42DE">
              <w:rPr>
                <w:rStyle w:val="apple-converted-space"/>
                <w:rFonts w:ascii="Arial" w:hAnsi="Arial" w:cs="Arial"/>
                <w:color w:val="333333"/>
              </w:rPr>
              <w:t> </w:t>
            </w:r>
            <w:r w:rsidRPr="00EB42DE">
              <w:rPr>
                <w:rFonts w:ascii="Arial" w:hAnsi="Arial" w:cs="Arial"/>
                <w:color w:val="333333"/>
              </w:rPr>
              <w:t>Domain Name</w:t>
            </w:r>
            <w:r w:rsidRPr="00EB42DE">
              <w:rPr>
                <w:rStyle w:val="apple-converted-space"/>
                <w:rFonts w:ascii="Arial" w:hAnsi="Arial" w:cs="Arial"/>
                <w:color w:val="333333"/>
              </w:rPr>
              <w:t> </w:t>
            </w:r>
            <w:r w:rsidRPr="00EB42DE">
              <w:rPr>
                <w:rFonts w:ascii="Arial" w:hAnsi="Arial" w:cs="Arial"/>
                <w:color w:val="333333"/>
              </w:rPr>
              <w:t>(IDN) Implementation Guidelines relate to the IDN registration policies and practices, designed to minimize the risk of cybersquatting and consumer confusion, to cater to the interests of communities using local languages and scripts. Following the</w:t>
            </w:r>
            <w:r w:rsidRPr="00EB42DE">
              <w:rPr>
                <w:rStyle w:val="apple-converted-space"/>
                <w:rFonts w:ascii="Arial" w:hAnsi="Arial" w:cs="Arial"/>
                <w:color w:val="333333"/>
              </w:rPr>
              <w:t> </w:t>
            </w:r>
            <w:hyperlink r:id="rId7" w:history="1">
              <w:r w:rsidRPr="00EB42DE">
                <w:rPr>
                  <w:rStyle w:val="Hyperlink"/>
                  <w:rFonts w:ascii="Arial" w:hAnsi="Arial" w:cs="Arial"/>
                  <w:color w:val="0098D5"/>
                  <w:u w:val="none"/>
                </w:rPr>
                <w:t>Call for Community Experts</w:t>
              </w:r>
            </w:hyperlink>
            <w:r w:rsidRPr="00EB42DE">
              <w:rPr>
                <w:rFonts w:ascii="Arial" w:hAnsi="Arial" w:cs="Arial"/>
                <w:color w:val="333333"/>
              </w:rPr>
              <w:t>, a Working Group (WG) was formed in to review the current version (</w:t>
            </w:r>
            <w:hyperlink r:id="rId8" w:history="1">
              <w:r w:rsidRPr="00EB42DE">
                <w:rPr>
                  <w:rStyle w:val="Hyperlink"/>
                  <w:rFonts w:ascii="Arial" w:hAnsi="Arial" w:cs="Arial"/>
                  <w:color w:val="0098D5"/>
                  <w:u w:val="none"/>
                </w:rPr>
                <w:t>3.0</w:t>
              </w:r>
            </w:hyperlink>
            <w:r w:rsidRPr="00EB42DE">
              <w:rPr>
                <w:rFonts w:ascii="Arial" w:hAnsi="Arial" w:cs="Arial"/>
                <w:color w:val="333333"/>
              </w:rPr>
              <w:t>) of the</w:t>
            </w:r>
            <w:r w:rsidRPr="00EB42DE">
              <w:rPr>
                <w:rStyle w:val="apple-converted-space"/>
                <w:rFonts w:ascii="Arial" w:hAnsi="Arial" w:cs="Arial"/>
                <w:color w:val="333333"/>
              </w:rPr>
              <w:t> </w:t>
            </w:r>
            <w:hyperlink r:id="rId9" w:history="1">
              <w:r w:rsidRPr="00EB42DE">
                <w:rPr>
                  <w:rStyle w:val="Hyperlink"/>
                  <w:rFonts w:ascii="Arial" w:hAnsi="Arial" w:cs="Arial"/>
                  <w:color w:val="0098D5"/>
                  <w:u w:val="none"/>
                </w:rPr>
                <w:t>IDN Implementation Guidelines</w:t>
              </w:r>
            </w:hyperlink>
            <w:r w:rsidRPr="00EB42DE">
              <w:rPr>
                <w:rFonts w:ascii="Arial" w:hAnsi="Arial" w:cs="Arial"/>
                <w:color w:val="333333"/>
              </w:rPr>
              <w:t>, last updated in 2011. The</w:t>
            </w:r>
            <w:r w:rsidRPr="00EB42DE">
              <w:rPr>
                <w:rStyle w:val="apple-converted-space"/>
                <w:rFonts w:ascii="Arial" w:hAnsi="Arial" w:cs="Arial"/>
                <w:color w:val="333333"/>
              </w:rPr>
              <w:t> </w:t>
            </w:r>
            <w:r w:rsidRPr="00EB42DE">
              <w:rPr>
                <w:rFonts w:ascii="Arial" w:hAnsi="Arial" w:cs="Arial"/>
                <w:color w:val="333333"/>
              </w:rPr>
              <w:t>WG</w:t>
            </w:r>
            <w:r w:rsidRPr="00EB42DE">
              <w:rPr>
                <w:rStyle w:val="apple-converted-space"/>
                <w:rFonts w:ascii="Arial" w:hAnsi="Arial" w:cs="Arial"/>
                <w:color w:val="333333"/>
              </w:rPr>
              <w:t> </w:t>
            </w:r>
            <w:r w:rsidRPr="00EB42DE">
              <w:rPr>
                <w:rFonts w:ascii="Arial" w:hAnsi="Arial" w:cs="Arial"/>
                <w:color w:val="333333"/>
              </w:rPr>
              <w:t>has finalized its work and solicited feedback of the community on the</w:t>
            </w:r>
            <w:r w:rsidRPr="00EB42DE">
              <w:rPr>
                <w:rStyle w:val="apple-converted-space"/>
                <w:rFonts w:ascii="Arial" w:hAnsi="Arial" w:cs="Arial"/>
                <w:color w:val="333333"/>
              </w:rPr>
              <w:t> </w:t>
            </w:r>
            <w:hyperlink r:id="rId10" w:history="1">
              <w:r w:rsidRPr="00EB42DE">
                <w:rPr>
                  <w:rStyle w:val="Hyperlink"/>
                  <w:rFonts w:ascii="Arial" w:hAnsi="Arial" w:cs="Arial"/>
                  <w:color w:val="0098D5"/>
                  <w:u w:val="none"/>
                </w:rPr>
                <w:t>Guidelines for the Implementation of the Internationalized Domain Names 4.0</w:t>
              </w:r>
            </w:hyperlink>
            <w:r w:rsidRPr="00EB42DE">
              <w:rPr>
                <w:rStyle w:val="apple-converted-space"/>
                <w:rFonts w:ascii="Arial" w:hAnsi="Arial" w:cs="Arial"/>
                <w:color w:val="333333"/>
              </w:rPr>
              <w:t> </w:t>
            </w:r>
            <w:r w:rsidRPr="00EB42DE">
              <w:rPr>
                <w:rFonts w:ascii="Arial" w:hAnsi="Arial" w:cs="Arial"/>
                <w:color w:val="333333"/>
              </w:rPr>
              <w:t>[PDF, 363 KB], the proposed update to the current Guidelines.</w:t>
            </w:r>
          </w:p>
          <w:p w14:paraId="60A0940C" w14:textId="77777777" w:rsidR="003912F9" w:rsidRPr="00EB42DE" w:rsidRDefault="002812F7" w:rsidP="002812F7">
            <w:pPr>
              <w:pStyle w:val="NormalWeb"/>
              <w:shd w:val="clear" w:color="auto" w:fill="FFFFFF"/>
              <w:rPr>
                <w:rFonts w:asciiTheme="minorBidi" w:hAnsiTheme="minorBidi" w:cstheme="minorBidi"/>
                <w:color w:val="333333"/>
              </w:rPr>
            </w:pPr>
            <w:r w:rsidRPr="00EB42DE">
              <w:rPr>
                <w:rFonts w:ascii="Arial" w:hAnsi="Arial" w:cs="Arial"/>
                <w:color w:val="333333"/>
              </w:rPr>
              <w:t>The IDN Guidelines</w:t>
            </w:r>
            <w:r w:rsidRPr="00EB42DE">
              <w:rPr>
                <w:rStyle w:val="apple-converted-space"/>
                <w:rFonts w:ascii="Arial" w:hAnsi="Arial" w:cs="Arial"/>
                <w:color w:val="333333"/>
              </w:rPr>
              <w:t> </w:t>
            </w:r>
            <w:r w:rsidRPr="00EB42DE">
              <w:rPr>
                <w:rFonts w:ascii="Arial" w:hAnsi="Arial" w:cs="Arial"/>
                <w:color w:val="333333"/>
              </w:rPr>
              <w:t>WG</w:t>
            </w:r>
            <w:r w:rsidRPr="00EB42DE">
              <w:rPr>
                <w:rStyle w:val="apple-converted-space"/>
                <w:rFonts w:ascii="Arial" w:hAnsi="Arial" w:cs="Arial"/>
                <w:color w:val="333333"/>
              </w:rPr>
              <w:t> </w:t>
            </w:r>
            <w:r w:rsidRPr="00EB42DE">
              <w:rPr>
                <w:rFonts w:ascii="Arial" w:hAnsi="Arial" w:cs="Arial"/>
                <w:color w:val="333333"/>
              </w:rPr>
              <w:t>(IDNGWG) will review and incorporate the comments received from the community and finalize the next version of the IDN Implementation Guidelines. The final version of the Guidelines published by the</w:t>
            </w:r>
            <w:r w:rsidRPr="00EB42DE">
              <w:rPr>
                <w:rStyle w:val="apple-converted-space"/>
                <w:rFonts w:ascii="Arial" w:hAnsi="Arial" w:cs="Arial"/>
                <w:color w:val="333333"/>
              </w:rPr>
              <w:t> </w:t>
            </w:r>
            <w:r w:rsidRPr="00EB42DE">
              <w:rPr>
                <w:rFonts w:ascii="Arial" w:hAnsi="Arial" w:cs="Arial"/>
                <w:color w:val="333333"/>
              </w:rPr>
              <w:t>WG</w:t>
            </w:r>
            <w:r w:rsidRPr="00EB42DE">
              <w:rPr>
                <w:rStyle w:val="apple-converted-space"/>
                <w:rFonts w:ascii="Arial" w:hAnsi="Arial" w:cs="Arial"/>
                <w:color w:val="333333"/>
              </w:rPr>
              <w:t> </w:t>
            </w:r>
            <w:r w:rsidRPr="00EB42DE">
              <w:rPr>
                <w:rFonts w:ascii="Arial" w:hAnsi="Arial" w:cs="Arial"/>
                <w:color w:val="333333"/>
              </w:rPr>
              <w:t>will be presented to</w:t>
            </w:r>
            <w:r w:rsidRPr="00EB42DE">
              <w:rPr>
                <w:rStyle w:val="apple-converted-space"/>
                <w:rFonts w:ascii="Arial" w:hAnsi="Arial" w:cs="Arial"/>
                <w:color w:val="333333"/>
              </w:rPr>
              <w:t> </w:t>
            </w:r>
            <w:r w:rsidRPr="00EB42DE">
              <w:rPr>
                <w:rFonts w:ascii="Arial" w:hAnsi="Arial" w:cs="Arial"/>
                <w:color w:val="333333"/>
              </w:rPr>
              <w:t>ICANN</w:t>
            </w:r>
            <w:r w:rsidRPr="00EB42DE">
              <w:rPr>
                <w:rStyle w:val="apple-converted-space"/>
                <w:rFonts w:ascii="Arial" w:hAnsi="Arial" w:cs="Arial"/>
                <w:color w:val="333333"/>
              </w:rPr>
              <w:t> </w:t>
            </w:r>
            <w:r w:rsidRPr="00EB42DE">
              <w:rPr>
                <w:rFonts w:ascii="Arial" w:hAnsi="Arial" w:cs="Arial"/>
                <w:color w:val="333333"/>
              </w:rPr>
              <w:t>Board of Directors for approval</w:t>
            </w:r>
            <w:r w:rsidRPr="00EB42DE">
              <w:rPr>
                <w:rFonts w:asciiTheme="minorBidi" w:hAnsiTheme="minorBidi" w:cstheme="minorBidi"/>
                <w:color w:val="333333"/>
              </w:rPr>
              <w:t>.</w:t>
            </w:r>
          </w:p>
          <w:p w14:paraId="3323FF8F" w14:textId="65CC1077" w:rsidR="002812F7" w:rsidRPr="002B3746" w:rsidRDefault="002812F7" w:rsidP="002812F7">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  Contributors</w:t>
            </w:r>
          </w:p>
        </w:tc>
      </w:tr>
      <w:tr w:rsidR="000B0A3E" w:rsidRPr="002B3746" w14:paraId="54BBA50D" w14:textId="77777777" w:rsidTr="008913C7">
        <w:trPr>
          <w:trHeight w:val="4535"/>
        </w:trPr>
        <w:tc>
          <w:tcPr>
            <w:tcW w:w="10188" w:type="dxa"/>
            <w:gridSpan w:val="5"/>
            <w:shd w:val="clear" w:color="auto" w:fill="auto"/>
          </w:tcPr>
          <w:p w14:paraId="6A4BD2E3" w14:textId="77777777" w:rsidR="00D74C23" w:rsidRPr="002B3746" w:rsidRDefault="00D74C23"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i/>
              </w:rPr>
              <w:t>At the time this report was prepared, a total of [number] (n) community submissions had been posted to the forum.  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0B0A3E" w:rsidRPr="002B3746" w14:paraId="6986E7D3" w14:textId="77777777">
              <w:tc>
                <w:tcPr>
                  <w:tcW w:w="4878"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3847"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tc>
                <w:tcPr>
                  <w:tcW w:w="4878" w:type="dxa"/>
                  <w:shd w:val="clear" w:color="auto" w:fill="auto"/>
                </w:tcPr>
                <w:p w14:paraId="77786AAE" w14:textId="30F46370" w:rsidR="000B0A3E" w:rsidRPr="002B3746" w:rsidRDefault="00091A48" w:rsidP="000B0A3E">
                  <w:pPr>
                    <w:spacing w:after="0" w:line="240" w:lineRule="auto"/>
                    <w:rPr>
                      <w:rFonts w:ascii="Arial" w:eastAsia="Times New Roman" w:hAnsi="Arial" w:cs="Arial"/>
                      <w:sz w:val="24"/>
                      <w:szCs w:val="24"/>
                    </w:rPr>
                  </w:pPr>
                  <w:r>
                    <w:rPr>
                      <w:rFonts w:ascii="Arial" w:eastAsia="Times New Roman" w:hAnsi="Arial" w:cs="Arial"/>
                      <w:sz w:val="24"/>
                      <w:szCs w:val="24"/>
                    </w:rPr>
                    <w:t>NIC Chile</w:t>
                  </w:r>
                </w:p>
              </w:tc>
              <w:tc>
                <w:tcPr>
                  <w:tcW w:w="3847" w:type="dxa"/>
                  <w:shd w:val="clear" w:color="auto" w:fill="auto"/>
                </w:tcPr>
                <w:p w14:paraId="61A19E07" w14:textId="04530BBB" w:rsidR="000B0A3E" w:rsidRPr="002B3746" w:rsidRDefault="00091A48" w:rsidP="000B0A3E">
                  <w:pPr>
                    <w:spacing w:after="0" w:line="240" w:lineRule="auto"/>
                    <w:rPr>
                      <w:rFonts w:ascii="Arial" w:eastAsia="Times New Roman" w:hAnsi="Arial" w:cs="Arial"/>
                      <w:sz w:val="24"/>
                      <w:szCs w:val="24"/>
                    </w:rPr>
                  </w:pPr>
                  <w:r w:rsidRPr="00091A48">
                    <w:rPr>
                      <w:rFonts w:ascii="Arial" w:eastAsia="Times New Roman" w:hAnsi="Arial" w:cs="Arial"/>
                      <w:sz w:val="24"/>
                      <w:szCs w:val="24"/>
                    </w:rPr>
                    <w:t>Hugo Salgado-Hernández</w:t>
                  </w:r>
                </w:p>
              </w:tc>
              <w:tc>
                <w:tcPr>
                  <w:tcW w:w="1170" w:type="dxa"/>
                  <w:shd w:val="clear" w:color="auto" w:fill="auto"/>
                </w:tcPr>
                <w:p w14:paraId="10386676" w14:textId="0112FE52" w:rsidR="000B0A3E" w:rsidRPr="002B3746" w:rsidRDefault="00091A48"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CL</w:t>
                  </w:r>
                </w:p>
              </w:tc>
            </w:tr>
            <w:tr w:rsidR="000B0A3E" w:rsidRPr="002B3746" w14:paraId="7131972B" w14:textId="77777777">
              <w:tc>
                <w:tcPr>
                  <w:tcW w:w="4878" w:type="dxa"/>
                  <w:shd w:val="clear" w:color="auto" w:fill="auto"/>
                </w:tcPr>
                <w:p w14:paraId="7142D1C4" w14:textId="1EB94E82" w:rsidR="000B0A3E" w:rsidRPr="002B3746" w:rsidRDefault="00D97E6A" w:rsidP="000B0A3E">
                  <w:pPr>
                    <w:spacing w:after="0" w:line="240" w:lineRule="auto"/>
                    <w:rPr>
                      <w:rFonts w:ascii="Arial" w:eastAsia="Times New Roman" w:hAnsi="Arial" w:cs="Arial"/>
                      <w:sz w:val="24"/>
                      <w:szCs w:val="24"/>
                    </w:rPr>
                  </w:pPr>
                  <w:r>
                    <w:rPr>
                      <w:rFonts w:ascii="Arial" w:eastAsia="Times New Roman" w:hAnsi="Arial" w:cs="Arial"/>
                      <w:sz w:val="24"/>
                      <w:szCs w:val="24"/>
                    </w:rPr>
                    <w:t>Open-X</w:t>
                  </w:r>
                  <w:r w:rsidR="00091A48">
                    <w:rPr>
                      <w:rFonts w:ascii="Arial" w:eastAsia="Times New Roman" w:hAnsi="Arial" w:cs="Arial"/>
                      <w:sz w:val="24"/>
                      <w:szCs w:val="24"/>
                    </w:rPr>
                    <w:t>change</w:t>
                  </w:r>
                </w:p>
              </w:tc>
              <w:tc>
                <w:tcPr>
                  <w:tcW w:w="3847" w:type="dxa"/>
                  <w:shd w:val="clear" w:color="auto" w:fill="auto"/>
                </w:tcPr>
                <w:p w14:paraId="2B765014" w14:textId="74340CFC" w:rsidR="000B0A3E" w:rsidRPr="002B3746" w:rsidRDefault="00091A48" w:rsidP="00EA6C52">
                  <w:pPr>
                    <w:spacing w:after="0" w:line="240" w:lineRule="auto"/>
                    <w:rPr>
                      <w:rFonts w:ascii="Arial" w:eastAsia="Times New Roman" w:hAnsi="Arial" w:cs="Arial"/>
                      <w:sz w:val="24"/>
                      <w:szCs w:val="24"/>
                    </w:rPr>
                  </w:pPr>
                  <w:r w:rsidRPr="00091A48">
                    <w:rPr>
                      <w:rFonts w:ascii="Arial" w:eastAsia="Times New Roman" w:hAnsi="Arial" w:cs="Arial"/>
                      <w:sz w:val="24"/>
                      <w:szCs w:val="24"/>
                    </w:rPr>
                    <w:t xml:space="preserve">Vittorio </w:t>
                  </w:r>
                  <w:proofErr w:type="spellStart"/>
                  <w:r w:rsidRPr="00091A48">
                    <w:rPr>
                      <w:rFonts w:ascii="Arial" w:eastAsia="Times New Roman" w:hAnsi="Arial" w:cs="Arial"/>
                      <w:sz w:val="24"/>
                      <w:szCs w:val="24"/>
                    </w:rPr>
                    <w:t>Bertola</w:t>
                  </w:r>
                  <w:proofErr w:type="spellEnd"/>
                </w:p>
              </w:tc>
              <w:tc>
                <w:tcPr>
                  <w:tcW w:w="1170" w:type="dxa"/>
                  <w:shd w:val="clear" w:color="auto" w:fill="auto"/>
                </w:tcPr>
                <w:p w14:paraId="74EADD1D" w14:textId="14D33D3C" w:rsidR="000B0A3E" w:rsidRPr="002B3746" w:rsidRDefault="00091A48"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O</w:t>
                  </w:r>
                  <w:r w:rsidR="00D97E6A">
                    <w:rPr>
                      <w:rFonts w:ascii="Arial" w:eastAsia="Times New Roman" w:hAnsi="Arial" w:cs="Arial"/>
                      <w:sz w:val="24"/>
                      <w:szCs w:val="24"/>
                    </w:rPr>
                    <w:t>-</w:t>
                  </w:r>
                  <w:r>
                    <w:rPr>
                      <w:rFonts w:ascii="Arial" w:eastAsia="Times New Roman" w:hAnsi="Arial" w:cs="Arial"/>
                      <w:sz w:val="24"/>
                      <w:szCs w:val="24"/>
                    </w:rPr>
                    <w:t>X</w:t>
                  </w:r>
                </w:p>
              </w:tc>
            </w:tr>
            <w:tr w:rsidR="00091A48" w:rsidRPr="002B3746" w14:paraId="4DF78F11" w14:textId="77777777">
              <w:tc>
                <w:tcPr>
                  <w:tcW w:w="4878" w:type="dxa"/>
                  <w:shd w:val="clear" w:color="auto" w:fill="auto"/>
                </w:tcPr>
                <w:p w14:paraId="05D52F7B" w14:textId="64E0EBBE" w:rsidR="00091A48" w:rsidRPr="002B3746" w:rsidRDefault="00091A48" w:rsidP="000B0A3E">
                  <w:pPr>
                    <w:spacing w:after="0" w:line="240" w:lineRule="auto"/>
                    <w:rPr>
                      <w:rFonts w:ascii="Arial" w:eastAsia="Times New Roman" w:hAnsi="Arial" w:cs="Arial"/>
                      <w:sz w:val="24"/>
                      <w:szCs w:val="24"/>
                    </w:rPr>
                  </w:pPr>
                  <w:r>
                    <w:rPr>
                      <w:rFonts w:ascii="Arial" w:eastAsia="Times New Roman" w:hAnsi="Arial" w:cs="Arial"/>
                      <w:sz w:val="24"/>
                      <w:szCs w:val="24"/>
                    </w:rPr>
                    <w:t>Internet Architecture Board</w:t>
                  </w:r>
                </w:p>
              </w:tc>
              <w:tc>
                <w:tcPr>
                  <w:tcW w:w="3847" w:type="dxa"/>
                  <w:shd w:val="clear" w:color="auto" w:fill="auto"/>
                </w:tcPr>
                <w:p w14:paraId="5E8B3528" w14:textId="47A7A857" w:rsidR="00091A48" w:rsidRPr="002B3746" w:rsidRDefault="00091A48" w:rsidP="00EA6C52">
                  <w:pPr>
                    <w:spacing w:after="0" w:line="240" w:lineRule="auto"/>
                    <w:rPr>
                      <w:rFonts w:ascii="Arial" w:eastAsia="Times New Roman" w:hAnsi="Arial" w:cs="Arial"/>
                      <w:sz w:val="24"/>
                      <w:szCs w:val="24"/>
                    </w:rPr>
                  </w:pPr>
                  <w:r>
                    <w:rPr>
                      <w:rFonts w:ascii="Arial" w:eastAsia="Times New Roman" w:hAnsi="Arial" w:cs="Arial"/>
                      <w:sz w:val="24"/>
                      <w:szCs w:val="24"/>
                    </w:rPr>
                    <w:t>Suzanne Woolf</w:t>
                  </w:r>
                </w:p>
              </w:tc>
              <w:tc>
                <w:tcPr>
                  <w:tcW w:w="1170" w:type="dxa"/>
                  <w:shd w:val="clear" w:color="auto" w:fill="auto"/>
                </w:tcPr>
                <w:p w14:paraId="1D833792" w14:textId="10835398" w:rsidR="00091A48" w:rsidRPr="002B3746" w:rsidRDefault="00091A48"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IAB</w:t>
                  </w:r>
                </w:p>
              </w:tc>
            </w:tr>
            <w:tr w:rsidR="009B470E" w:rsidRPr="002B3746" w14:paraId="1D255D23" w14:textId="77777777">
              <w:tc>
                <w:tcPr>
                  <w:tcW w:w="4878" w:type="dxa"/>
                  <w:shd w:val="clear" w:color="auto" w:fill="auto"/>
                </w:tcPr>
                <w:p w14:paraId="6ECE82D5" w14:textId="46EB09F3" w:rsidR="009B470E" w:rsidRDefault="009B470E" w:rsidP="009B470E">
                  <w:pPr>
                    <w:spacing w:after="0" w:line="240" w:lineRule="auto"/>
                    <w:rPr>
                      <w:rFonts w:ascii="Arial" w:eastAsia="Times New Roman" w:hAnsi="Arial" w:cs="Arial"/>
                      <w:sz w:val="24"/>
                      <w:szCs w:val="24"/>
                    </w:rPr>
                  </w:pPr>
                  <w:r>
                    <w:rPr>
                      <w:rFonts w:ascii="Arial" w:eastAsia="Times New Roman" w:hAnsi="Arial" w:cs="Arial"/>
                      <w:sz w:val="24"/>
                      <w:szCs w:val="24"/>
                    </w:rPr>
                    <w:t>Govt. of India</w:t>
                  </w:r>
                </w:p>
              </w:tc>
              <w:tc>
                <w:tcPr>
                  <w:tcW w:w="3847" w:type="dxa"/>
                  <w:shd w:val="clear" w:color="auto" w:fill="auto"/>
                </w:tcPr>
                <w:p w14:paraId="037E1F24" w14:textId="41E991CF" w:rsidR="009B470E" w:rsidRDefault="009B470E" w:rsidP="009B470E">
                  <w:pPr>
                    <w:spacing w:after="0" w:line="240" w:lineRule="auto"/>
                    <w:rPr>
                      <w:rFonts w:ascii="Arial" w:eastAsia="Times New Roman" w:hAnsi="Arial" w:cs="Arial"/>
                      <w:sz w:val="24"/>
                      <w:szCs w:val="24"/>
                    </w:rPr>
                  </w:pPr>
                  <w:r w:rsidRPr="00091A48">
                    <w:rPr>
                      <w:rFonts w:ascii="Arial" w:eastAsia="Times New Roman" w:hAnsi="Arial" w:cs="Arial"/>
                      <w:sz w:val="24"/>
                      <w:szCs w:val="24"/>
                    </w:rPr>
                    <w:t>T.</w:t>
                  </w:r>
                  <w:r>
                    <w:rPr>
                      <w:rFonts w:ascii="Arial" w:eastAsia="Times New Roman" w:hAnsi="Arial" w:cs="Arial"/>
                      <w:sz w:val="24"/>
                      <w:szCs w:val="24"/>
                    </w:rPr>
                    <w:t xml:space="preserve"> </w:t>
                  </w:r>
                  <w:r w:rsidRPr="00091A48">
                    <w:rPr>
                      <w:rFonts w:ascii="Arial" w:eastAsia="Times New Roman" w:hAnsi="Arial" w:cs="Arial"/>
                      <w:sz w:val="24"/>
                      <w:szCs w:val="24"/>
                    </w:rPr>
                    <w:t>Santhosh</w:t>
                  </w:r>
                </w:p>
              </w:tc>
              <w:tc>
                <w:tcPr>
                  <w:tcW w:w="1170" w:type="dxa"/>
                  <w:shd w:val="clear" w:color="auto" w:fill="auto"/>
                </w:tcPr>
                <w:p w14:paraId="187D6200" w14:textId="388B8692" w:rsidR="009B470E" w:rsidRDefault="009B470E" w:rsidP="009B470E">
                  <w:pPr>
                    <w:spacing w:after="0" w:line="240" w:lineRule="auto"/>
                    <w:jc w:val="center"/>
                    <w:rPr>
                      <w:rFonts w:ascii="Arial" w:eastAsia="Times New Roman" w:hAnsi="Arial" w:cs="Arial"/>
                      <w:sz w:val="24"/>
                      <w:szCs w:val="24"/>
                    </w:rPr>
                  </w:pPr>
                  <w:proofErr w:type="spellStart"/>
                  <w:r>
                    <w:rPr>
                      <w:rFonts w:ascii="Arial" w:eastAsia="Times New Roman" w:hAnsi="Arial" w:cs="Arial"/>
                      <w:sz w:val="24"/>
                      <w:szCs w:val="24"/>
                    </w:rPr>
                    <w:t>GoI</w:t>
                  </w:r>
                  <w:proofErr w:type="spellEnd"/>
                </w:p>
              </w:tc>
            </w:tr>
            <w:tr w:rsidR="009B470E" w:rsidRPr="002B3746" w14:paraId="54E4F73D" w14:textId="77777777">
              <w:tc>
                <w:tcPr>
                  <w:tcW w:w="4878" w:type="dxa"/>
                  <w:shd w:val="clear" w:color="auto" w:fill="auto"/>
                </w:tcPr>
                <w:p w14:paraId="695DE727" w14:textId="1DFC15E4" w:rsidR="009B470E" w:rsidRPr="002B3746" w:rsidRDefault="009B470E" w:rsidP="009B470E">
                  <w:pPr>
                    <w:spacing w:after="0" w:line="240" w:lineRule="auto"/>
                    <w:rPr>
                      <w:rFonts w:ascii="Arial" w:eastAsia="Times New Roman" w:hAnsi="Arial" w:cs="Arial"/>
                      <w:sz w:val="24"/>
                      <w:szCs w:val="24"/>
                    </w:rPr>
                  </w:pPr>
                  <w:r>
                    <w:rPr>
                      <w:rFonts w:ascii="Arial" w:eastAsia="Times New Roman" w:hAnsi="Arial" w:cs="Arial"/>
                      <w:sz w:val="24"/>
                      <w:szCs w:val="24"/>
                    </w:rPr>
                    <w:t>Registries Stakeholder Group</w:t>
                  </w:r>
                </w:p>
              </w:tc>
              <w:tc>
                <w:tcPr>
                  <w:tcW w:w="3847" w:type="dxa"/>
                  <w:shd w:val="clear" w:color="auto" w:fill="auto"/>
                </w:tcPr>
                <w:p w14:paraId="5279B9EE" w14:textId="780C42EC" w:rsidR="009B470E" w:rsidRPr="002B3746" w:rsidRDefault="009B470E" w:rsidP="009B470E">
                  <w:pPr>
                    <w:spacing w:after="0" w:line="240" w:lineRule="auto"/>
                    <w:rPr>
                      <w:rFonts w:ascii="Arial" w:eastAsia="Times New Roman" w:hAnsi="Arial" w:cs="Arial"/>
                      <w:sz w:val="24"/>
                      <w:szCs w:val="24"/>
                    </w:rPr>
                  </w:pPr>
                  <w:r w:rsidRPr="00091A48">
                    <w:rPr>
                      <w:rFonts w:ascii="Arial" w:eastAsia="Times New Roman" w:hAnsi="Arial" w:cs="Arial"/>
                      <w:sz w:val="24"/>
                      <w:szCs w:val="24"/>
                    </w:rPr>
                    <w:t>Stéphane Van Gelder</w:t>
                  </w:r>
                </w:p>
              </w:tc>
              <w:tc>
                <w:tcPr>
                  <w:tcW w:w="1170" w:type="dxa"/>
                  <w:shd w:val="clear" w:color="auto" w:fill="auto"/>
                </w:tcPr>
                <w:p w14:paraId="22DEB57B" w14:textId="6E7440AA" w:rsidR="009B470E" w:rsidRPr="002B3746" w:rsidRDefault="009B470E" w:rsidP="009B470E">
                  <w:pPr>
                    <w:spacing w:after="0" w:line="240" w:lineRule="auto"/>
                    <w:jc w:val="center"/>
                    <w:rPr>
                      <w:rFonts w:ascii="Arial" w:eastAsia="Times New Roman" w:hAnsi="Arial" w:cs="Arial"/>
                      <w:sz w:val="24"/>
                      <w:szCs w:val="24"/>
                    </w:rPr>
                  </w:pPr>
                  <w:proofErr w:type="spellStart"/>
                  <w:r>
                    <w:rPr>
                      <w:rFonts w:ascii="Arial" w:eastAsia="Times New Roman" w:hAnsi="Arial" w:cs="Arial"/>
                      <w:sz w:val="24"/>
                      <w:szCs w:val="24"/>
                    </w:rPr>
                    <w:t>RySG</w:t>
                  </w:r>
                  <w:proofErr w:type="spellEnd"/>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870"/>
              <w:gridCol w:w="1170"/>
            </w:tblGrid>
            <w:tr w:rsidR="000B0A3E" w:rsidRPr="002B3746" w14:paraId="59D2BEE3" w14:textId="77777777">
              <w:tc>
                <w:tcPr>
                  <w:tcW w:w="4855"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3870"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48B3018C" w14:textId="77777777">
              <w:tc>
                <w:tcPr>
                  <w:tcW w:w="4855" w:type="dxa"/>
                  <w:shd w:val="clear" w:color="auto" w:fill="auto"/>
                </w:tcPr>
                <w:p w14:paraId="04F1EA61" w14:textId="77777777" w:rsidR="000B0A3E" w:rsidRPr="002B3746" w:rsidRDefault="000B0A3E" w:rsidP="000B0A3E">
                  <w:pPr>
                    <w:spacing w:after="0" w:line="240" w:lineRule="auto"/>
                    <w:rPr>
                      <w:rFonts w:ascii="Arial" w:eastAsia="Times New Roman" w:hAnsi="Arial" w:cs="Arial"/>
                      <w:sz w:val="24"/>
                      <w:szCs w:val="24"/>
                    </w:rPr>
                  </w:pPr>
                </w:p>
              </w:tc>
              <w:tc>
                <w:tcPr>
                  <w:tcW w:w="3870" w:type="dxa"/>
                  <w:shd w:val="clear" w:color="auto" w:fill="auto"/>
                </w:tcPr>
                <w:p w14:paraId="4FB92B88" w14:textId="77777777" w:rsidR="000B0A3E" w:rsidRPr="002B3746" w:rsidRDefault="000B0A3E" w:rsidP="000B0A3E">
                  <w:pPr>
                    <w:spacing w:after="0" w:line="240" w:lineRule="auto"/>
                    <w:rPr>
                      <w:rFonts w:ascii="Arial" w:eastAsia="Times New Roman" w:hAnsi="Arial" w:cs="Arial"/>
                      <w:sz w:val="24"/>
                      <w:szCs w:val="24"/>
                    </w:rPr>
                  </w:pPr>
                </w:p>
              </w:tc>
              <w:tc>
                <w:tcPr>
                  <w:tcW w:w="1170" w:type="dxa"/>
                  <w:shd w:val="clear" w:color="auto" w:fill="auto"/>
                </w:tcPr>
                <w:p w14:paraId="0DC7E543" w14:textId="77777777" w:rsidR="000B0A3E" w:rsidRPr="002B3746" w:rsidRDefault="000B0A3E" w:rsidP="000B0A3E">
                  <w:pPr>
                    <w:spacing w:after="0" w:line="240" w:lineRule="auto"/>
                    <w:jc w:val="center"/>
                    <w:rPr>
                      <w:rFonts w:ascii="Arial" w:eastAsia="Times New Roman" w:hAnsi="Arial" w:cs="Arial"/>
                      <w:sz w:val="24"/>
                      <w:szCs w:val="24"/>
                    </w:rPr>
                  </w:pPr>
                </w:p>
              </w:tc>
            </w:tr>
            <w:tr w:rsidR="00A868A2" w:rsidRPr="002B3746" w14:paraId="787333A2" w14:textId="77777777">
              <w:tc>
                <w:tcPr>
                  <w:tcW w:w="4855" w:type="dxa"/>
                  <w:shd w:val="clear" w:color="auto" w:fill="auto"/>
                </w:tcPr>
                <w:p w14:paraId="4D806D95" w14:textId="77777777" w:rsidR="00A868A2" w:rsidRPr="002B3746" w:rsidRDefault="00A868A2" w:rsidP="000B0A3E">
                  <w:pPr>
                    <w:spacing w:after="0" w:line="240" w:lineRule="auto"/>
                    <w:rPr>
                      <w:rFonts w:ascii="Arial" w:eastAsia="Times New Roman" w:hAnsi="Arial" w:cs="Arial"/>
                      <w:sz w:val="24"/>
                      <w:szCs w:val="24"/>
                    </w:rPr>
                  </w:pPr>
                </w:p>
              </w:tc>
              <w:tc>
                <w:tcPr>
                  <w:tcW w:w="3870" w:type="dxa"/>
                  <w:shd w:val="clear" w:color="auto" w:fill="auto"/>
                </w:tcPr>
                <w:p w14:paraId="52F8DB7F" w14:textId="77777777" w:rsidR="00A868A2" w:rsidRPr="002B3746" w:rsidRDefault="00A868A2" w:rsidP="000B0A3E">
                  <w:pPr>
                    <w:spacing w:after="0" w:line="240" w:lineRule="auto"/>
                    <w:rPr>
                      <w:rFonts w:ascii="Arial" w:eastAsia="Times New Roman" w:hAnsi="Arial" w:cs="Arial"/>
                      <w:sz w:val="24"/>
                      <w:szCs w:val="24"/>
                    </w:rPr>
                  </w:pPr>
                </w:p>
              </w:tc>
              <w:tc>
                <w:tcPr>
                  <w:tcW w:w="1170" w:type="dxa"/>
                  <w:shd w:val="clear" w:color="auto" w:fill="auto"/>
                </w:tcPr>
                <w:p w14:paraId="30098655" w14:textId="77777777" w:rsidR="00A868A2" w:rsidRPr="002B3746" w:rsidRDefault="00A868A2" w:rsidP="000B0A3E">
                  <w:pPr>
                    <w:spacing w:after="0" w:line="240" w:lineRule="auto"/>
                    <w:jc w:val="center"/>
                    <w:rPr>
                      <w:rFonts w:ascii="Arial" w:eastAsia="Times New Roman" w:hAnsi="Arial" w:cs="Arial"/>
                      <w:sz w:val="24"/>
                      <w:szCs w:val="24"/>
                    </w:rPr>
                  </w:pPr>
                </w:p>
              </w:tc>
            </w:tr>
          </w:tbl>
          <w:p w14:paraId="29559ED9" w14:textId="77777777" w:rsidR="000B0A3E" w:rsidRPr="002B3746" w:rsidRDefault="000B0A3E"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III:  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2B3746" w:rsidRDefault="00D74C23" w:rsidP="000B0A3E">
            <w:pPr>
              <w:spacing w:after="0" w:line="240" w:lineRule="auto"/>
              <w:rPr>
                <w:rFonts w:ascii="Arial" w:hAnsi="Arial" w:cs="Arial"/>
                <w:i/>
                <w:u w:val="single"/>
              </w:rPr>
            </w:pPr>
          </w:p>
          <w:p w14:paraId="781E0D67" w14:textId="1C622A8F" w:rsidR="00F00C40" w:rsidRDefault="00D74C23" w:rsidP="000B0A3E">
            <w:pPr>
              <w:spacing w:after="0" w:line="240" w:lineRule="auto"/>
              <w:rPr>
                <w:rFonts w:ascii="Arial" w:hAnsi="Arial" w:cs="Arial"/>
                <w:i/>
                <w:rtl/>
              </w:rPr>
            </w:pPr>
            <w:r w:rsidRPr="002B3746">
              <w:rPr>
                <w:rFonts w:ascii="Arial" w:hAnsi="Arial" w:cs="Arial"/>
                <w:i/>
                <w:u w:val="single"/>
              </w:rPr>
              <w:t>General Disclaimer</w:t>
            </w:r>
            <w:r w:rsidRPr="002B3746">
              <w:rPr>
                <w:rFonts w:ascii="Arial" w:hAnsi="Arial" w:cs="Arial"/>
                <w:i/>
              </w:rPr>
              <w:t>: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p>
          <w:p w14:paraId="7D077002" w14:textId="1549A755" w:rsidR="00AC7932" w:rsidRDefault="00AC7932" w:rsidP="000B0A3E">
            <w:pPr>
              <w:spacing w:after="0" w:line="240" w:lineRule="auto"/>
              <w:rPr>
                <w:rFonts w:ascii="Arial" w:hAnsi="Arial" w:cs="Arial"/>
                <w:i/>
                <w:rtl/>
              </w:rPr>
            </w:pPr>
          </w:p>
          <w:p w14:paraId="44C53982" w14:textId="69D89B24" w:rsidR="00F0346F" w:rsidRDefault="00273C18" w:rsidP="003912F9">
            <w:pPr>
              <w:spacing w:after="0" w:line="240" w:lineRule="auto"/>
              <w:rPr>
                <w:rFonts w:ascii="Arial" w:hAnsi="Arial" w:cs="Arial"/>
                <w:sz w:val="24"/>
                <w:szCs w:val="24"/>
              </w:rPr>
            </w:pPr>
            <w:r>
              <w:rPr>
                <w:rFonts w:ascii="Arial" w:hAnsi="Arial" w:cs="Arial"/>
                <w:sz w:val="24"/>
                <w:szCs w:val="24"/>
              </w:rPr>
              <w:t xml:space="preserve">CL1:  A clarification is suggested regarding the use of IDN labels inside a TLD zone for records that are not-authoritative, e.g. the NS and glue records.  </w:t>
            </w:r>
            <w:proofErr w:type="gramStart"/>
            <w:r>
              <w:rPr>
                <w:rFonts w:ascii="Arial" w:hAnsi="Arial" w:cs="Arial"/>
                <w:sz w:val="24"/>
                <w:szCs w:val="24"/>
              </w:rPr>
              <w:t>So</w:t>
            </w:r>
            <w:proofErr w:type="gramEnd"/>
            <w:r>
              <w:rPr>
                <w:rFonts w:ascii="Arial" w:hAnsi="Arial" w:cs="Arial"/>
                <w:sz w:val="24"/>
                <w:szCs w:val="24"/>
              </w:rPr>
              <w:t xml:space="preserve"> a TLD can restrict a Unicode point for registration purposes, but it could exist inside the TLD zone.  So “labels inside a zone” should be clarified to mean “</w:t>
            </w:r>
            <w:r w:rsidRPr="00273C18">
              <w:rPr>
                <w:rFonts w:ascii="Arial" w:hAnsi="Arial" w:cs="Arial"/>
                <w:sz w:val="24"/>
                <w:szCs w:val="24"/>
              </w:rPr>
              <w:t>labels of authoritative names inside a zone</w:t>
            </w:r>
            <w:r>
              <w:rPr>
                <w:rFonts w:ascii="Arial" w:hAnsi="Arial" w:cs="Arial"/>
                <w:sz w:val="24"/>
                <w:szCs w:val="24"/>
              </w:rPr>
              <w:t xml:space="preserve">”.  </w:t>
            </w:r>
          </w:p>
          <w:p w14:paraId="35C49B41" w14:textId="37FCDC6A" w:rsidR="00273C18" w:rsidRDefault="00273C18" w:rsidP="003912F9">
            <w:pPr>
              <w:spacing w:after="0" w:line="240" w:lineRule="auto"/>
              <w:rPr>
                <w:rFonts w:ascii="Arial" w:hAnsi="Arial" w:cs="Arial"/>
                <w:sz w:val="24"/>
                <w:szCs w:val="24"/>
              </w:rPr>
            </w:pPr>
          </w:p>
          <w:p w14:paraId="5E2C9498" w14:textId="4853196A" w:rsidR="00273C18" w:rsidRPr="00273C18" w:rsidRDefault="00273C18" w:rsidP="00273C18">
            <w:pPr>
              <w:spacing w:after="0" w:line="240" w:lineRule="auto"/>
              <w:rPr>
                <w:rFonts w:ascii="Arial" w:hAnsi="Arial" w:cs="Arial"/>
                <w:sz w:val="24"/>
                <w:szCs w:val="24"/>
              </w:rPr>
            </w:pPr>
            <w:r>
              <w:rPr>
                <w:rFonts w:ascii="Arial" w:hAnsi="Arial" w:cs="Arial"/>
                <w:sz w:val="24"/>
                <w:szCs w:val="24"/>
              </w:rPr>
              <w:t>CL2: A</w:t>
            </w:r>
            <w:r w:rsidRPr="00273C18">
              <w:rPr>
                <w:rFonts w:ascii="Arial" w:hAnsi="Arial" w:cs="Arial"/>
                <w:sz w:val="24"/>
                <w:szCs w:val="24"/>
              </w:rPr>
              <w:t>dd a new guideline:</w:t>
            </w:r>
            <w:r>
              <w:rPr>
                <w:rFonts w:ascii="Arial" w:hAnsi="Arial" w:cs="Arial"/>
                <w:sz w:val="24"/>
                <w:szCs w:val="24"/>
              </w:rPr>
              <w:t xml:space="preserve"> </w:t>
            </w:r>
            <w:r w:rsidRPr="00273C18">
              <w:rPr>
                <w:rFonts w:ascii="Arial" w:hAnsi="Arial" w:cs="Arial"/>
                <w:sz w:val="24"/>
                <w:szCs w:val="24"/>
              </w:rPr>
              <w:t xml:space="preserve">"a TLD can't restrict the </w:t>
            </w:r>
            <w:proofErr w:type="spellStart"/>
            <w:r w:rsidRPr="00273C18">
              <w:rPr>
                <w:rFonts w:ascii="Arial" w:hAnsi="Arial" w:cs="Arial"/>
                <w:sz w:val="24"/>
                <w:szCs w:val="24"/>
              </w:rPr>
              <w:t>codepoints</w:t>
            </w:r>
            <w:proofErr w:type="spellEnd"/>
            <w:r w:rsidRPr="00273C18">
              <w:rPr>
                <w:rFonts w:ascii="Arial" w:hAnsi="Arial" w:cs="Arial"/>
                <w:sz w:val="24"/>
                <w:szCs w:val="24"/>
              </w:rPr>
              <w:t xml:space="preserve"> of names inside its zone for</w:t>
            </w:r>
          </w:p>
          <w:p w14:paraId="7AA0977C" w14:textId="58BD258B" w:rsidR="00273C18" w:rsidRDefault="00273C18" w:rsidP="00273C18">
            <w:pPr>
              <w:spacing w:after="0" w:line="240" w:lineRule="auto"/>
              <w:rPr>
                <w:rFonts w:ascii="Arial" w:hAnsi="Arial" w:cs="Arial"/>
                <w:sz w:val="24"/>
                <w:szCs w:val="24"/>
              </w:rPr>
            </w:pPr>
            <w:r w:rsidRPr="00273C18">
              <w:rPr>
                <w:rFonts w:ascii="Arial" w:hAnsi="Arial" w:cs="Arial"/>
                <w:sz w:val="24"/>
                <w:szCs w:val="24"/>
              </w:rPr>
              <w:t>which it's not authoritative (such as delegations to sibling zones</w:t>
            </w:r>
            <w:r>
              <w:rPr>
                <w:rFonts w:ascii="Arial" w:hAnsi="Arial" w:cs="Arial"/>
                <w:sz w:val="24"/>
                <w:szCs w:val="24"/>
              </w:rPr>
              <w:t xml:space="preserve"> </w:t>
            </w:r>
            <w:r w:rsidRPr="00273C18">
              <w:rPr>
                <w:rFonts w:ascii="Arial" w:hAnsi="Arial" w:cs="Arial"/>
                <w:sz w:val="24"/>
                <w:szCs w:val="24"/>
              </w:rPr>
              <w:t>or glue records names), but should check such labels are syntactically</w:t>
            </w:r>
            <w:r>
              <w:rPr>
                <w:rFonts w:ascii="Arial" w:hAnsi="Arial" w:cs="Arial"/>
                <w:sz w:val="24"/>
                <w:szCs w:val="24"/>
              </w:rPr>
              <w:t xml:space="preserve"> </w:t>
            </w:r>
            <w:r w:rsidRPr="00273C18">
              <w:rPr>
                <w:rFonts w:ascii="Arial" w:hAnsi="Arial" w:cs="Arial"/>
                <w:sz w:val="24"/>
                <w:szCs w:val="24"/>
              </w:rPr>
              <w:t>valid U-labels (in RFC7940 sense)".</w:t>
            </w:r>
          </w:p>
          <w:p w14:paraId="0BB06429" w14:textId="77777777" w:rsidR="00273C18" w:rsidRDefault="00273C18" w:rsidP="003912F9">
            <w:pPr>
              <w:spacing w:after="0" w:line="240" w:lineRule="auto"/>
              <w:rPr>
                <w:rFonts w:ascii="Arial" w:hAnsi="Arial" w:cs="Arial"/>
                <w:sz w:val="24"/>
                <w:szCs w:val="24"/>
              </w:rPr>
            </w:pPr>
          </w:p>
          <w:p w14:paraId="6644C395" w14:textId="1D58442E" w:rsidR="00CC599F" w:rsidRDefault="00D97E6A" w:rsidP="00CC599F">
            <w:pPr>
              <w:spacing w:after="0" w:line="240" w:lineRule="auto"/>
              <w:rPr>
                <w:rFonts w:ascii="Arial" w:hAnsi="Arial" w:cs="Arial"/>
                <w:sz w:val="24"/>
                <w:szCs w:val="24"/>
              </w:rPr>
            </w:pPr>
            <w:r>
              <w:rPr>
                <w:rFonts w:ascii="Arial" w:hAnsi="Arial" w:cs="Arial"/>
                <w:sz w:val="24"/>
                <w:szCs w:val="24"/>
              </w:rPr>
              <w:t xml:space="preserve">O-X refers to a recent post online which directed users to disable display of IDN URLs in browsers to prevent phishing using whole-script confusable domain names.  O-X opines that this mindset would widely reject IDNs throughout the internet.  Therefore, it is important to prevent dangers associated with whole-script confusable domain names.  </w:t>
            </w:r>
          </w:p>
          <w:p w14:paraId="5E3C6BE1" w14:textId="3B1E5746" w:rsidR="00D97E6A" w:rsidRDefault="00D97E6A" w:rsidP="00CC599F">
            <w:pPr>
              <w:spacing w:after="0" w:line="240" w:lineRule="auto"/>
              <w:rPr>
                <w:rFonts w:ascii="Arial" w:hAnsi="Arial" w:cs="Arial"/>
                <w:sz w:val="24"/>
                <w:szCs w:val="24"/>
              </w:rPr>
            </w:pPr>
          </w:p>
          <w:p w14:paraId="1606F80B" w14:textId="132982F4" w:rsidR="00D97E6A" w:rsidRDefault="00D97E6A" w:rsidP="00CC599F">
            <w:pPr>
              <w:spacing w:after="0" w:line="240" w:lineRule="auto"/>
              <w:rPr>
                <w:rFonts w:ascii="Arial" w:hAnsi="Arial" w:cs="Arial"/>
                <w:sz w:val="24"/>
                <w:szCs w:val="24"/>
              </w:rPr>
            </w:pPr>
            <w:r>
              <w:rPr>
                <w:rFonts w:ascii="Arial" w:hAnsi="Arial" w:cs="Arial"/>
                <w:sz w:val="24"/>
                <w:szCs w:val="24"/>
              </w:rPr>
              <w:t xml:space="preserve">O-X1: Such dangers can be avoided by establishing a basic principle that two domain names that look confusable to an average internet user must be considered variants and must never be registered to different registrants.  </w:t>
            </w:r>
            <w:r w:rsidR="00EC1E24">
              <w:rPr>
                <w:rFonts w:ascii="Arial" w:hAnsi="Arial" w:cs="Arial"/>
                <w:sz w:val="24"/>
                <w:szCs w:val="24"/>
              </w:rPr>
              <w:t>This be established as a cornerstone for IDN Guidelines.</w:t>
            </w:r>
          </w:p>
          <w:p w14:paraId="3A919844" w14:textId="2031F947" w:rsidR="00EC1E24" w:rsidRDefault="00EC1E24" w:rsidP="00CC599F">
            <w:pPr>
              <w:spacing w:after="0" w:line="240" w:lineRule="auto"/>
              <w:rPr>
                <w:rFonts w:ascii="Arial" w:hAnsi="Arial" w:cs="Arial"/>
                <w:sz w:val="24"/>
                <w:szCs w:val="24"/>
              </w:rPr>
            </w:pPr>
          </w:p>
          <w:p w14:paraId="3834DC14" w14:textId="75208FE5" w:rsidR="00EC1E24" w:rsidRDefault="00EC1E24" w:rsidP="00CC599F">
            <w:pPr>
              <w:spacing w:after="0" w:line="240" w:lineRule="auto"/>
              <w:rPr>
                <w:rFonts w:ascii="Arial" w:hAnsi="Arial" w:cs="Arial"/>
                <w:sz w:val="24"/>
                <w:szCs w:val="24"/>
              </w:rPr>
            </w:pPr>
            <w:r>
              <w:rPr>
                <w:rFonts w:ascii="Arial" w:hAnsi="Arial" w:cs="Arial"/>
                <w:sz w:val="24"/>
                <w:szCs w:val="24"/>
              </w:rPr>
              <w:t>O-X2: While confusability is a subjective feature, technical standards like UTR#39 of Unicode provide implementable definition and algorithm.  These standards be implemented.</w:t>
            </w:r>
          </w:p>
          <w:p w14:paraId="7D3D2D63" w14:textId="63836D05" w:rsidR="00EC1E24" w:rsidRDefault="00EC1E24" w:rsidP="00CC599F">
            <w:pPr>
              <w:spacing w:after="0" w:line="240" w:lineRule="auto"/>
              <w:rPr>
                <w:rFonts w:ascii="Arial" w:hAnsi="Arial" w:cs="Arial"/>
                <w:sz w:val="24"/>
                <w:szCs w:val="24"/>
              </w:rPr>
            </w:pPr>
          </w:p>
          <w:p w14:paraId="43FA4E61" w14:textId="4E0F6D69" w:rsidR="00EC1E24" w:rsidRDefault="00EC1E24" w:rsidP="00CC599F">
            <w:pPr>
              <w:spacing w:after="0" w:line="240" w:lineRule="auto"/>
              <w:rPr>
                <w:rFonts w:ascii="Arial" w:hAnsi="Arial" w:cs="Arial"/>
                <w:sz w:val="24"/>
                <w:szCs w:val="24"/>
              </w:rPr>
            </w:pPr>
            <w:r>
              <w:rPr>
                <w:rFonts w:ascii="Arial" w:hAnsi="Arial" w:cs="Arial"/>
                <w:sz w:val="24"/>
                <w:szCs w:val="24"/>
              </w:rPr>
              <w:t xml:space="preserve">O-X3: Point 16 of the draft guidelines should be reworded to the following:  </w:t>
            </w:r>
            <w:r w:rsidRPr="00EC1E24">
              <w:rPr>
                <w:rFonts w:ascii="Arial" w:hAnsi="Arial" w:cs="Arial"/>
                <w:sz w:val="24"/>
                <w:szCs w:val="24"/>
              </w:rPr>
              <w:t xml:space="preserve">"TLD registries must apply to new registrations whole label evaluation rules that minimize whole-script </w:t>
            </w:r>
            <w:proofErr w:type="spellStart"/>
            <w:r w:rsidRPr="00EC1E24">
              <w:rPr>
                <w:rFonts w:ascii="Arial" w:hAnsi="Arial" w:cs="Arial"/>
                <w:sz w:val="24"/>
                <w:szCs w:val="24"/>
              </w:rPr>
              <w:t>confusables</w:t>
            </w:r>
            <w:proofErr w:type="spellEnd"/>
            <w:r w:rsidRPr="00EC1E24">
              <w:rPr>
                <w:rFonts w:ascii="Arial" w:hAnsi="Arial" w:cs="Arial"/>
                <w:sz w:val="24"/>
                <w:szCs w:val="24"/>
              </w:rPr>
              <w:t xml:space="preserve"> as determined by Unicode Technical Standard #39: Unicode Security Mechanisms; new domain names that </w:t>
            </w:r>
            <w:proofErr w:type="gramStart"/>
            <w:r w:rsidRPr="00EC1E24">
              <w:rPr>
                <w:rFonts w:ascii="Arial" w:hAnsi="Arial" w:cs="Arial"/>
                <w:sz w:val="24"/>
                <w:szCs w:val="24"/>
              </w:rPr>
              <w:t>according to</w:t>
            </w:r>
            <w:proofErr w:type="gramEnd"/>
            <w:r w:rsidRPr="00EC1E24">
              <w:rPr>
                <w:rFonts w:ascii="Arial" w:hAnsi="Arial" w:cs="Arial"/>
                <w:sz w:val="24"/>
                <w:szCs w:val="24"/>
              </w:rPr>
              <w:t xml:space="preserve"> those rules are whole-script </w:t>
            </w:r>
            <w:proofErr w:type="spellStart"/>
            <w:r w:rsidRPr="00EC1E24">
              <w:rPr>
                <w:rFonts w:ascii="Arial" w:hAnsi="Arial" w:cs="Arial"/>
                <w:sz w:val="24"/>
                <w:szCs w:val="24"/>
              </w:rPr>
              <w:t>confusables</w:t>
            </w:r>
            <w:proofErr w:type="spellEnd"/>
            <w:r w:rsidRPr="00EC1E24">
              <w:rPr>
                <w:rFonts w:ascii="Arial" w:hAnsi="Arial" w:cs="Arial"/>
                <w:sz w:val="24"/>
                <w:szCs w:val="24"/>
              </w:rPr>
              <w:t xml:space="preserve"> in respect to an existing domain name must be a) allocated to the same registrant of the existing domain name, or b) blocked from registration."</w:t>
            </w:r>
          </w:p>
          <w:p w14:paraId="56EFABC0" w14:textId="37344C47" w:rsidR="00D97E6A" w:rsidRDefault="00D97E6A" w:rsidP="00CC599F">
            <w:pPr>
              <w:spacing w:after="0" w:line="240" w:lineRule="auto"/>
              <w:rPr>
                <w:rFonts w:ascii="Arial" w:hAnsi="Arial" w:cs="Arial"/>
                <w:sz w:val="24"/>
                <w:szCs w:val="24"/>
              </w:rPr>
            </w:pPr>
          </w:p>
          <w:p w14:paraId="4923693C" w14:textId="71AFC572" w:rsidR="00474B23" w:rsidRDefault="00474B23" w:rsidP="00CC599F">
            <w:pPr>
              <w:spacing w:after="0" w:line="240" w:lineRule="auto"/>
              <w:rPr>
                <w:rFonts w:ascii="Arial" w:hAnsi="Arial" w:cs="Arial"/>
                <w:sz w:val="24"/>
                <w:szCs w:val="24"/>
              </w:rPr>
            </w:pPr>
            <w:r>
              <w:rPr>
                <w:rFonts w:ascii="Arial" w:hAnsi="Arial" w:cs="Arial"/>
                <w:sz w:val="24"/>
                <w:szCs w:val="24"/>
              </w:rPr>
              <w:t xml:space="preserve">IAB </w:t>
            </w:r>
            <w:r w:rsidR="00D57297">
              <w:rPr>
                <w:rFonts w:ascii="Arial" w:hAnsi="Arial" w:cs="Arial"/>
                <w:sz w:val="24"/>
                <w:szCs w:val="24"/>
              </w:rPr>
              <w:t>finds</w:t>
            </w:r>
            <w:r>
              <w:rPr>
                <w:rFonts w:ascii="Arial" w:hAnsi="Arial" w:cs="Arial"/>
                <w:sz w:val="24"/>
                <w:szCs w:val="24"/>
              </w:rPr>
              <w:t xml:space="preserve"> the document to be a good step in support of the deployment of IDNs in TLDs, promoting use of IDNs, supporting specification and conservatively implementing registry and registrar policy.  </w:t>
            </w:r>
          </w:p>
          <w:p w14:paraId="5B56272F" w14:textId="2F603227" w:rsidR="00474B23" w:rsidRDefault="00474B23" w:rsidP="00CC599F">
            <w:pPr>
              <w:spacing w:after="0" w:line="240" w:lineRule="auto"/>
              <w:rPr>
                <w:rFonts w:ascii="Arial" w:hAnsi="Arial" w:cs="Arial"/>
                <w:sz w:val="24"/>
                <w:szCs w:val="24"/>
              </w:rPr>
            </w:pPr>
          </w:p>
          <w:p w14:paraId="1870D3EB" w14:textId="5B15751F" w:rsidR="00474B23" w:rsidRDefault="00474B23" w:rsidP="00CC599F">
            <w:pPr>
              <w:spacing w:after="0" w:line="240" w:lineRule="auto"/>
              <w:rPr>
                <w:rFonts w:ascii="Arial" w:hAnsi="Arial" w:cs="Arial"/>
                <w:sz w:val="24"/>
                <w:szCs w:val="24"/>
              </w:rPr>
            </w:pPr>
            <w:r>
              <w:rPr>
                <w:rFonts w:ascii="Arial" w:hAnsi="Arial" w:cs="Arial"/>
                <w:sz w:val="24"/>
                <w:szCs w:val="24"/>
              </w:rPr>
              <w:t xml:space="preserve">IAB1: IDN Guidelines is not a protocol document.  Thus, it will be helpful to clarify the RFC 2119 terminology defines what it means to comply with the guidelines but cannot specify protocol compliance.  </w:t>
            </w:r>
          </w:p>
          <w:p w14:paraId="77CFD7B9" w14:textId="66A33AC9" w:rsidR="00474B23" w:rsidRDefault="00474B23" w:rsidP="00CC599F">
            <w:pPr>
              <w:spacing w:after="0" w:line="240" w:lineRule="auto"/>
              <w:rPr>
                <w:rFonts w:ascii="Arial" w:hAnsi="Arial" w:cs="Arial"/>
                <w:sz w:val="24"/>
                <w:szCs w:val="24"/>
              </w:rPr>
            </w:pPr>
          </w:p>
          <w:p w14:paraId="1F130E15" w14:textId="13427E57" w:rsidR="00474B23" w:rsidRDefault="00474B23" w:rsidP="00CC599F">
            <w:pPr>
              <w:spacing w:after="0" w:line="240" w:lineRule="auto"/>
              <w:rPr>
                <w:rFonts w:ascii="Arial" w:hAnsi="Arial" w:cs="Arial"/>
                <w:sz w:val="24"/>
                <w:szCs w:val="24"/>
              </w:rPr>
            </w:pPr>
            <w:r>
              <w:rPr>
                <w:rFonts w:ascii="Arial" w:hAnsi="Arial" w:cs="Arial"/>
                <w:sz w:val="24"/>
                <w:szCs w:val="24"/>
              </w:rPr>
              <w:t>IAB2: Section 2.1 is clear statement of compliance with IDNA 2008 as a target with transition guidelines from other specification is appropriately conservative.</w:t>
            </w:r>
          </w:p>
          <w:p w14:paraId="281964C1" w14:textId="0D2342A5" w:rsidR="00474B23" w:rsidRDefault="00474B23" w:rsidP="00CC599F">
            <w:pPr>
              <w:spacing w:after="0" w:line="240" w:lineRule="auto"/>
              <w:rPr>
                <w:rFonts w:ascii="Arial" w:hAnsi="Arial" w:cs="Arial"/>
                <w:sz w:val="24"/>
                <w:szCs w:val="24"/>
              </w:rPr>
            </w:pPr>
          </w:p>
          <w:p w14:paraId="1CC06D30" w14:textId="6C1F08A6" w:rsidR="00474B23" w:rsidRDefault="00474B23" w:rsidP="00CC599F">
            <w:pPr>
              <w:spacing w:after="0" w:line="240" w:lineRule="auto"/>
              <w:rPr>
                <w:rFonts w:ascii="Arial" w:hAnsi="Arial" w:cs="Arial"/>
                <w:sz w:val="24"/>
                <w:szCs w:val="24"/>
              </w:rPr>
            </w:pPr>
            <w:r>
              <w:rPr>
                <w:rFonts w:ascii="Arial" w:hAnsi="Arial" w:cs="Arial"/>
                <w:sz w:val="24"/>
                <w:szCs w:val="24"/>
              </w:rPr>
              <w:lastRenderedPageBreak/>
              <w:t xml:space="preserve">IAB3: </w:t>
            </w:r>
            <w:r w:rsidR="007E38F1">
              <w:rPr>
                <w:rFonts w:ascii="Arial" w:hAnsi="Arial" w:cs="Arial"/>
                <w:sz w:val="24"/>
                <w:szCs w:val="24"/>
              </w:rPr>
              <w:t>In S</w:t>
            </w:r>
            <w:r>
              <w:rPr>
                <w:rFonts w:ascii="Arial" w:hAnsi="Arial" w:cs="Arial"/>
                <w:sz w:val="24"/>
                <w:szCs w:val="24"/>
              </w:rPr>
              <w:t xml:space="preserve">ections 2.2 </w:t>
            </w:r>
            <w:r w:rsidR="007E38F1">
              <w:rPr>
                <w:rFonts w:ascii="Arial" w:hAnsi="Arial" w:cs="Arial"/>
                <w:sz w:val="24"/>
                <w:szCs w:val="24"/>
              </w:rPr>
              <w:t xml:space="preserve">or 2.3, it may be useful to explicitly state that </w:t>
            </w:r>
            <w:proofErr w:type="gramStart"/>
            <w:r w:rsidR="007E38F1">
              <w:rPr>
                <w:rFonts w:ascii="Arial" w:hAnsi="Arial" w:cs="Arial"/>
                <w:sz w:val="24"/>
                <w:szCs w:val="24"/>
              </w:rPr>
              <w:t>sometimes various</w:t>
            </w:r>
            <w:proofErr w:type="gramEnd"/>
            <w:r w:rsidR="007E38F1">
              <w:rPr>
                <w:rFonts w:ascii="Arial" w:hAnsi="Arial" w:cs="Arial"/>
                <w:sz w:val="24"/>
                <w:szCs w:val="24"/>
              </w:rPr>
              <w:t xml:space="preserve"> combinations of languages and a script (and variants) are not fully compatible and registry has to make a decision.</w:t>
            </w:r>
          </w:p>
          <w:p w14:paraId="7D9BB3C0" w14:textId="700AC04F" w:rsidR="007E38F1" w:rsidRDefault="007E38F1" w:rsidP="00CC599F">
            <w:pPr>
              <w:spacing w:after="0" w:line="240" w:lineRule="auto"/>
              <w:rPr>
                <w:rFonts w:ascii="Arial" w:hAnsi="Arial" w:cs="Arial"/>
                <w:sz w:val="24"/>
                <w:szCs w:val="24"/>
              </w:rPr>
            </w:pPr>
          </w:p>
          <w:p w14:paraId="678083DE" w14:textId="2341E0FB" w:rsidR="007E38F1" w:rsidRDefault="007E38F1" w:rsidP="00CC599F">
            <w:pPr>
              <w:spacing w:after="0" w:line="240" w:lineRule="auto"/>
              <w:rPr>
                <w:rFonts w:ascii="Arial" w:hAnsi="Arial" w:cs="Arial"/>
                <w:sz w:val="24"/>
                <w:szCs w:val="24"/>
              </w:rPr>
            </w:pPr>
            <w:r>
              <w:rPr>
                <w:rFonts w:ascii="Arial" w:hAnsi="Arial" w:cs="Arial"/>
                <w:sz w:val="24"/>
                <w:szCs w:val="24"/>
              </w:rPr>
              <w:t>IAB4: In Section 2.4, no. 13, the final paragraph is not clear.  Is it an example of guideline in previous paragraphs for registry-side processing of IDN variants?</w:t>
            </w:r>
          </w:p>
          <w:p w14:paraId="3160B2E9" w14:textId="46DE6897" w:rsidR="007E38F1" w:rsidRDefault="007E38F1" w:rsidP="00CC599F">
            <w:pPr>
              <w:spacing w:after="0" w:line="240" w:lineRule="auto"/>
              <w:rPr>
                <w:rFonts w:ascii="Arial" w:hAnsi="Arial" w:cs="Arial"/>
                <w:sz w:val="24"/>
                <w:szCs w:val="24"/>
              </w:rPr>
            </w:pPr>
          </w:p>
          <w:p w14:paraId="5D5F4B29" w14:textId="0DC78135" w:rsidR="007E38F1" w:rsidRDefault="007E38F1" w:rsidP="00CC599F">
            <w:pPr>
              <w:spacing w:after="0" w:line="240" w:lineRule="auto"/>
              <w:rPr>
                <w:rFonts w:ascii="Arial" w:hAnsi="Arial" w:cs="Arial"/>
                <w:sz w:val="24"/>
                <w:szCs w:val="24"/>
              </w:rPr>
            </w:pPr>
            <w:r>
              <w:rPr>
                <w:rFonts w:ascii="Arial" w:hAnsi="Arial" w:cs="Arial"/>
                <w:sz w:val="24"/>
                <w:szCs w:val="24"/>
              </w:rPr>
              <w:t>IAB5: In Sections 2.2 to 2.5, the document is trying to operationalize provisions of RFC 5894 that registries have a policy and that they allow only those characters they fully understand.  It will be helpful to state that as a goal for these guidelines.</w:t>
            </w:r>
          </w:p>
          <w:p w14:paraId="39B47C56" w14:textId="7A152F5E" w:rsidR="009B470E" w:rsidRDefault="009B470E" w:rsidP="00CC599F">
            <w:pPr>
              <w:spacing w:after="0" w:line="240" w:lineRule="auto"/>
              <w:rPr>
                <w:rFonts w:ascii="Arial" w:hAnsi="Arial" w:cs="Arial"/>
                <w:sz w:val="24"/>
                <w:szCs w:val="24"/>
              </w:rPr>
            </w:pPr>
          </w:p>
          <w:p w14:paraId="19C72814" w14:textId="77777777" w:rsidR="009B470E" w:rsidRDefault="009B470E" w:rsidP="00CC599F">
            <w:pPr>
              <w:spacing w:after="0" w:line="240" w:lineRule="auto"/>
              <w:rPr>
                <w:rFonts w:ascii="Arial" w:hAnsi="Arial" w:cs="Arial"/>
                <w:sz w:val="24"/>
                <w:szCs w:val="24"/>
              </w:rPr>
            </w:pPr>
          </w:p>
          <w:p w14:paraId="24CA5C94" w14:textId="58FB9816" w:rsidR="007E38F1" w:rsidRDefault="009B470E" w:rsidP="00CC599F">
            <w:pPr>
              <w:spacing w:after="0" w:line="240" w:lineRule="auto"/>
              <w:rPr>
                <w:rFonts w:ascii="Arial" w:hAnsi="Arial" w:cs="Arial"/>
                <w:sz w:val="24"/>
                <w:szCs w:val="24"/>
              </w:rPr>
            </w:pPr>
            <w:proofErr w:type="spellStart"/>
            <w:r>
              <w:rPr>
                <w:rFonts w:ascii="Arial" w:hAnsi="Arial" w:cs="Arial"/>
                <w:sz w:val="24"/>
                <w:szCs w:val="24"/>
              </w:rPr>
              <w:t>GoI</w:t>
            </w:r>
            <w:proofErr w:type="spellEnd"/>
            <w:r>
              <w:rPr>
                <w:rFonts w:ascii="Arial" w:hAnsi="Arial" w:cs="Arial"/>
                <w:sz w:val="24"/>
                <w:szCs w:val="24"/>
              </w:rPr>
              <w:t xml:space="preserve"> emphasizes the universal acceptance of internationalized domain names and email addresses.  </w:t>
            </w:r>
          </w:p>
          <w:p w14:paraId="47065836" w14:textId="53FF89CE" w:rsidR="009B470E" w:rsidRDefault="009B470E" w:rsidP="00CC599F">
            <w:pPr>
              <w:spacing w:after="0" w:line="240" w:lineRule="auto"/>
              <w:rPr>
                <w:rFonts w:ascii="Arial" w:hAnsi="Arial" w:cs="Arial"/>
                <w:sz w:val="24"/>
                <w:szCs w:val="24"/>
              </w:rPr>
            </w:pPr>
          </w:p>
          <w:p w14:paraId="0D568326" w14:textId="271FCC3B" w:rsidR="009B470E" w:rsidRDefault="009B470E" w:rsidP="00CC599F">
            <w:pPr>
              <w:spacing w:after="0" w:line="240" w:lineRule="auto"/>
              <w:rPr>
                <w:rFonts w:ascii="Arial" w:hAnsi="Arial" w:cs="Arial"/>
                <w:sz w:val="24"/>
                <w:szCs w:val="24"/>
              </w:rPr>
            </w:pPr>
            <w:r>
              <w:rPr>
                <w:rFonts w:ascii="Arial" w:hAnsi="Arial" w:cs="Arial"/>
                <w:sz w:val="24"/>
                <w:szCs w:val="24"/>
              </w:rPr>
              <w:t>GoI1: The recent security advice to disable display of IDN URLs in browsers to prevent phishing due to whole-script confusable domain names is pointed out.   It is noted that this would widely reject IDNs throughout the Internet.  Thus, ICANN should prevent such issues.</w:t>
            </w:r>
          </w:p>
          <w:p w14:paraId="09EACB07" w14:textId="186BE956" w:rsidR="009B470E" w:rsidRDefault="009B470E" w:rsidP="00CC599F">
            <w:pPr>
              <w:spacing w:after="0" w:line="240" w:lineRule="auto"/>
              <w:rPr>
                <w:rFonts w:ascii="Arial" w:hAnsi="Arial" w:cs="Arial"/>
                <w:sz w:val="24"/>
                <w:szCs w:val="24"/>
              </w:rPr>
            </w:pPr>
          </w:p>
          <w:p w14:paraId="0F7C23B1" w14:textId="34963014" w:rsidR="009B470E" w:rsidRDefault="009B470E" w:rsidP="00CC599F">
            <w:pPr>
              <w:spacing w:after="0" w:line="240" w:lineRule="auto"/>
              <w:rPr>
                <w:rFonts w:ascii="Arial" w:hAnsi="Arial" w:cs="Arial"/>
                <w:sz w:val="24"/>
                <w:szCs w:val="24"/>
              </w:rPr>
            </w:pPr>
            <w:r>
              <w:rPr>
                <w:rFonts w:ascii="Arial" w:hAnsi="Arial" w:cs="Arial"/>
                <w:sz w:val="24"/>
                <w:szCs w:val="24"/>
              </w:rPr>
              <w:t xml:space="preserve">GoI2: To avoid such confusion, it is suggested to establish a basic principle that </w:t>
            </w:r>
            <w:r w:rsidRPr="009B470E">
              <w:rPr>
                <w:rFonts w:ascii="Arial" w:hAnsi="Arial" w:cs="Arial"/>
                <w:sz w:val="24"/>
                <w:szCs w:val="24"/>
              </w:rPr>
              <w:t>any two domain names that look confusable to an average Internet user must be considered variants of the same domain name and must never be registered to different registrants.</w:t>
            </w:r>
          </w:p>
          <w:p w14:paraId="32989BC0" w14:textId="1C279B03" w:rsidR="009B470E" w:rsidRDefault="009B470E" w:rsidP="00CC599F">
            <w:pPr>
              <w:spacing w:after="0" w:line="240" w:lineRule="auto"/>
              <w:rPr>
                <w:rFonts w:ascii="Arial" w:hAnsi="Arial" w:cs="Arial"/>
                <w:sz w:val="24"/>
                <w:szCs w:val="24"/>
              </w:rPr>
            </w:pPr>
          </w:p>
          <w:p w14:paraId="60844A03" w14:textId="5C9C40AE" w:rsidR="007E38F1" w:rsidRDefault="009B470E" w:rsidP="00EE0335">
            <w:pPr>
              <w:spacing w:after="0" w:line="240" w:lineRule="auto"/>
              <w:rPr>
                <w:rFonts w:ascii="Arial" w:hAnsi="Arial" w:cs="Arial"/>
                <w:sz w:val="24"/>
                <w:szCs w:val="24"/>
              </w:rPr>
            </w:pPr>
            <w:r>
              <w:rPr>
                <w:rFonts w:ascii="Arial" w:hAnsi="Arial" w:cs="Arial"/>
                <w:sz w:val="24"/>
                <w:szCs w:val="24"/>
              </w:rPr>
              <w:t xml:space="preserve">GoI3: Though confusability definition is subjective, </w:t>
            </w:r>
            <w:r w:rsidR="00EE0335">
              <w:rPr>
                <w:rFonts w:ascii="Arial" w:hAnsi="Arial" w:cs="Arial"/>
                <w:sz w:val="24"/>
                <w:szCs w:val="24"/>
              </w:rPr>
              <w:t xml:space="preserve">technical standards like Unicode TR#39 provide implementable definition and algorithm to detect confusable domain names, and should be implemented through the guidelines.  </w:t>
            </w:r>
          </w:p>
          <w:p w14:paraId="716A3909" w14:textId="378431F0" w:rsidR="00EE0335" w:rsidRDefault="00EE0335" w:rsidP="00EE0335">
            <w:pPr>
              <w:spacing w:after="0" w:line="240" w:lineRule="auto"/>
              <w:rPr>
                <w:rFonts w:ascii="Arial" w:hAnsi="Arial" w:cs="Arial"/>
                <w:sz w:val="24"/>
                <w:szCs w:val="24"/>
              </w:rPr>
            </w:pPr>
          </w:p>
          <w:p w14:paraId="1BFAAA6D" w14:textId="5D05E768" w:rsidR="00EE0335" w:rsidRPr="00EE0335" w:rsidRDefault="00EE0335" w:rsidP="00EE0335">
            <w:pPr>
              <w:spacing w:after="0" w:line="240" w:lineRule="auto"/>
              <w:rPr>
                <w:rFonts w:ascii="Arial" w:hAnsi="Arial" w:cs="Arial"/>
                <w:sz w:val="24"/>
                <w:szCs w:val="24"/>
              </w:rPr>
            </w:pPr>
            <w:r>
              <w:rPr>
                <w:rFonts w:ascii="Arial" w:hAnsi="Arial" w:cs="Arial"/>
                <w:sz w:val="24"/>
                <w:szCs w:val="24"/>
              </w:rPr>
              <w:t xml:space="preserve">GoI4: Confusing registrations can not only hamper IDN adoption, but also has financial costs, even before phishing occurs.  </w:t>
            </w:r>
            <w:proofErr w:type="gramStart"/>
            <w:r>
              <w:rPr>
                <w:rFonts w:ascii="Arial" w:hAnsi="Arial" w:cs="Arial"/>
                <w:sz w:val="24"/>
                <w:szCs w:val="24"/>
              </w:rPr>
              <w:t>Thus</w:t>
            </w:r>
            <w:proofErr w:type="gramEnd"/>
            <w:r>
              <w:rPr>
                <w:rFonts w:ascii="Arial" w:hAnsi="Arial" w:cs="Arial"/>
                <w:sz w:val="24"/>
                <w:szCs w:val="24"/>
              </w:rPr>
              <w:t xml:space="preserve"> it is efficient to detect and prevent these at the registry level.  Thus, for whole-script </w:t>
            </w:r>
            <w:proofErr w:type="spellStart"/>
            <w:r>
              <w:rPr>
                <w:rFonts w:ascii="Arial" w:hAnsi="Arial" w:cs="Arial"/>
                <w:sz w:val="24"/>
                <w:szCs w:val="24"/>
              </w:rPr>
              <w:t>confusables</w:t>
            </w:r>
            <w:proofErr w:type="spellEnd"/>
            <w:r>
              <w:rPr>
                <w:rFonts w:ascii="Arial" w:hAnsi="Arial" w:cs="Arial"/>
                <w:sz w:val="24"/>
                <w:szCs w:val="24"/>
              </w:rPr>
              <w:t xml:space="preserve">, “may” should be changed to “must”.  Further, </w:t>
            </w:r>
            <w:proofErr w:type="gramStart"/>
            <w:r>
              <w:rPr>
                <w:rFonts w:ascii="Arial" w:hAnsi="Arial" w:cs="Arial"/>
                <w:sz w:val="24"/>
                <w:szCs w:val="24"/>
              </w:rPr>
              <w:t>Point</w:t>
            </w:r>
            <w:proofErr w:type="gramEnd"/>
            <w:r>
              <w:rPr>
                <w:rFonts w:ascii="Arial" w:hAnsi="Arial" w:cs="Arial"/>
                <w:sz w:val="24"/>
                <w:szCs w:val="24"/>
              </w:rPr>
              <w:t xml:space="preserve"> 16 should be rephrased to: “</w:t>
            </w:r>
            <w:r w:rsidRPr="00EE0335">
              <w:rPr>
                <w:rFonts w:ascii="Arial" w:hAnsi="Arial" w:cs="Arial"/>
                <w:sz w:val="24"/>
                <w:szCs w:val="24"/>
              </w:rPr>
              <w:t xml:space="preserve">TLD registries must apply to new registrations whole label evaluation rules that minimize whole-script </w:t>
            </w:r>
            <w:proofErr w:type="spellStart"/>
            <w:r w:rsidRPr="00EE0335">
              <w:rPr>
                <w:rFonts w:ascii="Arial" w:hAnsi="Arial" w:cs="Arial"/>
                <w:sz w:val="24"/>
                <w:szCs w:val="24"/>
              </w:rPr>
              <w:t>confusables</w:t>
            </w:r>
            <w:proofErr w:type="spellEnd"/>
            <w:r w:rsidRPr="00EE0335">
              <w:rPr>
                <w:rFonts w:ascii="Arial" w:hAnsi="Arial" w:cs="Arial"/>
                <w:sz w:val="24"/>
                <w:szCs w:val="24"/>
              </w:rPr>
              <w:t xml:space="preserve"> as determined by Unicode Technical Standard #39: Unicode Security Mechanisms; new domain names that according to those rules are whole-script </w:t>
            </w:r>
            <w:proofErr w:type="spellStart"/>
            <w:r w:rsidRPr="00EE0335">
              <w:rPr>
                <w:rFonts w:ascii="Arial" w:hAnsi="Arial" w:cs="Arial"/>
                <w:sz w:val="24"/>
                <w:szCs w:val="24"/>
              </w:rPr>
              <w:t>confusables</w:t>
            </w:r>
            <w:proofErr w:type="spellEnd"/>
            <w:r w:rsidRPr="00EE0335">
              <w:rPr>
                <w:rFonts w:ascii="Arial" w:hAnsi="Arial" w:cs="Arial"/>
                <w:sz w:val="24"/>
                <w:szCs w:val="24"/>
              </w:rPr>
              <w:t xml:space="preserve"> in respect to an existing domain name must be</w:t>
            </w:r>
          </w:p>
          <w:p w14:paraId="657C9435" w14:textId="5B6C25FD" w:rsidR="00EE0335" w:rsidRDefault="00EE0335" w:rsidP="00EE0335">
            <w:pPr>
              <w:spacing w:after="0" w:line="240" w:lineRule="auto"/>
              <w:rPr>
                <w:rFonts w:ascii="Arial" w:hAnsi="Arial" w:cs="Arial"/>
                <w:sz w:val="24"/>
                <w:szCs w:val="24"/>
              </w:rPr>
            </w:pPr>
            <w:r w:rsidRPr="00EE0335">
              <w:rPr>
                <w:rFonts w:ascii="Arial" w:hAnsi="Arial" w:cs="Arial"/>
                <w:sz w:val="24"/>
                <w:szCs w:val="24"/>
              </w:rPr>
              <w:t>a) allocated to the same registrant of the existing domain name, or</w:t>
            </w:r>
            <w:r>
              <w:rPr>
                <w:rFonts w:ascii="Arial" w:hAnsi="Arial" w:cs="Arial"/>
                <w:sz w:val="24"/>
                <w:szCs w:val="24"/>
              </w:rPr>
              <w:t xml:space="preserve"> </w:t>
            </w:r>
            <w:r w:rsidRPr="00EE0335">
              <w:rPr>
                <w:rFonts w:ascii="Arial" w:hAnsi="Arial" w:cs="Arial"/>
                <w:sz w:val="24"/>
                <w:szCs w:val="24"/>
              </w:rPr>
              <w:t>b) blocked from registration.</w:t>
            </w:r>
            <w:r>
              <w:rPr>
                <w:rFonts w:ascii="Arial" w:hAnsi="Arial" w:cs="Arial"/>
                <w:sz w:val="24"/>
                <w:szCs w:val="24"/>
              </w:rPr>
              <w:t>”</w:t>
            </w:r>
          </w:p>
          <w:p w14:paraId="5EFA38A5" w14:textId="1798CA88" w:rsidR="003F3CB6" w:rsidRDefault="003F3CB6" w:rsidP="00EE0335">
            <w:pPr>
              <w:spacing w:after="0" w:line="240" w:lineRule="auto"/>
              <w:rPr>
                <w:rFonts w:ascii="Arial" w:hAnsi="Arial" w:cs="Arial"/>
                <w:sz w:val="24"/>
                <w:szCs w:val="24"/>
              </w:rPr>
            </w:pPr>
          </w:p>
          <w:p w14:paraId="5B9E83B2" w14:textId="23C5AB1D" w:rsidR="003F3CB6" w:rsidRDefault="003F3CB6" w:rsidP="00EE0335">
            <w:pPr>
              <w:spacing w:after="0" w:line="240" w:lineRule="auto"/>
              <w:rPr>
                <w:rFonts w:ascii="Arial" w:hAnsi="Arial" w:cs="Arial"/>
                <w:sz w:val="24"/>
                <w:szCs w:val="24"/>
              </w:rPr>
            </w:pPr>
            <w:r>
              <w:rPr>
                <w:rFonts w:ascii="Arial" w:hAnsi="Arial" w:cs="Arial"/>
                <w:sz w:val="24"/>
                <w:szCs w:val="24"/>
              </w:rPr>
              <w:t xml:space="preserve">GoI5: There should be a separate guideline to deal with </w:t>
            </w:r>
            <w:proofErr w:type="spellStart"/>
            <w:r>
              <w:rPr>
                <w:rFonts w:ascii="Arial" w:hAnsi="Arial" w:cs="Arial"/>
                <w:sz w:val="24"/>
                <w:szCs w:val="24"/>
              </w:rPr>
              <w:t>emojis</w:t>
            </w:r>
            <w:proofErr w:type="spellEnd"/>
            <w:r>
              <w:rPr>
                <w:rFonts w:ascii="Arial" w:hAnsi="Arial" w:cs="Arial"/>
                <w:sz w:val="24"/>
                <w:szCs w:val="24"/>
              </w:rPr>
              <w:t xml:space="preserve">.  </w:t>
            </w:r>
          </w:p>
          <w:p w14:paraId="7FF36C8F" w14:textId="786B8CE2" w:rsidR="00EE0335" w:rsidRDefault="00EE0335" w:rsidP="00EE0335">
            <w:pPr>
              <w:spacing w:after="0" w:line="240" w:lineRule="auto"/>
              <w:rPr>
                <w:rFonts w:ascii="Arial" w:hAnsi="Arial" w:cs="Arial"/>
                <w:sz w:val="24"/>
                <w:szCs w:val="24"/>
              </w:rPr>
            </w:pPr>
          </w:p>
          <w:p w14:paraId="5108B3B6" w14:textId="38DA5E4F" w:rsidR="00EE0335" w:rsidRDefault="00B71358" w:rsidP="00EE0791">
            <w:pPr>
              <w:spacing w:after="0" w:line="240" w:lineRule="auto"/>
              <w:rPr>
                <w:rFonts w:ascii="Arial" w:hAnsi="Arial" w:cs="Arial"/>
                <w:sz w:val="24"/>
                <w:szCs w:val="24"/>
              </w:rPr>
            </w:pPr>
            <w:r>
              <w:rPr>
                <w:rFonts w:ascii="Arial" w:hAnsi="Arial" w:cs="Arial"/>
                <w:sz w:val="24"/>
                <w:szCs w:val="24"/>
              </w:rPr>
              <w:t>RySG</w:t>
            </w:r>
            <w:r w:rsidR="00D57297">
              <w:rPr>
                <w:rFonts w:ascii="Arial" w:hAnsi="Arial" w:cs="Arial"/>
                <w:sz w:val="24"/>
                <w:szCs w:val="24"/>
              </w:rPr>
              <w:t xml:space="preserve">1: </w:t>
            </w:r>
            <w:r w:rsidR="00D57297" w:rsidRPr="00D57297">
              <w:rPr>
                <w:rFonts w:ascii="Arial" w:hAnsi="Arial" w:cs="Arial"/>
                <w:sz w:val="24"/>
                <w:szCs w:val="24"/>
              </w:rPr>
              <w:t>RFC 2119 limits the use of this imperative language and defines that ‘they MUST only be used where</w:t>
            </w:r>
            <w:r w:rsidR="00D57297">
              <w:rPr>
                <w:rFonts w:ascii="Arial" w:hAnsi="Arial" w:cs="Arial"/>
                <w:sz w:val="24"/>
                <w:szCs w:val="24"/>
              </w:rPr>
              <w:t xml:space="preserve"> </w:t>
            </w:r>
            <w:r w:rsidR="00D57297" w:rsidRPr="00D57297">
              <w:rPr>
                <w:rFonts w:ascii="Arial" w:hAnsi="Arial" w:cs="Arial"/>
                <w:sz w:val="24"/>
                <w:szCs w:val="24"/>
              </w:rPr>
              <w:t xml:space="preserve">it is actually required for interoperation or to limit </w:t>
            </w:r>
            <w:proofErr w:type="spellStart"/>
            <w:r w:rsidR="00D57297" w:rsidRPr="00D57297">
              <w:rPr>
                <w:rFonts w:ascii="Arial" w:hAnsi="Arial" w:cs="Arial"/>
                <w:sz w:val="24"/>
                <w:szCs w:val="24"/>
              </w:rPr>
              <w:t>behaviour</w:t>
            </w:r>
            <w:proofErr w:type="spellEnd"/>
            <w:r w:rsidR="00D57297" w:rsidRPr="00D57297">
              <w:rPr>
                <w:rFonts w:ascii="Arial" w:hAnsi="Arial" w:cs="Arial"/>
                <w:sz w:val="24"/>
                <w:szCs w:val="24"/>
              </w:rPr>
              <w:t xml:space="preserve"> which has potential for causing harm’. In addition, RFC 2119 asks document authors to</w:t>
            </w:r>
            <w:r w:rsidR="00D57297">
              <w:rPr>
                <w:rFonts w:ascii="Arial" w:hAnsi="Arial" w:cs="Arial"/>
                <w:sz w:val="24"/>
                <w:szCs w:val="24"/>
              </w:rPr>
              <w:t xml:space="preserve"> </w:t>
            </w:r>
            <w:r w:rsidR="00D57297" w:rsidRPr="00D57297">
              <w:rPr>
                <w:rFonts w:ascii="Arial" w:hAnsi="Arial" w:cs="Arial"/>
                <w:sz w:val="24"/>
                <w:szCs w:val="24"/>
              </w:rPr>
              <w:t>‘elaborate the security implications of not following recommendations or requirements’.</w:t>
            </w:r>
            <w:r w:rsidR="00D57297">
              <w:rPr>
                <w:rFonts w:ascii="Arial" w:hAnsi="Arial" w:cs="Arial"/>
                <w:sz w:val="24"/>
                <w:szCs w:val="24"/>
              </w:rPr>
              <w:t xml:space="preserve">  </w:t>
            </w:r>
            <w:r w:rsidR="00D57297" w:rsidRPr="00D57297">
              <w:rPr>
                <w:rFonts w:ascii="Arial" w:hAnsi="Arial" w:cs="Arial"/>
                <w:sz w:val="24"/>
                <w:szCs w:val="24"/>
              </w:rPr>
              <w:t>Draft Guidelines introduce requirements not strictly</w:t>
            </w:r>
            <w:r w:rsidR="00D57297">
              <w:rPr>
                <w:rFonts w:ascii="Arial" w:hAnsi="Arial" w:cs="Arial"/>
                <w:sz w:val="24"/>
                <w:szCs w:val="24"/>
              </w:rPr>
              <w:t xml:space="preserve"> </w:t>
            </w:r>
            <w:r w:rsidR="00D57297" w:rsidRPr="00D57297">
              <w:rPr>
                <w:rFonts w:ascii="Arial" w:hAnsi="Arial" w:cs="Arial"/>
                <w:sz w:val="24"/>
                <w:szCs w:val="24"/>
              </w:rPr>
              <w:t xml:space="preserve">necessary for interoperability or to limit potential harm. </w:t>
            </w:r>
            <w:proofErr w:type="gramStart"/>
            <w:r w:rsidR="00EE0791">
              <w:rPr>
                <w:rFonts w:ascii="Arial" w:hAnsi="Arial" w:cs="Arial"/>
                <w:sz w:val="24"/>
                <w:szCs w:val="24"/>
              </w:rPr>
              <w:t>So</w:t>
            </w:r>
            <w:proofErr w:type="gramEnd"/>
            <w:r w:rsidR="00EE0791">
              <w:rPr>
                <w:rFonts w:ascii="Arial" w:hAnsi="Arial" w:cs="Arial"/>
                <w:sz w:val="24"/>
                <w:szCs w:val="24"/>
              </w:rPr>
              <w:t xml:space="preserve"> it is advised to </w:t>
            </w:r>
            <w:r w:rsidR="00EE0791" w:rsidRPr="00EE0791">
              <w:rPr>
                <w:rFonts w:ascii="Arial" w:hAnsi="Arial" w:cs="Arial"/>
                <w:sz w:val="24"/>
                <w:szCs w:val="24"/>
              </w:rPr>
              <w:t>use the imperative language ‘with care</w:t>
            </w:r>
            <w:r w:rsidR="00EE0791">
              <w:rPr>
                <w:rFonts w:ascii="Arial" w:hAnsi="Arial" w:cs="Arial"/>
                <w:sz w:val="24"/>
                <w:szCs w:val="24"/>
              </w:rPr>
              <w:t xml:space="preserve"> </w:t>
            </w:r>
            <w:r w:rsidR="00EE0791" w:rsidRPr="00EE0791">
              <w:rPr>
                <w:rFonts w:ascii="Arial" w:hAnsi="Arial" w:cs="Arial"/>
                <w:sz w:val="24"/>
                <w:szCs w:val="24"/>
              </w:rPr>
              <w:t>and sparingly’ and ‘elaborate the security implications of not following recommendations’</w:t>
            </w:r>
            <w:r w:rsidR="00EE0791">
              <w:rPr>
                <w:rFonts w:ascii="Arial" w:hAnsi="Arial" w:cs="Arial"/>
                <w:sz w:val="24"/>
                <w:szCs w:val="24"/>
              </w:rPr>
              <w:t>.</w:t>
            </w:r>
          </w:p>
          <w:p w14:paraId="32DA980C" w14:textId="6ABB7110" w:rsidR="00D57297" w:rsidRDefault="00D57297" w:rsidP="00D57297">
            <w:pPr>
              <w:spacing w:after="0" w:line="240" w:lineRule="auto"/>
              <w:rPr>
                <w:rFonts w:ascii="Arial" w:hAnsi="Arial" w:cs="Arial"/>
                <w:sz w:val="24"/>
                <w:szCs w:val="24"/>
              </w:rPr>
            </w:pPr>
          </w:p>
          <w:p w14:paraId="33ED64C8" w14:textId="769B861C" w:rsidR="00D57297" w:rsidRDefault="00D57297" w:rsidP="00EE0791">
            <w:pPr>
              <w:spacing w:after="0" w:line="240" w:lineRule="auto"/>
              <w:rPr>
                <w:rFonts w:ascii="Arial" w:hAnsi="Arial" w:cs="Arial"/>
                <w:sz w:val="24"/>
                <w:szCs w:val="24"/>
              </w:rPr>
            </w:pPr>
            <w:r>
              <w:rPr>
                <w:rFonts w:ascii="Arial" w:hAnsi="Arial" w:cs="Arial"/>
                <w:sz w:val="24"/>
                <w:szCs w:val="24"/>
              </w:rPr>
              <w:t xml:space="preserve">RySG2: </w:t>
            </w:r>
            <w:r w:rsidR="00EE0791">
              <w:rPr>
                <w:rFonts w:ascii="Arial" w:hAnsi="Arial" w:cs="Arial"/>
                <w:sz w:val="24"/>
                <w:szCs w:val="24"/>
              </w:rPr>
              <w:t xml:space="preserve">Revise Guideline 1 to read </w:t>
            </w:r>
            <w:proofErr w:type="gramStart"/>
            <w:r w:rsidR="00EE0791" w:rsidRPr="00EE0791">
              <w:rPr>
                <w:rFonts w:ascii="Arial" w:hAnsi="Arial" w:cs="Arial"/>
                <w:sz w:val="24"/>
                <w:szCs w:val="24"/>
              </w:rPr>
              <w:t>“ (</w:t>
            </w:r>
            <w:proofErr w:type="gramEnd"/>
            <w:r w:rsidR="00EE0791" w:rsidRPr="00EE0791">
              <w:rPr>
                <w:rFonts w:ascii="Arial" w:hAnsi="Arial" w:cs="Arial"/>
                <w:sz w:val="24"/>
                <w:szCs w:val="24"/>
              </w:rPr>
              <w:t>....) as defined in standards track RFCs 5890, 5891, 5892 and 5893</w:t>
            </w:r>
            <w:r w:rsidR="00EE0791">
              <w:rPr>
                <w:rFonts w:ascii="Arial" w:hAnsi="Arial" w:cs="Arial"/>
                <w:sz w:val="24"/>
                <w:szCs w:val="24"/>
              </w:rPr>
              <w:t xml:space="preserve"> and their successors” by </w:t>
            </w:r>
            <w:r w:rsidR="00EE0791" w:rsidRPr="00EE0791">
              <w:rPr>
                <w:rFonts w:ascii="Arial" w:hAnsi="Arial" w:cs="Arial"/>
                <w:sz w:val="24"/>
                <w:szCs w:val="24"/>
              </w:rPr>
              <w:t>adding “and their successors” at the end</w:t>
            </w:r>
            <w:r w:rsidR="00EE0791">
              <w:rPr>
                <w:rFonts w:ascii="Arial" w:hAnsi="Arial" w:cs="Arial"/>
                <w:sz w:val="24"/>
                <w:szCs w:val="24"/>
              </w:rPr>
              <w:t>.</w:t>
            </w:r>
          </w:p>
          <w:p w14:paraId="376689B4" w14:textId="24CC3CD4" w:rsidR="00EE0791" w:rsidRDefault="00EE0791" w:rsidP="00EE0791">
            <w:pPr>
              <w:spacing w:after="0" w:line="240" w:lineRule="auto"/>
              <w:rPr>
                <w:rFonts w:ascii="Arial" w:hAnsi="Arial" w:cs="Arial"/>
                <w:sz w:val="24"/>
                <w:szCs w:val="24"/>
              </w:rPr>
            </w:pPr>
          </w:p>
          <w:p w14:paraId="4A464A69" w14:textId="30542C28" w:rsidR="00EE0791" w:rsidRDefault="00EE0791" w:rsidP="00EE0791">
            <w:pPr>
              <w:spacing w:after="0" w:line="240" w:lineRule="auto"/>
              <w:rPr>
                <w:rFonts w:ascii="Arial" w:hAnsi="Arial" w:cs="Arial"/>
                <w:sz w:val="24"/>
                <w:szCs w:val="24"/>
              </w:rPr>
            </w:pPr>
            <w:r>
              <w:rPr>
                <w:rFonts w:ascii="Arial" w:hAnsi="Arial" w:cs="Arial"/>
                <w:sz w:val="24"/>
                <w:szCs w:val="24"/>
              </w:rPr>
              <w:lastRenderedPageBreak/>
              <w:t>RySG3: Revise Guideline 4 to add “both” for emphasis and clarity to read “</w:t>
            </w:r>
            <w:r w:rsidRPr="00EE0791">
              <w:rPr>
                <w:rFonts w:ascii="Arial" w:hAnsi="Arial" w:cs="Arial"/>
                <w:sz w:val="24"/>
                <w:szCs w:val="24"/>
              </w:rPr>
              <w:t>label containing hyphens in</w:t>
            </w:r>
            <w:r>
              <w:rPr>
                <w:rFonts w:ascii="Arial" w:hAnsi="Arial" w:cs="Arial"/>
                <w:sz w:val="24"/>
                <w:szCs w:val="24"/>
              </w:rPr>
              <w:t xml:space="preserve"> </w:t>
            </w:r>
            <w:r w:rsidRPr="00EE0791">
              <w:rPr>
                <w:rFonts w:ascii="Arial" w:hAnsi="Arial" w:cs="Arial"/>
                <w:sz w:val="24"/>
                <w:szCs w:val="24"/>
              </w:rPr>
              <w:t>both the third and fourth positions (…).</w:t>
            </w:r>
            <w:r>
              <w:rPr>
                <w:rFonts w:ascii="Arial" w:hAnsi="Arial" w:cs="Arial"/>
                <w:sz w:val="24"/>
                <w:szCs w:val="24"/>
              </w:rPr>
              <w:t>”</w:t>
            </w:r>
          </w:p>
          <w:p w14:paraId="282ED68C" w14:textId="0832D6F1" w:rsidR="00EE0791" w:rsidRDefault="00EE0791" w:rsidP="00EE0791">
            <w:pPr>
              <w:spacing w:after="0" w:line="240" w:lineRule="auto"/>
              <w:rPr>
                <w:rFonts w:ascii="Arial" w:hAnsi="Arial" w:cs="Arial"/>
                <w:sz w:val="24"/>
                <w:szCs w:val="24"/>
              </w:rPr>
            </w:pPr>
          </w:p>
          <w:p w14:paraId="216C9AA5" w14:textId="175B8797" w:rsidR="00EE0791" w:rsidRDefault="00EE0791" w:rsidP="00EE0791">
            <w:pPr>
              <w:spacing w:after="0" w:line="240" w:lineRule="auto"/>
              <w:rPr>
                <w:rFonts w:ascii="Arial" w:hAnsi="Arial" w:cs="Arial"/>
                <w:sz w:val="24"/>
                <w:szCs w:val="24"/>
              </w:rPr>
            </w:pPr>
            <w:r>
              <w:rPr>
                <w:rFonts w:ascii="Arial" w:hAnsi="Arial" w:cs="Arial"/>
                <w:sz w:val="24"/>
                <w:szCs w:val="24"/>
              </w:rPr>
              <w:t>RySG</w:t>
            </w:r>
            <w:r w:rsidR="00492003">
              <w:rPr>
                <w:rFonts w:ascii="Arial" w:hAnsi="Arial" w:cs="Arial"/>
                <w:sz w:val="24"/>
                <w:szCs w:val="24"/>
              </w:rPr>
              <w:t>4</w:t>
            </w:r>
            <w:r>
              <w:rPr>
                <w:rFonts w:ascii="Arial" w:hAnsi="Arial" w:cs="Arial"/>
                <w:sz w:val="24"/>
                <w:szCs w:val="24"/>
              </w:rPr>
              <w:t>: Guideline 5 is overly prescriptive, because registry operators are in a better position to design a communication plan to address any policy update that affects the live cycle of domain names under its TLDs.</w:t>
            </w:r>
          </w:p>
          <w:p w14:paraId="7968E0DF" w14:textId="4ACAD69D" w:rsidR="00EE0791" w:rsidRDefault="00EE0791" w:rsidP="00EE0791">
            <w:pPr>
              <w:spacing w:after="0" w:line="240" w:lineRule="auto"/>
              <w:rPr>
                <w:rFonts w:ascii="Arial" w:hAnsi="Arial" w:cs="Arial"/>
                <w:sz w:val="24"/>
                <w:szCs w:val="24"/>
              </w:rPr>
            </w:pPr>
          </w:p>
          <w:p w14:paraId="62981488" w14:textId="37AE0CE3" w:rsidR="00EE0791" w:rsidRDefault="00EE0791" w:rsidP="00EE0791">
            <w:pPr>
              <w:spacing w:after="0" w:line="240" w:lineRule="auto"/>
              <w:rPr>
                <w:rFonts w:ascii="Arial" w:hAnsi="Arial" w:cs="Arial"/>
                <w:sz w:val="24"/>
                <w:szCs w:val="24"/>
              </w:rPr>
            </w:pPr>
            <w:r>
              <w:rPr>
                <w:rFonts w:ascii="Arial" w:hAnsi="Arial" w:cs="Arial"/>
                <w:sz w:val="24"/>
                <w:szCs w:val="24"/>
              </w:rPr>
              <w:t>RySG</w:t>
            </w:r>
            <w:r w:rsidR="00492003">
              <w:rPr>
                <w:rFonts w:ascii="Arial" w:hAnsi="Arial" w:cs="Arial"/>
                <w:sz w:val="24"/>
                <w:szCs w:val="24"/>
              </w:rPr>
              <w:t>5</w:t>
            </w:r>
            <w:r>
              <w:rPr>
                <w:rFonts w:ascii="Arial" w:hAnsi="Arial" w:cs="Arial"/>
                <w:sz w:val="24"/>
                <w:szCs w:val="24"/>
              </w:rPr>
              <w:t xml:space="preserve">: Guideline 5 should clarify that pre-existing domain names are not mandated to comply with these guidelines.  The relevant part of the guideline should be changed to the following: </w:t>
            </w:r>
            <w:r w:rsidRPr="00EE0791">
              <w:rPr>
                <w:rFonts w:ascii="Arial" w:hAnsi="Arial" w:cs="Arial"/>
                <w:sz w:val="24"/>
                <w:szCs w:val="24"/>
              </w:rPr>
              <w:t>“TLD registries with IDNs that were registered prior</w:t>
            </w:r>
            <w:r>
              <w:rPr>
                <w:rFonts w:ascii="Arial" w:hAnsi="Arial" w:cs="Arial"/>
                <w:sz w:val="24"/>
                <w:szCs w:val="24"/>
              </w:rPr>
              <w:t xml:space="preserve"> </w:t>
            </w:r>
            <w:r w:rsidRPr="00EE0791">
              <w:rPr>
                <w:rFonts w:ascii="Arial" w:hAnsi="Arial" w:cs="Arial"/>
                <w:sz w:val="24"/>
                <w:szCs w:val="24"/>
              </w:rPr>
              <w:t>to the implementation of these guidelines and which do not conform to these guidelines are not</w:t>
            </w:r>
            <w:r>
              <w:rPr>
                <w:rFonts w:ascii="Arial" w:hAnsi="Arial" w:cs="Arial"/>
                <w:sz w:val="24"/>
                <w:szCs w:val="24"/>
              </w:rPr>
              <w:t xml:space="preserve"> </w:t>
            </w:r>
            <w:r w:rsidRPr="00EE0791">
              <w:rPr>
                <w:rFonts w:ascii="Arial" w:hAnsi="Arial" w:cs="Arial"/>
                <w:sz w:val="24"/>
                <w:szCs w:val="24"/>
              </w:rPr>
              <w:t>required to comply with the guidelines, but should take the following actions for these pre-existing</w:t>
            </w:r>
            <w:r>
              <w:rPr>
                <w:rFonts w:ascii="Arial" w:hAnsi="Arial" w:cs="Arial"/>
                <w:sz w:val="24"/>
                <w:szCs w:val="24"/>
              </w:rPr>
              <w:t xml:space="preserve"> </w:t>
            </w:r>
            <w:r w:rsidRPr="00EE0791">
              <w:rPr>
                <w:rFonts w:ascii="Arial" w:hAnsi="Arial" w:cs="Arial"/>
                <w:sz w:val="24"/>
                <w:szCs w:val="24"/>
              </w:rPr>
              <w:t>domain names to reduce disruption to registrants and Internet consumers.”</w:t>
            </w:r>
          </w:p>
          <w:p w14:paraId="5BE491E9" w14:textId="6AFF4272" w:rsidR="00AB21D5" w:rsidRDefault="00AB21D5" w:rsidP="00EE0791">
            <w:pPr>
              <w:spacing w:after="0" w:line="240" w:lineRule="auto"/>
              <w:rPr>
                <w:rFonts w:ascii="Arial" w:hAnsi="Arial" w:cs="Arial"/>
                <w:sz w:val="24"/>
                <w:szCs w:val="24"/>
              </w:rPr>
            </w:pPr>
          </w:p>
          <w:p w14:paraId="5DA50F51" w14:textId="35A093D8" w:rsidR="00AB21D5" w:rsidRDefault="00AB21D5" w:rsidP="00A47CD8">
            <w:pPr>
              <w:spacing w:after="0" w:line="240" w:lineRule="auto"/>
              <w:rPr>
                <w:rFonts w:ascii="Arial" w:hAnsi="Arial" w:cs="Arial"/>
                <w:sz w:val="24"/>
                <w:szCs w:val="24"/>
              </w:rPr>
            </w:pPr>
            <w:r>
              <w:rPr>
                <w:rFonts w:ascii="Arial" w:hAnsi="Arial" w:cs="Arial"/>
                <w:sz w:val="24"/>
                <w:szCs w:val="24"/>
              </w:rPr>
              <w:t>RySG</w:t>
            </w:r>
            <w:r w:rsidR="00965A62">
              <w:rPr>
                <w:rFonts w:ascii="Arial" w:hAnsi="Arial" w:cs="Arial"/>
                <w:sz w:val="24"/>
                <w:szCs w:val="24"/>
              </w:rPr>
              <w:t>6</w:t>
            </w:r>
            <w:r w:rsidR="00222DDC">
              <w:rPr>
                <w:rFonts w:ascii="Arial" w:hAnsi="Arial" w:cs="Arial"/>
                <w:sz w:val="24"/>
                <w:szCs w:val="24"/>
              </w:rPr>
              <w:t>.1</w:t>
            </w:r>
            <w:r>
              <w:rPr>
                <w:rFonts w:ascii="Arial" w:hAnsi="Arial" w:cs="Arial"/>
                <w:sz w:val="24"/>
                <w:szCs w:val="24"/>
              </w:rPr>
              <w:t xml:space="preserve">: </w:t>
            </w:r>
            <w:r w:rsidR="00A47CD8">
              <w:rPr>
                <w:rFonts w:ascii="Arial" w:hAnsi="Arial" w:cs="Arial"/>
                <w:sz w:val="24"/>
                <w:szCs w:val="24"/>
              </w:rPr>
              <w:t>As per Guideline 7, th</w:t>
            </w:r>
            <w:r w:rsidR="00A47CD8" w:rsidRPr="00A47CD8">
              <w:rPr>
                <w:rFonts w:ascii="Arial" w:hAnsi="Arial" w:cs="Arial"/>
                <w:sz w:val="24"/>
                <w:szCs w:val="24"/>
              </w:rPr>
              <w:t xml:space="preserve">e </w:t>
            </w:r>
            <w:proofErr w:type="spellStart"/>
            <w:r w:rsidR="00A47CD8" w:rsidRPr="00A47CD8">
              <w:rPr>
                <w:rFonts w:ascii="Arial" w:hAnsi="Arial" w:cs="Arial"/>
                <w:sz w:val="24"/>
                <w:szCs w:val="24"/>
              </w:rPr>
              <w:t>RySG</w:t>
            </w:r>
            <w:proofErr w:type="spellEnd"/>
            <w:r w:rsidR="00A47CD8">
              <w:rPr>
                <w:rFonts w:ascii="Arial" w:hAnsi="Arial" w:cs="Arial"/>
                <w:sz w:val="24"/>
                <w:szCs w:val="24"/>
              </w:rPr>
              <w:t xml:space="preserve"> </w:t>
            </w:r>
            <w:r w:rsidR="00A47CD8" w:rsidRPr="00A47CD8">
              <w:rPr>
                <w:rFonts w:ascii="Arial" w:hAnsi="Arial" w:cs="Arial"/>
                <w:sz w:val="24"/>
                <w:szCs w:val="24"/>
              </w:rPr>
              <w:t>acknowledges the benefits of use of the LGR RFC format as it allows a better adoption</w:t>
            </w:r>
            <w:r w:rsidR="00A47CD8">
              <w:rPr>
                <w:rFonts w:ascii="Arial" w:hAnsi="Arial" w:cs="Arial"/>
                <w:sz w:val="24"/>
                <w:szCs w:val="24"/>
              </w:rPr>
              <w:t xml:space="preserve"> </w:t>
            </w:r>
            <w:r w:rsidR="00A47CD8" w:rsidRPr="00A47CD8">
              <w:rPr>
                <w:rFonts w:ascii="Arial" w:hAnsi="Arial" w:cs="Arial"/>
                <w:sz w:val="24"/>
                <w:szCs w:val="24"/>
              </w:rPr>
              <w:t xml:space="preserve">and easier comparison and supports this as a long-term strategy. </w:t>
            </w:r>
            <w:r w:rsidR="00A47CD8">
              <w:rPr>
                <w:rFonts w:ascii="Arial" w:hAnsi="Arial" w:cs="Arial"/>
                <w:sz w:val="24"/>
                <w:szCs w:val="24"/>
              </w:rPr>
              <w:t xml:space="preserve">It has </w:t>
            </w:r>
            <w:r w:rsidR="00A47CD8" w:rsidRPr="00A47CD8">
              <w:rPr>
                <w:rFonts w:ascii="Arial" w:hAnsi="Arial" w:cs="Arial"/>
                <w:sz w:val="24"/>
                <w:szCs w:val="24"/>
              </w:rPr>
              <w:t>no effect in minimizing the risk of cybersquatting or consumer confusion,</w:t>
            </w:r>
            <w:r w:rsidR="00A47CD8">
              <w:rPr>
                <w:rFonts w:ascii="Arial" w:hAnsi="Arial" w:cs="Arial"/>
                <w:sz w:val="24"/>
                <w:szCs w:val="24"/>
              </w:rPr>
              <w:t xml:space="preserve"> </w:t>
            </w:r>
            <w:r w:rsidR="00A47CD8" w:rsidRPr="00A47CD8">
              <w:rPr>
                <w:rFonts w:ascii="Arial" w:hAnsi="Arial" w:cs="Arial"/>
                <w:sz w:val="24"/>
                <w:szCs w:val="24"/>
              </w:rPr>
              <w:t>two of the stated goals of these IDN guidelines</w:t>
            </w:r>
            <w:r w:rsidR="00A47CD8">
              <w:rPr>
                <w:rFonts w:ascii="Arial" w:hAnsi="Arial" w:cs="Arial"/>
                <w:sz w:val="24"/>
                <w:szCs w:val="24"/>
              </w:rPr>
              <w:t xml:space="preserve">, and not </w:t>
            </w:r>
            <w:r w:rsidR="00A47CD8" w:rsidRPr="00A47CD8">
              <w:rPr>
                <w:rFonts w:ascii="Arial" w:hAnsi="Arial" w:cs="Arial"/>
                <w:sz w:val="24"/>
                <w:szCs w:val="24"/>
              </w:rPr>
              <w:t>required for interoperability.</w:t>
            </w:r>
            <w:r w:rsidR="00A47CD8">
              <w:rPr>
                <w:rFonts w:ascii="Arial" w:hAnsi="Arial" w:cs="Arial"/>
                <w:sz w:val="24"/>
                <w:szCs w:val="24"/>
              </w:rPr>
              <w:t xml:space="preserve">  Therefore, </w:t>
            </w:r>
            <w:r w:rsidR="00A47CD8" w:rsidRPr="00A47CD8">
              <w:rPr>
                <w:rFonts w:ascii="Arial" w:hAnsi="Arial" w:cs="Arial"/>
                <w:sz w:val="24"/>
                <w:szCs w:val="24"/>
              </w:rPr>
              <w:t>registry operators should not be required to use a new format (i.e. RFC 7940) to publish IDN Tables</w:t>
            </w:r>
            <w:r w:rsidR="00A47CD8">
              <w:rPr>
                <w:rFonts w:ascii="Arial" w:hAnsi="Arial" w:cs="Arial"/>
                <w:sz w:val="24"/>
                <w:szCs w:val="24"/>
              </w:rPr>
              <w:t>.</w:t>
            </w:r>
          </w:p>
          <w:p w14:paraId="2BE0A00C" w14:textId="49673A30" w:rsidR="00A47CD8" w:rsidRDefault="00A47CD8" w:rsidP="00A47CD8">
            <w:pPr>
              <w:spacing w:after="0" w:line="240" w:lineRule="auto"/>
              <w:rPr>
                <w:rFonts w:ascii="Arial" w:hAnsi="Arial" w:cs="Arial"/>
                <w:sz w:val="24"/>
                <w:szCs w:val="24"/>
              </w:rPr>
            </w:pPr>
          </w:p>
          <w:p w14:paraId="18301FD4" w14:textId="4B70272D" w:rsidR="00A47CD8" w:rsidRDefault="00222DDC" w:rsidP="00A47CD8">
            <w:pPr>
              <w:spacing w:after="0" w:line="240" w:lineRule="auto"/>
              <w:rPr>
                <w:rFonts w:ascii="Arial" w:hAnsi="Arial" w:cs="Arial"/>
                <w:sz w:val="24"/>
                <w:szCs w:val="24"/>
              </w:rPr>
            </w:pPr>
            <w:r>
              <w:rPr>
                <w:rFonts w:ascii="Arial" w:hAnsi="Arial" w:cs="Arial"/>
                <w:sz w:val="24"/>
                <w:szCs w:val="24"/>
              </w:rPr>
              <w:t>RySG</w:t>
            </w:r>
            <w:r w:rsidR="00965A62">
              <w:rPr>
                <w:rFonts w:ascii="Arial" w:hAnsi="Arial" w:cs="Arial"/>
                <w:sz w:val="24"/>
                <w:szCs w:val="24"/>
              </w:rPr>
              <w:t>6</w:t>
            </w:r>
            <w:r>
              <w:rPr>
                <w:rFonts w:ascii="Arial" w:hAnsi="Arial" w:cs="Arial"/>
                <w:sz w:val="24"/>
                <w:szCs w:val="24"/>
              </w:rPr>
              <w:t>.2</w:t>
            </w:r>
            <w:r w:rsidR="00A47CD8">
              <w:rPr>
                <w:rFonts w:ascii="Arial" w:hAnsi="Arial" w:cs="Arial"/>
                <w:sz w:val="24"/>
                <w:szCs w:val="24"/>
              </w:rPr>
              <w:t xml:space="preserve">: </w:t>
            </w:r>
            <w:r>
              <w:rPr>
                <w:rFonts w:ascii="Arial" w:hAnsi="Arial" w:cs="Arial"/>
                <w:sz w:val="24"/>
                <w:szCs w:val="24"/>
              </w:rPr>
              <w:t>it is</w:t>
            </w:r>
            <w:r w:rsidR="00A47CD8" w:rsidRPr="00A47CD8">
              <w:rPr>
                <w:rFonts w:ascii="Arial" w:hAnsi="Arial" w:cs="Arial"/>
                <w:sz w:val="24"/>
                <w:szCs w:val="24"/>
              </w:rPr>
              <w:t xml:space="preserve"> underscore</w:t>
            </w:r>
            <w:r>
              <w:rPr>
                <w:rFonts w:ascii="Arial" w:hAnsi="Arial" w:cs="Arial"/>
                <w:sz w:val="24"/>
                <w:szCs w:val="24"/>
              </w:rPr>
              <w:t>d</w:t>
            </w:r>
            <w:r w:rsidR="00A47CD8" w:rsidRPr="00A47CD8">
              <w:rPr>
                <w:rFonts w:ascii="Arial" w:hAnsi="Arial" w:cs="Arial"/>
                <w:sz w:val="24"/>
                <w:szCs w:val="24"/>
              </w:rPr>
              <w:t xml:space="preserve"> that a transition to a general use of the LGR format would require a</w:t>
            </w:r>
            <w:r w:rsidR="00A47CD8">
              <w:rPr>
                <w:rFonts w:ascii="Arial" w:hAnsi="Arial" w:cs="Arial"/>
                <w:sz w:val="24"/>
                <w:szCs w:val="24"/>
              </w:rPr>
              <w:t xml:space="preserve"> </w:t>
            </w:r>
            <w:r w:rsidR="00A47CD8" w:rsidRPr="00A47CD8">
              <w:rPr>
                <w:rFonts w:ascii="Arial" w:hAnsi="Arial" w:cs="Arial"/>
                <w:sz w:val="24"/>
                <w:szCs w:val="24"/>
              </w:rPr>
              <w:t>long enough transition period for Registries to create new code tables, distribute them, and put</w:t>
            </w:r>
            <w:r w:rsidR="00A47CD8">
              <w:rPr>
                <w:rFonts w:ascii="Arial" w:hAnsi="Arial" w:cs="Arial"/>
                <w:sz w:val="24"/>
                <w:szCs w:val="24"/>
              </w:rPr>
              <w:t xml:space="preserve"> </w:t>
            </w:r>
            <w:r w:rsidR="00A47CD8" w:rsidRPr="00A47CD8">
              <w:rPr>
                <w:rFonts w:ascii="Arial" w:hAnsi="Arial" w:cs="Arial"/>
                <w:sz w:val="24"/>
                <w:szCs w:val="24"/>
              </w:rPr>
              <w:t>them into effect, and that ICANN or IIS should provide validation tools to review these new tables</w:t>
            </w:r>
            <w:r w:rsidR="00A47CD8">
              <w:rPr>
                <w:rFonts w:ascii="Arial" w:hAnsi="Arial" w:cs="Arial"/>
                <w:sz w:val="24"/>
                <w:szCs w:val="24"/>
              </w:rPr>
              <w:t xml:space="preserve"> </w:t>
            </w:r>
            <w:r w:rsidR="00A47CD8" w:rsidRPr="00A47CD8">
              <w:rPr>
                <w:rFonts w:ascii="Arial" w:hAnsi="Arial" w:cs="Arial"/>
                <w:sz w:val="24"/>
                <w:szCs w:val="24"/>
              </w:rPr>
              <w:t>before the policy becomes mandatory.</w:t>
            </w:r>
          </w:p>
          <w:p w14:paraId="5FE111FA" w14:textId="4D548E81" w:rsidR="00A47CD8" w:rsidRDefault="00A47CD8" w:rsidP="00A47CD8">
            <w:pPr>
              <w:spacing w:after="0" w:line="240" w:lineRule="auto"/>
              <w:rPr>
                <w:rFonts w:ascii="Arial" w:hAnsi="Arial" w:cs="Arial"/>
                <w:sz w:val="24"/>
                <w:szCs w:val="24"/>
              </w:rPr>
            </w:pPr>
          </w:p>
          <w:p w14:paraId="3FEBBBB6" w14:textId="251D5115" w:rsidR="00A47CD8" w:rsidRDefault="00222DDC" w:rsidP="00A47CD8">
            <w:pPr>
              <w:spacing w:after="0" w:line="240" w:lineRule="auto"/>
              <w:rPr>
                <w:rFonts w:ascii="Arial" w:hAnsi="Arial" w:cs="Arial"/>
                <w:sz w:val="24"/>
                <w:szCs w:val="24"/>
              </w:rPr>
            </w:pPr>
            <w:r>
              <w:rPr>
                <w:rFonts w:ascii="Arial" w:hAnsi="Arial" w:cs="Arial"/>
                <w:sz w:val="24"/>
                <w:szCs w:val="24"/>
              </w:rPr>
              <w:t>RySG</w:t>
            </w:r>
            <w:r w:rsidR="00965A62">
              <w:rPr>
                <w:rFonts w:ascii="Arial" w:hAnsi="Arial" w:cs="Arial"/>
                <w:sz w:val="24"/>
                <w:szCs w:val="24"/>
              </w:rPr>
              <w:t>6</w:t>
            </w:r>
            <w:r>
              <w:rPr>
                <w:rFonts w:ascii="Arial" w:hAnsi="Arial" w:cs="Arial"/>
                <w:sz w:val="24"/>
                <w:szCs w:val="24"/>
              </w:rPr>
              <w:t>.3</w:t>
            </w:r>
            <w:r w:rsidR="00A47CD8">
              <w:rPr>
                <w:rFonts w:ascii="Arial" w:hAnsi="Arial" w:cs="Arial"/>
                <w:sz w:val="24"/>
                <w:szCs w:val="24"/>
              </w:rPr>
              <w:t xml:space="preserve">: </w:t>
            </w:r>
            <w:r>
              <w:rPr>
                <w:rFonts w:ascii="Arial" w:hAnsi="Arial" w:cs="Arial"/>
                <w:sz w:val="24"/>
                <w:szCs w:val="24"/>
              </w:rPr>
              <w:t>It is also noted that t</w:t>
            </w:r>
            <w:r w:rsidR="00A47CD8" w:rsidRPr="00A47CD8">
              <w:rPr>
                <w:rFonts w:ascii="Arial" w:hAnsi="Arial" w:cs="Arial"/>
                <w:sz w:val="24"/>
                <w:szCs w:val="24"/>
              </w:rPr>
              <w:t>he new gTLD contract requires IDN Tables to be submitted to IANA for</w:t>
            </w:r>
            <w:r w:rsidR="00A47CD8">
              <w:rPr>
                <w:rFonts w:ascii="Arial" w:hAnsi="Arial" w:cs="Arial"/>
                <w:sz w:val="24"/>
                <w:szCs w:val="24"/>
              </w:rPr>
              <w:t xml:space="preserve"> </w:t>
            </w:r>
            <w:r w:rsidR="00A47CD8" w:rsidRPr="00A47CD8">
              <w:rPr>
                <w:rFonts w:ascii="Arial" w:hAnsi="Arial" w:cs="Arial"/>
                <w:sz w:val="24"/>
                <w:szCs w:val="24"/>
              </w:rPr>
              <w:t>publication in the IANA Repository, but that not all submitted tables have been published.</w:t>
            </w:r>
          </w:p>
          <w:p w14:paraId="5AA8E48A" w14:textId="7576F18D" w:rsidR="00222DDC" w:rsidRDefault="00222DDC" w:rsidP="00A47CD8">
            <w:pPr>
              <w:spacing w:after="0" w:line="240" w:lineRule="auto"/>
              <w:rPr>
                <w:rFonts w:ascii="Arial" w:hAnsi="Arial" w:cs="Arial"/>
                <w:sz w:val="24"/>
                <w:szCs w:val="24"/>
              </w:rPr>
            </w:pPr>
          </w:p>
          <w:p w14:paraId="6F1DB2EB" w14:textId="5CD7018B" w:rsidR="00222DDC" w:rsidRDefault="00222DDC" w:rsidP="00222DDC">
            <w:pPr>
              <w:spacing w:after="0" w:line="240" w:lineRule="auto"/>
              <w:rPr>
                <w:rFonts w:ascii="Arial" w:hAnsi="Arial" w:cs="Arial"/>
                <w:sz w:val="24"/>
                <w:szCs w:val="24"/>
              </w:rPr>
            </w:pPr>
            <w:r>
              <w:rPr>
                <w:rFonts w:ascii="Arial" w:hAnsi="Arial" w:cs="Arial"/>
                <w:sz w:val="24"/>
                <w:szCs w:val="24"/>
              </w:rPr>
              <w:t>RySG</w:t>
            </w:r>
            <w:r w:rsidR="00965A62">
              <w:rPr>
                <w:rFonts w:ascii="Arial" w:hAnsi="Arial" w:cs="Arial"/>
                <w:sz w:val="24"/>
                <w:szCs w:val="24"/>
              </w:rPr>
              <w:t>6</w:t>
            </w:r>
            <w:r>
              <w:rPr>
                <w:rFonts w:ascii="Arial" w:hAnsi="Arial" w:cs="Arial"/>
                <w:sz w:val="24"/>
                <w:szCs w:val="24"/>
              </w:rPr>
              <w:t xml:space="preserve">.4: </w:t>
            </w:r>
            <w:r w:rsidRPr="00222DDC">
              <w:rPr>
                <w:rFonts w:ascii="Arial" w:hAnsi="Arial" w:cs="Arial"/>
                <w:sz w:val="24"/>
                <w:szCs w:val="24"/>
              </w:rPr>
              <w:t xml:space="preserve">For the reasons mentioned the </w:t>
            </w:r>
            <w:proofErr w:type="spellStart"/>
            <w:r w:rsidRPr="00222DDC">
              <w:rPr>
                <w:rFonts w:ascii="Arial" w:hAnsi="Arial" w:cs="Arial"/>
                <w:sz w:val="24"/>
                <w:szCs w:val="24"/>
              </w:rPr>
              <w:t>RySG</w:t>
            </w:r>
            <w:proofErr w:type="spellEnd"/>
            <w:r w:rsidRPr="00222DDC">
              <w:rPr>
                <w:rFonts w:ascii="Arial" w:hAnsi="Arial" w:cs="Arial"/>
                <w:sz w:val="24"/>
                <w:szCs w:val="24"/>
              </w:rPr>
              <w:t xml:space="preserve"> recommends amending draft guideline 7 as follows: "IDN tables</w:t>
            </w:r>
            <w:r>
              <w:rPr>
                <w:rFonts w:ascii="Arial" w:hAnsi="Arial" w:cs="Arial"/>
                <w:sz w:val="24"/>
                <w:szCs w:val="24"/>
              </w:rPr>
              <w:t xml:space="preserve"> </w:t>
            </w:r>
            <w:r w:rsidRPr="00222DDC">
              <w:rPr>
                <w:rFonts w:ascii="Arial" w:hAnsi="Arial" w:cs="Arial"/>
                <w:sz w:val="24"/>
                <w:szCs w:val="24"/>
              </w:rPr>
              <w:t>must be submitted to IANA for publication in the IANA Repository for IDN Practices. Further, (a)</w:t>
            </w:r>
            <w:r>
              <w:rPr>
                <w:rFonts w:ascii="Arial" w:hAnsi="Arial" w:cs="Arial"/>
                <w:sz w:val="24"/>
                <w:szCs w:val="24"/>
              </w:rPr>
              <w:t xml:space="preserve"> </w:t>
            </w:r>
            <w:r w:rsidRPr="00222DDC">
              <w:rPr>
                <w:rFonts w:ascii="Arial" w:hAnsi="Arial" w:cs="Arial"/>
                <w:sz w:val="24"/>
                <w:szCs w:val="24"/>
              </w:rPr>
              <w:t>Except as applicable in 7(b) below, registries are encouraged to use Label Generation Ruleset (RFC</w:t>
            </w:r>
            <w:r>
              <w:rPr>
                <w:rFonts w:ascii="Arial" w:hAnsi="Arial" w:cs="Arial"/>
                <w:sz w:val="24"/>
                <w:szCs w:val="24"/>
              </w:rPr>
              <w:t xml:space="preserve"> </w:t>
            </w:r>
            <w:r w:rsidRPr="00222DDC">
              <w:rPr>
                <w:rFonts w:ascii="Arial" w:hAnsi="Arial" w:cs="Arial"/>
                <w:sz w:val="24"/>
                <w:szCs w:val="24"/>
              </w:rPr>
              <w:t>7940) format to represent an IDN table; (b) Registries with existing legacy IDN tables already</w:t>
            </w:r>
            <w:r>
              <w:rPr>
                <w:rFonts w:ascii="Arial" w:hAnsi="Arial" w:cs="Arial"/>
                <w:sz w:val="24"/>
                <w:szCs w:val="24"/>
              </w:rPr>
              <w:t xml:space="preserve"> </w:t>
            </w:r>
            <w:r w:rsidRPr="00222DDC">
              <w:rPr>
                <w:rFonts w:ascii="Arial" w:hAnsi="Arial" w:cs="Arial"/>
                <w:sz w:val="24"/>
                <w:szCs w:val="24"/>
              </w:rPr>
              <w:t>submitted for inclusion in the IANA Repository for IDN Practices at the time these guidelines are</w:t>
            </w:r>
            <w:r>
              <w:rPr>
                <w:rFonts w:ascii="Arial" w:hAnsi="Arial" w:cs="Arial"/>
                <w:sz w:val="24"/>
                <w:szCs w:val="24"/>
              </w:rPr>
              <w:t xml:space="preserve"> </w:t>
            </w:r>
            <w:r w:rsidRPr="00222DDC">
              <w:rPr>
                <w:rFonts w:ascii="Arial" w:hAnsi="Arial" w:cs="Arial"/>
                <w:sz w:val="24"/>
                <w:szCs w:val="24"/>
              </w:rPr>
              <w:t>published are encouraged to transition to the LGR format (...)."</w:t>
            </w:r>
          </w:p>
          <w:p w14:paraId="7E9F3E44" w14:textId="6D935E08" w:rsidR="00A47CD8" w:rsidRDefault="00A47CD8" w:rsidP="00A47CD8">
            <w:pPr>
              <w:spacing w:after="0" w:line="240" w:lineRule="auto"/>
              <w:rPr>
                <w:rFonts w:ascii="Arial" w:hAnsi="Arial" w:cs="Arial"/>
                <w:sz w:val="24"/>
                <w:szCs w:val="24"/>
              </w:rPr>
            </w:pPr>
          </w:p>
          <w:p w14:paraId="498B3DFC" w14:textId="0A35EB7A" w:rsidR="00A47CD8" w:rsidRDefault="00222DDC" w:rsidP="00A47CD8">
            <w:pPr>
              <w:spacing w:after="0" w:line="240" w:lineRule="auto"/>
              <w:rPr>
                <w:rFonts w:ascii="Arial" w:hAnsi="Arial" w:cs="Arial"/>
                <w:sz w:val="24"/>
                <w:szCs w:val="24"/>
              </w:rPr>
            </w:pPr>
            <w:r>
              <w:rPr>
                <w:rFonts w:ascii="Arial" w:hAnsi="Arial" w:cs="Arial"/>
                <w:sz w:val="24"/>
                <w:szCs w:val="24"/>
              </w:rPr>
              <w:t>RySG</w:t>
            </w:r>
            <w:r w:rsidR="00965A62">
              <w:rPr>
                <w:rFonts w:ascii="Arial" w:hAnsi="Arial" w:cs="Arial"/>
                <w:sz w:val="24"/>
                <w:szCs w:val="24"/>
              </w:rPr>
              <w:t>7</w:t>
            </w:r>
            <w:r>
              <w:rPr>
                <w:rFonts w:ascii="Arial" w:hAnsi="Arial" w:cs="Arial"/>
                <w:sz w:val="24"/>
                <w:szCs w:val="24"/>
              </w:rPr>
              <w:t xml:space="preserve">: It is suggested </w:t>
            </w:r>
            <w:proofErr w:type="gramStart"/>
            <w:r>
              <w:rPr>
                <w:rFonts w:ascii="Arial" w:hAnsi="Arial" w:cs="Arial"/>
                <w:sz w:val="24"/>
                <w:szCs w:val="24"/>
              </w:rPr>
              <w:t>that  for</w:t>
            </w:r>
            <w:proofErr w:type="gramEnd"/>
            <w:r>
              <w:rPr>
                <w:rFonts w:ascii="Arial" w:hAnsi="Arial" w:cs="Arial"/>
                <w:sz w:val="24"/>
                <w:szCs w:val="24"/>
              </w:rPr>
              <w:t xml:space="preserve"> Guideline 9 the definition of stability is too broad and too open for interpretation for IDN Guidelines.  The relevant standards should be only standards-track or Best Current Practice RFCs by IETF.</w:t>
            </w:r>
          </w:p>
          <w:p w14:paraId="12C11DAE" w14:textId="33198B2F" w:rsidR="00222DDC" w:rsidRDefault="00222DDC" w:rsidP="00A47CD8">
            <w:pPr>
              <w:spacing w:after="0" w:line="240" w:lineRule="auto"/>
              <w:rPr>
                <w:rFonts w:ascii="Arial" w:hAnsi="Arial" w:cs="Arial"/>
                <w:sz w:val="24"/>
                <w:szCs w:val="24"/>
              </w:rPr>
            </w:pPr>
          </w:p>
          <w:p w14:paraId="75FD5D8B" w14:textId="2D16DEBC" w:rsidR="00222DDC" w:rsidRDefault="00222DDC" w:rsidP="00A47CD8">
            <w:pPr>
              <w:spacing w:after="0" w:line="240" w:lineRule="auto"/>
              <w:rPr>
                <w:rFonts w:ascii="Arial" w:hAnsi="Arial" w:cs="Arial"/>
                <w:sz w:val="24"/>
                <w:szCs w:val="24"/>
              </w:rPr>
            </w:pPr>
            <w:r>
              <w:rPr>
                <w:rFonts w:ascii="Arial" w:hAnsi="Arial" w:cs="Arial"/>
                <w:sz w:val="24"/>
                <w:szCs w:val="24"/>
              </w:rPr>
              <w:t>RySG</w:t>
            </w:r>
            <w:r w:rsidR="00965A62">
              <w:rPr>
                <w:rFonts w:ascii="Arial" w:hAnsi="Arial" w:cs="Arial"/>
                <w:sz w:val="24"/>
                <w:szCs w:val="24"/>
              </w:rPr>
              <w:t>8</w:t>
            </w:r>
            <w:r>
              <w:rPr>
                <w:rFonts w:ascii="Arial" w:hAnsi="Arial" w:cs="Arial"/>
                <w:sz w:val="24"/>
                <w:szCs w:val="24"/>
              </w:rPr>
              <w:t xml:space="preserve">: The term “same registrant” should be defined in Guideline 12. </w:t>
            </w:r>
          </w:p>
          <w:p w14:paraId="38240C5D" w14:textId="7B59F3E9" w:rsidR="00222DDC" w:rsidRDefault="00222DDC" w:rsidP="00A47CD8">
            <w:pPr>
              <w:spacing w:after="0" w:line="240" w:lineRule="auto"/>
              <w:rPr>
                <w:rFonts w:ascii="Arial" w:hAnsi="Arial" w:cs="Arial"/>
                <w:sz w:val="24"/>
                <w:szCs w:val="24"/>
              </w:rPr>
            </w:pPr>
          </w:p>
          <w:p w14:paraId="44EF3631" w14:textId="41C9C69B" w:rsidR="00222DDC" w:rsidRDefault="00222DDC" w:rsidP="00A47CD8">
            <w:pPr>
              <w:spacing w:after="0" w:line="240" w:lineRule="auto"/>
              <w:rPr>
                <w:rFonts w:ascii="Arial" w:hAnsi="Arial" w:cs="Arial"/>
                <w:sz w:val="24"/>
                <w:szCs w:val="24"/>
              </w:rPr>
            </w:pPr>
            <w:r>
              <w:rPr>
                <w:rFonts w:ascii="Arial" w:hAnsi="Arial" w:cs="Arial"/>
                <w:sz w:val="24"/>
                <w:szCs w:val="24"/>
              </w:rPr>
              <w:t>RySG</w:t>
            </w:r>
            <w:r w:rsidR="00965A62">
              <w:rPr>
                <w:rFonts w:ascii="Arial" w:hAnsi="Arial" w:cs="Arial"/>
                <w:sz w:val="24"/>
                <w:szCs w:val="24"/>
              </w:rPr>
              <w:t>9</w:t>
            </w:r>
            <w:r>
              <w:rPr>
                <w:rFonts w:ascii="Arial" w:hAnsi="Arial" w:cs="Arial"/>
                <w:sz w:val="24"/>
                <w:szCs w:val="24"/>
              </w:rPr>
              <w:t xml:space="preserve">: Guideline 12 should be further clarified by stating that registry operator </w:t>
            </w:r>
            <w:proofErr w:type="spellStart"/>
            <w:r>
              <w:rPr>
                <w:rFonts w:ascii="Arial" w:hAnsi="Arial" w:cs="Arial"/>
                <w:sz w:val="24"/>
                <w:szCs w:val="24"/>
              </w:rPr>
              <w:t>msut</w:t>
            </w:r>
            <w:proofErr w:type="spellEnd"/>
            <w:r>
              <w:rPr>
                <w:rFonts w:ascii="Arial" w:hAnsi="Arial" w:cs="Arial"/>
                <w:sz w:val="24"/>
                <w:szCs w:val="24"/>
              </w:rPr>
              <w:t xml:space="preserve"> publish the variant activation policy in its public website.</w:t>
            </w:r>
          </w:p>
          <w:p w14:paraId="2C8ED0A0" w14:textId="26B4570A" w:rsidR="00222DDC" w:rsidRDefault="00222DDC" w:rsidP="00A47CD8">
            <w:pPr>
              <w:spacing w:after="0" w:line="240" w:lineRule="auto"/>
              <w:rPr>
                <w:rFonts w:ascii="Arial" w:hAnsi="Arial" w:cs="Arial"/>
                <w:sz w:val="24"/>
                <w:szCs w:val="24"/>
              </w:rPr>
            </w:pPr>
          </w:p>
          <w:p w14:paraId="6F7BE782" w14:textId="5FF2BA1D" w:rsidR="00222DDC" w:rsidRDefault="00222DDC" w:rsidP="00A47CD8">
            <w:pPr>
              <w:spacing w:after="0" w:line="240" w:lineRule="auto"/>
              <w:rPr>
                <w:rFonts w:ascii="Arial" w:hAnsi="Arial" w:cs="Arial"/>
                <w:sz w:val="24"/>
                <w:szCs w:val="24"/>
              </w:rPr>
            </w:pPr>
            <w:r>
              <w:rPr>
                <w:rFonts w:ascii="Arial" w:hAnsi="Arial" w:cs="Arial"/>
                <w:sz w:val="24"/>
                <w:szCs w:val="24"/>
              </w:rPr>
              <w:t>RySG1</w:t>
            </w:r>
            <w:r w:rsidR="00965A62">
              <w:rPr>
                <w:rFonts w:ascii="Arial" w:hAnsi="Arial" w:cs="Arial"/>
                <w:sz w:val="24"/>
                <w:szCs w:val="24"/>
              </w:rPr>
              <w:t>0</w:t>
            </w:r>
            <w:r>
              <w:rPr>
                <w:rFonts w:ascii="Arial" w:hAnsi="Arial" w:cs="Arial"/>
                <w:sz w:val="24"/>
                <w:szCs w:val="24"/>
              </w:rPr>
              <w:t xml:space="preserve">: The term “Registry-side approach” should be defined in Guideline 13, and the recommendation should be reworded for clarification.  Second and third paragraphs should </w:t>
            </w:r>
            <w:r>
              <w:rPr>
                <w:rFonts w:ascii="Arial" w:hAnsi="Arial" w:cs="Arial"/>
                <w:sz w:val="24"/>
                <w:szCs w:val="24"/>
              </w:rPr>
              <w:lastRenderedPageBreak/>
              <w:t xml:space="preserve">be removed or moved to a separate section and change “must” to </w:t>
            </w:r>
            <w:r w:rsidR="006B76D1">
              <w:rPr>
                <w:rFonts w:ascii="Arial" w:hAnsi="Arial" w:cs="Arial"/>
                <w:sz w:val="24"/>
                <w:szCs w:val="24"/>
              </w:rPr>
              <w:t>“should” or “may” to make it an advisory.</w:t>
            </w:r>
          </w:p>
          <w:p w14:paraId="5B74AF66" w14:textId="04E61ACF" w:rsidR="006B76D1" w:rsidRDefault="006B76D1" w:rsidP="00A47CD8">
            <w:pPr>
              <w:spacing w:after="0" w:line="240" w:lineRule="auto"/>
              <w:rPr>
                <w:rFonts w:ascii="Arial" w:hAnsi="Arial" w:cs="Arial"/>
                <w:sz w:val="24"/>
                <w:szCs w:val="24"/>
              </w:rPr>
            </w:pPr>
          </w:p>
          <w:p w14:paraId="0A9F2283" w14:textId="78DD631C" w:rsidR="006B76D1" w:rsidRDefault="006B76D1" w:rsidP="006B76D1">
            <w:pPr>
              <w:spacing w:after="0" w:line="240" w:lineRule="auto"/>
              <w:rPr>
                <w:rFonts w:ascii="Arial" w:hAnsi="Arial" w:cs="Arial"/>
                <w:sz w:val="24"/>
                <w:szCs w:val="24"/>
              </w:rPr>
            </w:pPr>
            <w:r>
              <w:rPr>
                <w:rFonts w:ascii="Arial" w:hAnsi="Arial" w:cs="Arial"/>
                <w:sz w:val="24"/>
                <w:szCs w:val="24"/>
              </w:rPr>
              <w:t>RySG1</w:t>
            </w:r>
            <w:r w:rsidR="00965A62">
              <w:rPr>
                <w:rFonts w:ascii="Arial" w:hAnsi="Arial" w:cs="Arial"/>
                <w:sz w:val="24"/>
                <w:szCs w:val="24"/>
              </w:rPr>
              <w:t>1</w:t>
            </w:r>
            <w:r>
              <w:rPr>
                <w:rFonts w:ascii="Arial" w:hAnsi="Arial" w:cs="Arial"/>
                <w:sz w:val="24"/>
                <w:szCs w:val="24"/>
              </w:rPr>
              <w:t xml:space="preserve">: </w:t>
            </w:r>
            <w:r w:rsidRPr="006B76D1">
              <w:rPr>
                <w:rFonts w:ascii="Arial" w:hAnsi="Arial" w:cs="Arial"/>
                <w:sz w:val="24"/>
                <w:szCs w:val="24"/>
              </w:rPr>
              <w:t>The first sentence of draft guideline 15 is confusing as it is not clear if the guideline refers to cross-TLD tables of the same Registry or to a single same TLD. The recommendation may not be workable</w:t>
            </w:r>
            <w:r>
              <w:rPr>
                <w:rFonts w:ascii="Arial" w:hAnsi="Arial" w:cs="Arial"/>
                <w:sz w:val="24"/>
                <w:szCs w:val="24"/>
              </w:rPr>
              <w:t xml:space="preserve"> </w:t>
            </w:r>
            <w:r w:rsidRPr="006B76D1">
              <w:rPr>
                <w:rFonts w:ascii="Arial" w:hAnsi="Arial" w:cs="Arial"/>
                <w:sz w:val="24"/>
                <w:szCs w:val="24"/>
              </w:rPr>
              <w:t>as one Registry may have two or more TLDs in the same script but directed at different languages</w:t>
            </w:r>
            <w:r>
              <w:rPr>
                <w:rFonts w:ascii="Arial" w:hAnsi="Arial" w:cs="Arial"/>
                <w:sz w:val="24"/>
                <w:szCs w:val="24"/>
              </w:rPr>
              <w:t xml:space="preserve"> </w:t>
            </w:r>
            <w:r w:rsidRPr="006B76D1">
              <w:rPr>
                <w:rFonts w:ascii="Arial" w:hAnsi="Arial" w:cs="Arial"/>
                <w:sz w:val="24"/>
                <w:szCs w:val="24"/>
              </w:rPr>
              <w:t>where variants must be handled differently. Likewise, two TLDs, one script-based and the other</w:t>
            </w:r>
            <w:r>
              <w:rPr>
                <w:rFonts w:ascii="Arial" w:hAnsi="Arial" w:cs="Arial"/>
                <w:sz w:val="24"/>
                <w:szCs w:val="24"/>
              </w:rPr>
              <w:t xml:space="preserve"> </w:t>
            </w:r>
            <w:r w:rsidRPr="006B76D1">
              <w:rPr>
                <w:rFonts w:ascii="Arial" w:hAnsi="Arial" w:cs="Arial"/>
                <w:sz w:val="24"/>
                <w:szCs w:val="24"/>
              </w:rPr>
              <w:t>language-based, in the same script may have different variant tables. It seems that the only viable</w:t>
            </w:r>
            <w:r>
              <w:rPr>
                <w:rFonts w:ascii="Arial" w:hAnsi="Arial" w:cs="Arial"/>
                <w:sz w:val="24"/>
                <w:szCs w:val="24"/>
              </w:rPr>
              <w:t xml:space="preserve"> </w:t>
            </w:r>
            <w:r w:rsidRPr="006B76D1">
              <w:rPr>
                <w:rFonts w:ascii="Arial" w:hAnsi="Arial" w:cs="Arial"/>
                <w:sz w:val="24"/>
                <w:szCs w:val="24"/>
              </w:rPr>
              <w:t>interpretation is that the draft guideline refers to one single TLD, in which case this should be</w:t>
            </w:r>
            <w:r>
              <w:rPr>
                <w:rFonts w:ascii="Arial" w:hAnsi="Arial" w:cs="Arial"/>
                <w:sz w:val="24"/>
                <w:szCs w:val="24"/>
              </w:rPr>
              <w:t xml:space="preserve"> </w:t>
            </w:r>
            <w:r w:rsidRPr="006B76D1">
              <w:rPr>
                <w:rFonts w:ascii="Arial" w:hAnsi="Arial" w:cs="Arial"/>
                <w:sz w:val="24"/>
                <w:szCs w:val="24"/>
              </w:rPr>
              <w:t>clarified in the guideline.</w:t>
            </w:r>
          </w:p>
          <w:p w14:paraId="575D6C19" w14:textId="77777777" w:rsidR="00474B23" w:rsidRDefault="00474B23" w:rsidP="00CC599F">
            <w:pPr>
              <w:spacing w:after="0" w:line="240" w:lineRule="auto"/>
              <w:rPr>
                <w:rFonts w:ascii="Arial" w:hAnsi="Arial" w:cs="Arial"/>
                <w:sz w:val="24"/>
                <w:szCs w:val="24"/>
              </w:rPr>
            </w:pPr>
          </w:p>
          <w:p w14:paraId="392E27B0" w14:textId="3A51CC56" w:rsidR="00075749" w:rsidRDefault="006B76D1" w:rsidP="006B76D1">
            <w:pPr>
              <w:spacing w:after="0" w:line="240" w:lineRule="auto"/>
              <w:rPr>
                <w:rFonts w:ascii="Arial" w:hAnsi="Arial" w:cs="Arial"/>
                <w:sz w:val="24"/>
                <w:szCs w:val="24"/>
              </w:rPr>
            </w:pPr>
            <w:r>
              <w:rPr>
                <w:rFonts w:ascii="Arial" w:hAnsi="Arial" w:cs="Arial"/>
                <w:sz w:val="24"/>
                <w:szCs w:val="24"/>
              </w:rPr>
              <w:t>RySG1</w:t>
            </w:r>
            <w:r w:rsidR="00965A62">
              <w:rPr>
                <w:rFonts w:ascii="Arial" w:hAnsi="Arial" w:cs="Arial"/>
                <w:sz w:val="24"/>
                <w:szCs w:val="24"/>
              </w:rPr>
              <w:t>2</w:t>
            </w:r>
            <w:r>
              <w:rPr>
                <w:rFonts w:ascii="Arial" w:hAnsi="Arial" w:cs="Arial"/>
                <w:sz w:val="24"/>
                <w:szCs w:val="24"/>
              </w:rPr>
              <w:t xml:space="preserve">: </w:t>
            </w:r>
            <w:r w:rsidRPr="006B76D1">
              <w:rPr>
                <w:rFonts w:ascii="Arial" w:hAnsi="Arial" w:cs="Arial"/>
                <w:sz w:val="24"/>
                <w:szCs w:val="24"/>
              </w:rPr>
              <w:t xml:space="preserve">The </w:t>
            </w:r>
            <w:proofErr w:type="spellStart"/>
            <w:r w:rsidRPr="006B76D1">
              <w:rPr>
                <w:rFonts w:ascii="Arial" w:hAnsi="Arial" w:cs="Arial"/>
                <w:sz w:val="24"/>
                <w:szCs w:val="24"/>
              </w:rPr>
              <w:t>RySG</w:t>
            </w:r>
            <w:proofErr w:type="spellEnd"/>
            <w:r w:rsidRPr="006B76D1">
              <w:rPr>
                <w:rFonts w:ascii="Arial" w:hAnsi="Arial" w:cs="Arial"/>
                <w:sz w:val="24"/>
                <w:szCs w:val="24"/>
              </w:rPr>
              <w:t xml:space="preserve"> supports the view that the IDN Guidelines are not the right place for recommendations on</w:t>
            </w:r>
            <w:r>
              <w:rPr>
                <w:rFonts w:ascii="Arial" w:hAnsi="Arial" w:cs="Arial"/>
                <w:sz w:val="24"/>
                <w:szCs w:val="24"/>
              </w:rPr>
              <w:t xml:space="preserve"> </w:t>
            </w:r>
            <w:r w:rsidRPr="006B76D1">
              <w:rPr>
                <w:rFonts w:ascii="Arial" w:hAnsi="Arial" w:cs="Arial"/>
                <w:sz w:val="24"/>
                <w:szCs w:val="24"/>
              </w:rPr>
              <w:t>registration data and EPP.</w:t>
            </w:r>
          </w:p>
          <w:p w14:paraId="439A8658" w14:textId="77777777" w:rsidR="006B76D1" w:rsidRDefault="006B76D1" w:rsidP="006B76D1">
            <w:pPr>
              <w:spacing w:after="0" w:line="240" w:lineRule="auto"/>
              <w:rPr>
                <w:rFonts w:ascii="Arial" w:hAnsi="Arial" w:cs="Arial"/>
                <w:sz w:val="24"/>
                <w:szCs w:val="24"/>
              </w:rPr>
            </w:pPr>
          </w:p>
          <w:p w14:paraId="096CBE9A" w14:textId="190D0217" w:rsidR="006B76D1" w:rsidRDefault="006B76D1" w:rsidP="006B76D1">
            <w:pPr>
              <w:spacing w:after="0" w:line="240" w:lineRule="auto"/>
              <w:rPr>
                <w:rFonts w:ascii="Arial" w:hAnsi="Arial" w:cs="Arial"/>
                <w:sz w:val="24"/>
                <w:szCs w:val="24"/>
              </w:rPr>
            </w:pPr>
            <w:r>
              <w:rPr>
                <w:rFonts w:ascii="Arial" w:hAnsi="Arial" w:cs="Arial"/>
                <w:sz w:val="24"/>
                <w:szCs w:val="24"/>
              </w:rPr>
              <w:t>RySG1</w:t>
            </w:r>
            <w:r w:rsidR="00965A62">
              <w:rPr>
                <w:rFonts w:ascii="Arial" w:hAnsi="Arial" w:cs="Arial"/>
                <w:sz w:val="24"/>
                <w:szCs w:val="24"/>
              </w:rPr>
              <w:t>3</w:t>
            </w:r>
            <w:bookmarkStart w:id="0" w:name="_GoBack"/>
            <w:bookmarkEnd w:id="0"/>
            <w:r>
              <w:rPr>
                <w:rFonts w:ascii="Arial" w:hAnsi="Arial" w:cs="Arial"/>
                <w:sz w:val="24"/>
                <w:szCs w:val="24"/>
              </w:rPr>
              <w:t>: It is suggested to replace</w:t>
            </w:r>
            <w:r w:rsidRPr="006B76D1">
              <w:rPr>
                <w:rFonts w:ascii="Arial" w:hAnsi="Arial" w:cs="Arial"/>
                <w:sz w:val="24"/>
                <w:szCs w:val="24"/>
              </w:rPr>
              <w:t xml:space="preserve"> ‘word’ by ‘label’ in the definition of “variant”: ‘The term “variant” is used</w:t>
            </w:r>
            <w:r>
              <w:rPr>
                <w:rFonts w:ascii="Arial" w:hAnsi="Arial" w:cs="Arial"/>
                <w:sz w:val="24"/>
                <w:szCs w:val="24"/>
              </w:rPr>
              <w:t xml:space="preserve"> </w:t>
            </w:r>
            <w:r w:rsidRPr="006B76D1">
              <w:rPr>
                <w:rFonts w:ascii="Arial" w:hAnsi="Arial" w:cs="Arial"/>
                <w:sz w:val="24"/>
                <w:szCs w:val="24"/>
              </w:rPr>
              <w:t xml:space="preserve">generally to identify different types of linguistic situations where different labels </w:t>
            </w:r>
            <w:proofErr w:type="gramStart"/>
            <w:r w:rsidRPr="006B76D1">
              <w:rPr>
                <w:rFonts w:ascii="Arial" w:hAnsi="Arial" w:cs="Arial"/>
                <w:sz w:val="24"/>
                <w:szCs w:val="24"/>
              </w:rPr>
              <w:t>are considered to</w:t>
            </w:r>
            <w:r>
              <w:rPr>
                <w:rFonts w:ascii="Arial" w:hAnsi="Arial" w:cs="Arial"/>
                <w:sz w:val="24"/>
                <w:szCs w:val="24"/>
              </w:rPr>
              <w:t xml:space="preserve"> </w:t>
            </w:r>
            <w:r w:rsidRPr="006B76D1">
              <w:rPr>
                <w:rFonts w:ascii="Arial" w:hAnsi="Arial" w:cs="Arial"/>
                <w:sz w:val="24"/>
                <w:szCs w:val="24"/>
              </w:rPr>
              <w:t>be</w:t>
            </w:r>
            <w:proofErr w:type="gramEnd"/>
            <w:r w:rsidRPr="006B76D1">
              <w:rPr>
                <w:rFonts w:ascii="Arial" w:hAnsi="Arial" w:cs="Arial"/>
                <w:sz w:val="24"/>
                <w:szCs w:val="24"/>
              </w:rPr>
              <w:t xml:space="preserve"> the same (i.e. variant) of another label. Because of the wide-ranging understanding of the term,</w:t>
            </w:r>
            <w:r>
              <w:rPr>
                <w:rFonts w:ascii="Arial" w:hAnsi="Arial" w:cs="Arial"/>
                <w:sz w:val="24"/>
                <w:szCs w:val="24"/>
              </w:rPr>
              <w:t xml:space="preserve"> </w:t>
            </w:r>
            <w:r w:rsidRPr="006B76D1">
              <w:rPr>
                <w:rFonts w:ascii="Arial" w:hAnsi="Arial" w:cs="Arial"/>
                <w:sz w:val="24"/>
                <w:szCs w:val="24"/>
              </w:rPr>
              <w:t>to avoid confusion more specific terms such as “Variant Code Point” or “IDN Variant Label” should</w:t>
            </w:r>
            <w:r>
              <w:rPr>
                <w:rFonts w:ascii="Arial" w:hAnsi="Arial" w:cs="Arial"/>
                <w:sz w:val="24"/>
                <w:szCs w:val="24"/>
              </w:rPr>
              <w:t xml:space="preserve"> </w:t>
            </w:r>
            <w:r w:rsidRPr="006B76D1">
              <w:rPr>
                <w:rFonts w:ascii="Arial" w:hAnsi="Arial" w:cs="Arial"/>
                <w:sz w:val="24"/>
                <w:szCs w:val="24"/>
              </w:rPr>
              <w:t>be used.’</w:t>
            </w:r>
          </w:p>
          <w:p w14:paraId="30CBAE34" w14:textId="77777777" w:rsidR="006B76D1" w:rsidRDefault="006B76D1" w:rsidP="006B76D1">
            <w:pPr>
              <w:spacing w:after="0" w:line="240" w:lineRule="auto"/>
              <w:rPr>
                <w:rFonts w:ascii="Arial" w:hAnsi="Arial" w:cs="Arial"/>
                <w:sz w:val="24"/>
                <w:szCs w:val="24"/>
              </w:rPr>
            </w:pPr>
          </w:p>
          <w:p w14:paraId="653155F7" w14:textId="200667E0" w:rsidR="006B76D1" w:rsidRPr="002B3746" w:rsidRDefault="006B76D1" w:rsidP="006B76D1">
            <w:pPr>
              <w:spacing w:after="0" w:line="240" w:lineRule="auto"/>
              <w:rPr>
                <w:rFonts w:ascii="Arial" w:hAnsi="Arial" w:cs="Arial"/>
                <w:sz w:val="24"/>
                <w:szCs w:val="24"/>
              </w:rPr>
            </w:pPr>
          </w:p>
        </w:tc>
      </w:tr>
      <w:tr w:rsidR="000B0A3E" w:rsidRPr="002B3746" w14:paraId="74D180CA" w14:textId="77777777">
        <w:trPr>
          <w:trHeight w:val="360"/>
        </w:trPr>
        <w:tc>
          <w:tcPr>
            <w:tcW w:w="10188" w:type="dxa"/>
            <w:gridSpan w:val="5"/>
            <w:shd w:val="clear" w:color="auto" w:fill="F2F2F2"/>
            <w:vAlign w:val="center"/>
          </w:tcPr>
          <w:p w14:paraId="2EA46C0A"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  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77777777"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Pr="00E80B45">
              <w:rPr>
                <w:rFonts w:ascii="Arial" w:hAnsi="Arial" w:cs="Arial"/>
                <w:i/>
              </w:rPr>
              <w:t xml:space="preserve">  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4239707F" w14:textId="57F79711" w:rsidR="00AC7932" w:rsidRPr="00AC7932" w:rsidRDefault="00AC7932" w:rsidP="00AC7932">
            <w:pPr>
              <w:spacing w:after="0" w:line="240" w:lineRule="auto"/>
              <w:rPr>
                <w:rFonts w:ascii="Arial" w:hAnsi="Arial" w:cs="Arial"/>
                <w:sz w:val="24"/>
                <w:szCs w:val="24"/>
              </w:rPr>
            </w:pPr>
            <w:r>
              <w:rPr>
                <w:rFonts w:ascii="Arial" w:hAnsi="Arial" w:cs="Arial"/>
                <w:sz w:val="24"/>
                <w:szCs w:val="24"/>
              </w:rPr>
              <w:t>The</w:t>
            </w:r>
            <w:r w:rsidRPr="00AC7932">
              <w:rPr>
                <w:rFonts w:ascii="Arial" w:hAnsi="Arial" w:cs="Arial"/>
                <w:sz w:val="24"/>
                <w:szCs w:val="24"/>
              </w:rPr>
              <w:t xml:space="preserve"> IDN </w:t>
            </w:r>
            <w:r>
              <w:rPr>
                <w:rFonts w:ascii="Arial" w:hAnsi="Arial" w:cs="Arial"/>
                <w:sz w:val="24"/>
                <w:szCs w:val="24"/>
              </w:rPr>
              <w:t xml:space="preserve">Guidelines </w:t>
            </w:r>
            <w:r w:rsidRPr="00AC7932">
              <w:rPr>
                <w:rFonts w:ascii="Arial" w:hAnsi="Arial" w:cs="Arial"/>
                <w:sz w:val="24"/>
                <w:szCs w:val="24"/>
              </w:rPr>
              <w:t xml:space="preserve">WG </w:t>
            </w:r>
            <w:r>
              <w:rPr>
                <w:rFonts w:ascii="Arial" w:hAnsi="Arial" w:cs="Arial"/>
                <w:sz w:val="24"/>
                <w:szCs w:val="24"/>
              </w:rPr>
              <w:t xml:space="preserve">is thankful to the CL, O-X, IAB, </w:t>
            </w:r>
            <w:proofErr w:type="spellStart"/>
            <w:r>
              <w:rPr>
                <w:rFonts w:ascii="Arial" w:hAnsi="Arial" w:cs="Arial"/>
                <w:sz w:val="24"/>
                <w:szCs w:val="24"/>
              </w:rPr>
              <w:t>GoI</w:t>
            </w:r>
            <w:proofErr w:type="spellEnd"/>
            <w:r>
              <w:rPr>
                <w:rFonts w:ascii="Arial" w:hAnsi="Arial" w:cs="Arial"/>
                <w:sz w:val="24"/>
                <w:szCs w:val="24"/>
              </w:rPr>
              <w:t xml:space="preserve"> and </w:t>
            </w:r>
            <w:proofErr w:type="spellStart"/>
            <w:r>
              <w:rPr>
                <w:rFonts w:ascii="Arial" w:hAnsi="Arial" w:cs="Arial"/>
                <w:sz w:val="24"/>
                <w:szCs w:val="24"/>
              </w:rPr>
              <w:t>RySG</w:t>
            </w:r>
            <w:proofErr w:type="spellEnd"/>
            <w:r>
              <w:rPr>
                <w:rFonts w:ascii="Arial" w:hAnsi="Arial" w:cs="Arial"/>
                <w:sz w:val="24"/>
                <w:szCs w:val="24"/>
              </w:rPr>
              <w:t xml:space="preserve"> for their thoughtful comments.</w:t>
            </w:r>
          </w:p>
          <w:p w14:paraId="5CB2A47E" w14:textId="77777777" w:rsidR="00F00C40" w:rsidRDefault="00F00C40" w:rsidP="003912F9">
            <w:pPr>
              <w:spacing w:after="0" w:line="240" w:lineRule="auto"/>
              <w:rPr>
                <w:rFonts w:ascii="Arial" w:hAnsi="Arial" w:cs="Arial"/>
                <w:sz w:val="24"/>
                <w:szCs w:val="24"/>
              </w:rPr>
            </w:pPr>
          </w:p>
          <w:p w14:paraId="36378A4C" w14:textId="77777777" w:rsidR="00AC7932" w:rsidRDefault="00AC7932" w:rsidP="003912F9">
            <w:pPr>
              <w:spacing w:after="0" w:line="240" w:lineRule="auto"/>
              <w:rPr>
                <w:rFonts w:ascii="Arial" w:hAnsi="Arial" w:cs="Arial"/>
                <w:sz w:val="24"/>
                <w:szCs w:val="24"/>
              </w:rPr>
            </w:pPr>
          </w:p>
          <w:p w14:paraId="4C7C752B" w14:textId="3757968E" w:rsidR="00AC7932" w:rsidRPr="002B3746" w:rsidRDefault="00AC7932" w:rsidP="003912F9">
            <w:pPr>
              <w:spacing w:after="0" w:line="240" w:lineRule="auto"/>
              <w:rPr>
                <w:rFonts w:ascii="Arial" w:hAnsi="Arial" w:cs="Arial"/>
                <w:sz w:val="24"/>
                <w:szCs w:val="24"/>
              </w:rPr>
            </w:pPr>
          </w:p>
        </w:tc>
      </w:tr>
    </w:tbl>
    <w:p w14:paraId="0C0A9DA2" w14:textId="77777777" w:rsidR="000B0A3E" w:rsidRPr="002B3746" w:rsidRDefault="000B0A3E" w:rsidP="00000794">
      <w:pPr>
        <w:spacing w:after="0" w:line="240" w:lineRule="auto"/>
        <w:outlineLvl w:val="0"/>
        <w:rPr>
          <w:rFonts w:ascii="Arial" w:eastAsia="Times New Roman" w:hAnsi="Arial" w:cs="Arial"/>
          <w:bCs/>
          <w:color w:val="000000"/>
          <w:kern w:val="36"/>
          <w:sz w:val="24"/>
          <w:szCs w:val="24"/>
        </w:rPr>
      </w:pPr>
    </w:p>
    <w:sectPr w:rsidR="000B0A3E" w:rsidRPr="002B3746" w:rsidSect="00A325EB">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8DEC8" w14:textId="77777777" w:rsidR="006F650B" w:rsidRDefault="006F650B" w:rsidP="000B0A3E">
      <w:pPr>
        <w:spacing w:after="0" w:line="240" w:lineRule="auto"/>
      </w:pPr>
      <w:r>
        <w:separator/>
      </w:r>
    </w:p>
  </w:endnote>
  <w:endnote w:type="continuationSeparator" w:id="0">
    <w:p w14:paraId="5057F159" w14:textId="77777777" w:rsidR="006F650B" w:rsidRDefault="006F650B"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A41B3" w14:textId="3108A316" w:rsidR="007B4D42" w:rsidRDefault="007B4D42" w:rsidP="00E778F1">
    <w:pPr>
      <w:pStyle w:val="Footer"/>
      <w:spacing w:after="0" w:line="240" w:lineRule="auto"/>
      <w:jc w:val="center"/>
    </w:pPr>
    <w:r>
      <w:fldChar w:fldCharType="begin"/>
    </w:r>
    <w:r>
      <w:instrText xml:space="preserve"> PAGE   \* MERGEFORMAT </w:instrText>
    </w:r>
    <w:r>
      <w:fldChar w:fldCharType="separate"/>
    </w:r>
    <w:r w:rsidR="001B70D5">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20C29" w14:textId="77777777" w:rsidR="006F650B" w:rsidRDefault="006F650B" w:rsidP="000B0A3E">
      <w:pPr>
        <w:spacing w:after="0" w:line="240" w:lineRule="auto"/>
      </w:pPr>
      <w:r>
        <w:separator/>
      </w:r>
    </w:p>
  </w:footnote>
  <w:footnote w:type="continuationSeparator" w:id="0">
    <w:p w14:paraId="507EF02C" w14:textId="77777777" w:rsidR="006F650B" w:rsidRDefault="006F650B"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0794"/>
    <w:rsid w:val="00001E40"/>
    <w:rsid w:val="000173AA"/>
    <w:rsid w:val="00050C56"/>
    <w:rsid w:val="000527FB"/>
    <w:rsid w:val="00075749"/>
    <w:rsid w:val="00087D16"/>
    <w:rsid w:val="00091A48"/>
    <w:rsid w:val="000B04E7"/>
    <w:rsid w:val="000B0A3E"/>
    <w:rsid w:val="000B523B"/>
    <w:rsid w:val="000E0CB5"/>
    <w:rsid w:val="000F1ECE"/>
    <w:rsid w:val="00190136"/>
    <w:rsid w:val="001A086D"/>
    <w:rsid w:val="001A19FD"/>
    <w:rsid w:val="001B4F17"/>
    <w:rsid w:val="001B70D5"/>
    <w:rsid w:val="001D3D15"/>
    <w:rsid w:val="00222DDC"/>
    <w:rsid w:val="00224CDA"/>
    <w:rsid w:val="00273C18"/>
    <w:rsid w:val="00274AA5"/>
    <w:rsid w:val="002812F7"/>
    <w:rsid w:val="002B3746"/>
    <w:rsid w:val="002C55F7"/>
    <w:rsid w:val="00382095"/>
    <w:rsid w:val="003912F9"/>
    <w:rsid w:val="003A2BE4"/>
    <w:rsid w:val="003F3CB6"/>
    <w:rsid w:val="004729B5"/>
    <w:rsid w:val="00474B23"/>
    <w:rsid w:val="00480C2D"/>
    <w:rsid w:val="00490F90"/>
    <w:rsid w:val="00492003"/>
    <w:rsid w:val="004D63E1"/>
    <w:rsid w:val="005177A5"/>
    <w:rsid w:val="00530A3E"/>
    <w:rsid w:val="005626D3"/>
    <w:rsid w:val="00574C2D"/>
    <w:rsid w:val="00632A0D"/>
    <w:rsid w:val="00637F46"/>
    <w:rsid w:val="006B76D1"/>
    <w:rsid w:val="006C33C1"/>
    <w:rsid w:val="006F5168"/>
    <w:rsid w:val="006F650B"/>
    <w:rsid w:val="0074587C"/>
    <w:rsid w:val="00756067"/>
    <w:rsid w:val="00757A1B"/>
    <w:rsid w:val="00786A15"/>
    <w:rsid w:val="007B4D42"/>
    <w:rsid w:val="007D22D2"/>
    <w:rsid w:val="007E38F1"/>
    <w:rsid w:val="00844A35"/>
    <w:rsid w:val="0085680C"/>
    <w:rsid w:val="00884892"/>
    <w:rsid w:val="008913C7"/>
    <w:rsid w:val="008928EA"/>
    <w:rsid w:val="00897AC2"/>
    <w:rsid w:val="008B5CFA"/>
    <w:rsid w:val="008E0D87"/>
    <w:rsid w:val="00906662"/>
    <w:rsid w:val="00923A03"/>
    <w:rsid w:val="00930D05"/>
    <w:rsid w:val="00956585"/>
    <w:rsid w:val="00965A62"/>
    <w:rsid w:val="009B470E"/>
    <w:rsid w:val="009C49B0"/>
    <w:rsid w:val="009E2D56"/>
    <w:rsid w:val="00A07281"/>
    <w:rsid w:val="00A261A4"/>
    <w:rsid w:val="00A322F4"/>
    <w:rsid w:val="00A325EB"/>
    <w:rsid w:val="00A3332C"/>
    <w:rsid w:val="00A47CD8"/>
    <w:rsid w:val="00A868A2"/>
    <w:rsid w:val="00A901C6"/>
    <w:rsid w:val="00AB21D5"/>
    <w:rsid w:val="00AC1EDD"/>
    <w:rsid w:val="00AC7932"/>
    <w:rsid w:val="00AF12C5"/>
    <w:rsid w:val="00AF3489"/>
    <w:rsid w:val="00B71358"/>
    <w:rsid w:val="00C17515"/>
    <w:rsid w:val="00C3106C"/>
    <w:rsid w:val="00C36D7A"/>
    <w:rsid w:val="00C44A48"/>
    <w:rsid w:val="00C50C0E"/>
    <w:rsid w:val="00C5746A"/>
    <w:rsid w:val="00C768B2"/>
    <w:rsid w:val="00C87B15"/>
    <w:rsid w:val="00CC599F"/>
    <w:rsid w:val="00CD433B"/>
    <w:rsid w:val="00D1187A"/>
    <w:rsid w:val="00D57297"/>
    <w:rsid w:val="00D74C23"/>
    <w:rsid w:val="00D82834"/>
    <w:rsid w:val="00D9470E"/>
    <w:rsid w:val="00D97E6A"/>
    <w:rsid w:val="00DE3B6F"/>
    <w:rsid w:val="00E24562"/>
    <w:rsid w:val="00E517D4"/>
    <w:rsid w:val="00E778F1"/>
    <w:rsid w:val="00E80B45"/>
    <w:rsid w:val="00E83B43"/>
    <w:rsid w:val="00EA6C52"/>
    <w:rsid w:val="00EB42DE"/>
    <w:rsid w:val="00EC1E24"/>
    <w:rsid w:val="00EC47BA"/>
    <w:rsid w:val="00EE0335"/>
    <w:rsid w:val="00EE0791"/>
    <w:rsid w:val="00F00C40"/>
    <w:rsid w:val="00F0346F"/>
    <w:rsid w:val="00F15A50"/>
    <w:rsid w:val="00F16CEF"/>
    <w:rsid w:val="00F60AE3"/>
    <w:rsid w:val="00F916D3"/>
    <w:rsid w:val="00F95EB8"/>
    <w:rsid w:val="00FD0D75"/>
    <w:rsid w:val="00FD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41E6B59B-3320-47A4-B5D8-C5011CFC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idn-guidelines-2011-09-02-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news/announcement-2015-07-20-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cann.org/en/system/files/files/draft-idn-guidelines-03mar17-en.pdf" TargetMode="External"/><Relationship Id="rId4" Type="http://schemas.openxmlformats.org/officeDocument/2006/relationships/webSettings" Target="webSettings.xml"/><Relationship Id="rId9" Type="http://schemas.openxmlformats.org/officeDocument/2006/relationships/hyperlink" Target="https://www.icann.org/resources/pages/implementation-guideline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5</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13213</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Sarmad Hussain</cp:lastModifiedBy>
  <cp:revision>33</cp:revision>
  <cp:lastPrinted>2017-04-19T21:20:00Z</cp:lastPrinted>
  <dcterms:created xsi:type="dcterms:W3CDTF">2017-04-20T14:51:00Z</dcterms:created>
  <dcterms:modified xsi:type="dcterms:W3CDTF">2017-06-14T10:18:00Z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