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780" w:rsidRPr="00AA1F90" w:rsidRDefault="00A61780" w:rsidP="00A61780">
      <w:pPr>
        <w:rPr>
          <w:b/>
          <w:bCs/>
        </w:rPr>
      </w:pPr>
      <w:r w:rsidRPr="00AA1F90">
        <w:rPr>
          <w:b/>
          <w:bCs/>
        </w:rPr>
        <w:t>IDN Implementation Guidelines (IDNG) Working Group (WG)</w:t>
      </w:r>
    </w:p>
    <w:p w:rsidR="00A61780" w:rsidRPr="00AA1F90" w:rsidRDefault="00A61780" w:rsidP="00326C70">
      <w:pPr>
        <w:rPr>
          <w:b/>
          <w:bCs/>
        </w:rPr>
      </w:pPr>
      <w:r w:rsidRPr="00AA1F90">
        <w:rPr>
          <w:b/>
          <w:bCs/>
        </w:rPr>
        <w:t xml:space="preserve">Notes from Meeting on </w:t>
      </w:r>
      <w:r w:rsidR="00326C70">
        <w:rPr>
          <w:b/>
          <w:bCs/>
        </w:rPr>
        <w:t>13 Jan</w:t>
      </w:r>
      <w:r w:rsidRPr="00AA1F90">
        <w:rPr>
          <w:b/>
          <w:bCs/>
        </w:rPr>
        <w:t>. 201</w:t>
      </w:r>
      <w:r w:rsidR="00326C70">
        <w:rPr>
          <w:b/>
          <w:bCs/>
        </w:rPr>
        <w:t>6</w:t>
      </w:r>
    </w:p>
    <w:p w:rsidR="00B6339C" w:rsidRPr="007100C7" w:rsidRDefault="007100C7" w:rsidP="00A61780">
      <w:pPr>
        <w:rPr>
          <w:u w:val="single"/>
        </w:rPr>
      </w:pPr>
      <w:r w:rsidRPr="007100C7">
        <w:rPr>
          <w:u w:val="single"/>
        </w:rPr>
        <w:t>Meeting Attendees</w:t>
      </w:r>
    </w:p>
    <w:p w:rsidR="00A61780" w:rsidRDefault="007E6AF4" w:rsidP="00A61780">
      <w:r>
        <w:tab/>
      </w:r>
      <w:r w:rsidR="00AA1F90">
        <w:t>WG</w:t>
      </w:r>
      <w:r w:rsidR="00B6339C">
        <w:t xml:space="preserve"> members</w:t>
      </w:r>
      <w:r w:rsidR="00AA1F90">
        <w:t xml:space="preserve"> </w:t>
      </w:r>
      <w:r w:rsidR="000A0618">
        <w:t>(in alphabetical order)</w:t>
      </w:r>
      <w:r w:rsidR="007100C7">
        <w:t>:</w:t>
      </w:r>
    </w:p>
    <w:p w:rsidR="00326C70" w:rsidRDefault="00326C70" w:rsidP="00154E71">
      <w:pPr>
        <w:pStyle w:val="ListParagraph"/>
        <w:numPr>
          <w:ilvl w:val="0"/>
          <w:numId w:val="2"/>
        </w:numPr>
      </w:pPr>
      <w:r>
        <w:t>Edmon Chung</w:t>
      </w:r>
    </w:p>
    <w:p w:rsidR="00154E71" w:rsidRDefault="00154E71" w:rsidP="00154E71">
      <w:pPr>
        <w:pStyle w:val="ListParagraph"/>
        <w:numPr>
          <w:ilvl w:val="0"/>
          <w:numId w:val="2"/>
        </w:numPr>
      </w:pPr>
      <w:r>
        <w:t>Dennis Tan Tan</w:t>
      </w:r>
      <w:r w:rsidR="001D110A">
        <w:t>a</w:t>
      </w:r>
      <w:r>
        <w:t>ka</w:t>
      </w:r>
    </w:p>
    <w:p w:rsidR="00D335E2" w:rsidRDefault="00D335E2" w:rsidP="00D335E2">
      <w:pPr>
        <w:pStyle w:val="ListParagraph"/>
        <w:numPr>
          <w:ilvl w:val="0"/>
          <w:numId w:val="2"/>
        </w:numPr>
      </w:pPr>
      <w:r w:rsidRPr="00995177">
        <w:t>Mats Dufberg</w:t>
      </w:r>
    </w:p>
    <w:p w:rsidR="00326C70" w:rsidRDefault="00326C70" w:rsidP="00326C70">
      <w:pPr>
        <w:pStyle w:val="ListParagraph"/>
        <w:numPr>
          <w:ilvl w:val="0"/>
          <w:numId w:val="2"/>
        </w:numPr>
      </w:pPr>
      <w:r>
        <w:t>Ram Mohan</w:t>
      </w:r>
    </w:p>
    <w:p w:rsidR="00326C70" w:rsidRDefault="00326C70" w:rsidP="00326C70">
      <w:pPr>
        <w:pStyle w:val="ListParagraph"/>
        <w:numPr>
          <w:ilvl w:val="0"/>
          <w:numId w:val="2"/>
        </w:numPr>
      </w:pPr>
      <w:r>
        <w:t>Wael Nasr</w:t>
      </w:r>
    </w:p>
    <w:p w:rsidR="007100C7" w:rsidRDefault="007100C7" w:rsidP="007100C7">
      <w:pPr>
        <w:pStyle w:val="ListParagraph"/>
        <w:ind w:left="1440"/>
      </w:pPr>
    </w:p>
    <w:p w:rsidR="00AA1F90" w:rsidRDefault="007E6AF4" w:rsidP="00AA1F90">
      <w:pPr>
        <w:pStyle w:val="ListParagraph"/>
        <w:ind w:left="0"/>
      </w:pPr>
      <w:r>
        <w:tab/>
        <w:t>Staff</w:t>
      </w:r>
      <w:r w:rsidR="007100C7">
        <w:t>:</w:t>
      </w:r>
    </w:p>
    <w:p w:rsidR="00073921" w:rsidRDefault="00AA1F90" w:rsidP="00073921">
      <w:pPr>
        <w:pStyle w:val="ListParagraph"/>
        <w:numPr>
          <w:ilvl w:val="0"/>
          <w:numId w:val="2"/>
        </w:numPr>
      </w:pPr>
      <w:r>
        <w:t xml:space="preserve">Sarmad Hussain </w:t>
      </w:r>
    </w:p>
    <w:p w:rsidR="00073921" w:rsidRPr="007100C7" w:rsidRDefault="00073921" w:rsidP="00073921">
      <w:pPr>
        <w:rPr>
          <w:u w:val="single"/>
        </w:rPr>
      </w:pPr>
      <w:r>
        <w:rPr>
          <w:u w:val="single"/>
        </w:rPr>
        <w:t>Regrets</w:t>
      </w:r>
    </w:p>
    <w:p w:rsidR="00326C70" w:rsidRDefault="00326C70" w:rsidP="00326C70">
      <w:pPr>
        <w:pStyle w:val="ListParagraph"/>
        <w:numPr>
          <w:ilvl w:val="0"/>
          <w:numId w:val="7"/>
        </w:numPr>
      </w:pPr>
      <w:r>
        <w:t>Chris Dillon</w:t>
      </w:r>
    </w:p>
    <w:p w:rsidR="00326C70" w:rsidRDefault="00326C70" w:rsidP="00326C70">
      <w:pPr>
        <w:pStyle w:val="ListParagraph"/>
        <w:numPr>
          <w:ilvl w:val="0"/>
          <w:numId w:val="7"/>
        </w:numPr>
      </w:pPr>
      <w:r>
        <w:t>Christian Dawson</w:t>
      </w:r>
    </w:p>
    <w:p w:rsidR="00326C70" w:rsidRPr="00326C70" w:rsidRDefault="00326C70" w:rsidP="00326C70">
      <w:pPr>
        <w:pStyle w:val="ListParagraph"/>
        <w:numPr>
          <w:ilvl w:val="0"/>
          <w:numId w:val="7"/>
        </w:numPr>
      </w:pPr>
      <w:r>
        <w:t>Kal Feher</w:t>
      </w:r>
    </w:p>
    <w:p w:rsidR="00A61780" w:rsidRDefault="007100C7" w:rsidP="00A61780">
      <w:pPr>
        <w:rPr>
          <w:u w:val="single"/>
        </w:rPr>
      </w:pPr>
      <w:r w:rsidRPr="007100C7">
        <w:rPr>
          <w:u w:val="single"/>
        </w:rPr>
        <w:t>Meeting Notes</w:t>
      </w:r>
    </w:p>
    <w:p w:rsidR="00154E71" w:rsidRDefault="00326C70" w:rsidP="00397D1C">
      <w:pPr>
        <w:pStyle w:val="ListParagraph"/>
        <w:numPr>
          <w:ilvl w:val="0"/>
          <w:numId w:val="1"/>
        </w:numPr>
      </w:pPr>
      <w:r>
        <w:rPr>
          <w:b/>
          <w:bCs/>
        </w:rPr>
        <w:t>TMCH - continued</w:t>
      </w:r>
      <w:r w:rsidR="00BF038D" w:rsidRPr="002F0DF7">
        <w:rPr>
          <w:b/>
          <w:bCs/>
        </w:rPr>
        <w:t>.</w:t>
      </w:r>
      <w:r w:rsidR="00BF038D">
        <w:t xml:space="preserve">  </w:t>
      </w:r>
      <w:r>
        <w:t xml:space="preserve">Because of variants, TMCH, when it checks for a domain name </w:t>
      </w:r>
      <w:r w:rsidR="00397D1C">
        <w:t>for a</w:t>
      </w:r>
      <w:r>
        <w:t xml:space="preserve"> trademark</w:t>
      </w:r>
      <w:r w:rsidR="00397D1C">
        <w:t xml:space="preserve"> string</w:t>
      </w:r>
      <w:r>
        <w:t xml:space="preserve">, it needs to </w:t>
      </w:r>
      <w:r w:rsidR="00397D1C">
        <w:t>realize</w:t>
      </w:r>
      <w:r>
        <w:t xml:space="preserve"> that </w:t>
      </w:r>
      <w:r w:rsidR="00397D1C">
        <w:t xml:space="preserve">it should check against the variants.  If somebody is trying to register a trademark name, the process needs to take into consideration the variants.  In the current implementation it is not handled by TMCH.  </w:t>
      </w:r>
      <w:r>
        <w:t xml:space="preserve">The group agreed that the TMCH is not directly relevant to IDN Implementation Guidelines.  However, </w:t>
      </w:r>
      <w:r w:rsidR="00397D1C">
        <w:t xml:space="preserve">the advice of the group should be </w:t>
      </w:r>
      <w:r>
        <w:t xml:space="preserve">more </w:t>
      </w:r>
      <w:r w:rsidR="00397D1C">
        <w:t>general</w:t>
      </w:r>
      <w:r>
        <w:t xml:space="preserve">, </w:t>
      </w:r>
      <w:r w:rsidR="00397D1C">
        <w:t xml:space="preserve">that </w:t>
      </w:r>
      <w:r>
        <w:t xml:space="preserve">all the systems and peripheral services ICANN procures, including TMCH, should be aware of and coherent with IDN policies.  </w:t>
      </w:r>
      <w:r w:rsidR="00397D1C">
        <w:t>Further, there should be some harmonization of variants by TMCH compared with the varia</w:t>
      </w:r>
      <w:r w:rsidR="003B2F9B">
        <w:t xml:space="preserve">nts defined by the registries, including capturing the difference across these registries.  </w:t>
      </w:r>
    </w:p>
    <w:p w:rsidR="002F0DF7" w:rsidRDefault="002F0DF7" w:rsidP="002F0DF7">
      <w:pPr>
        <w:pStyle w:val="ListParagraph"/>
      </w:pPr>
    </w:p>
    <w:p w:rsidR="00D405A8" w:rsidRPr="00D405A8" w:rsidRDefault="00EC279C" w:rsidP="00D405A8">
      <w:pPr>
        <w:pStyle w:val="ListParagraph"/>
        <w:numPr>
          <w:ilvl w:val="0"/>
          <w:numId w:val="1"/>
        </w:numPr>
        <w:rPr>
          <w:u w:val="single"/>
        </w:rPr>
      </w:pPr>
      <w:r>
        <w:rPr>
          <w:b/>
          <w:bCs/>
        </w:rPr>
        <w:t>Similarity and confusability of labels</w:t>
      </w:r>
      <w:r w:rsidR="00846081">
        <w:rPr>
          <w:b/>
          <w:bCs/>
        </w:rPr>
        <w:t xml:space="preserve">.  </w:t>
      </w:r>
      <w:r>
        <w:t xml:space="preserve">The previous version of the Guidelines suggested that the homographic issues be considered.  </w:t>
      </w:r>
      <w:r w:rsidR="00B33490">
        <w:t>It is recommended that within-script and cross-script similarity should be lumped into a single more general recommendation.  It is in important issue to discuss further and include in the recommendations.</w:t>
      </w:r>
      <w:r w:rsidR="00D405A8" w:rsidRPr="00D405A8">
        <w:t xml:space="preserve">  </w:t>
      </w:r>
    </w:p>
    <w:p w:rsidR="00D405A8" w:rsidRPr="00D405A8" w:rsidRDefault="00D405A8" w:rsidP="00D405A8">
      <w:pPr>
        <w:pStyle w:val="ListParagraph"/>
        <w:rPr>
          <w:b/>
          <w:bCs/>
        </w:rPr>
      </w:pPr>
    </w:p>
    <w:p w:rsidR="0080673C" w:rsidRPr="00D405A8" w:rsidRDefault="00B33490" w:rsidP="00D405A8">
      <w:pPr>
        <w:pStyle w:val="ListParagraph"/>
        <w:numPr>
          <w:ilvl w:val="0"/>
          <w:numId w:val="1"/>
        </w:numPr>
        <w:rPr>
          <w:u w:val="single"/>
        </w:rPr>
      </w:pPr>
      <w:r w:rsidRPr="00D405A8">
        <w:rPr>
          <w:b/>
          <w:bCs/>
        </w:rPr>
        <w:t>Upper and lower case mapping</w:t>
      </w:r>
      <w:r w:rsidR="0052290D" w:rsidRPr="00D405A8">
        <w:rPr>
          <w:b/>
          <w:bCs/>
        </w:rPr>
        <w:t xml:space="preserve">. </w:t>
      </w:r>
      <w:r w:rsidR="00C93BFD">
        <w:t xml:space="preserve"> </w:t>
      </w:r>
      <w:r>
        <w:t xml:space="preserve">Should upper case be considered relevant for string similarity?  Though it is not relevant in the context of IDNA2008, applications do map upper case domain names to lower case during resolution in many cases so it can still be indirectly relevant.  </w:t>
      </w:r>
    </w:p>
    <w:p w:rsidR="0052290D" w:rsidRDefault="0052290D" w:rsidP="0052290D">
      <w:pPr>
        <w:pStyle w:val="ListParagraph"/>
        <w:rPr>
          <w:u w:val="single"/>
        </w:rPr>
      </w:pPr>
    </w:p>
    <w:p w:rsidR="0052290D" w:rsidRPr="0052290D" w:rsidRDefault="000B0252" w:rsidP="00C213E9">
      <w:pPr>
        <w:pStyle w:val="ListParagraph"/>
        <w:numPr>
          <w:ilvl w:val="0"/>
          <w:numId w:val="1"/>
        </w:numPr>
        <w:rPr>
          <w:u w:val="single"/>
        </w:rPr>
      </w:pPr>
      <w:r>
        <w:rPr>
          <w:b/>
          <w:bCs/>
        </w:rPr>
        <w:t>S</w:t>
      </w:r>
      <w:r w:rsidR="00D405A8">
        <w:rPr>
          <w:b/>
          <w:bCs/>
        </w:rPr>
        <w:t>cript mixing</w:t>
      </w:r>
      <w:r w:rsidR="0052290D">
        <w:rPr>
          <w:b/>
          <w:bCs/>
        </w:rPr>
        <w:t>.</w:t>
      </w:r>
      <w:r w:rsidR="0052290D" w:rsidRPr="0052290D">
        <w:rPr>
          <w:b/>
          <w:bCs/>
        </w:rPr>
        <w:t xml:space="preserve">  </w:t>
      </w:r>
      <w:r w:rsidR="00D405A8">
        <w:t>Multiple scripts within a label should be avoided.  Otherwise, if there is one script per label, offering multiple scripts at second levels should be generally OK.  It is important to point out the risks wh</w:t>
      </w:r>
      <w:r>
        <w:t xml:space="preserve">ich accrue due to the process.  Enforceability at ICANN and registries </w:t>
      </w:r>
      <w:r>
        <w:lastRenderedPageBreak/>
        <w:t xml:space="preserve">should be taken into account when determining such rules.  </w:t>
      </w:r>
      <w:r w:rsidR="00C213E9">
        <w:t>M</w:t>
      </w:r>
      <w:r w:rsidR="004D71CD">
        <w:t xml:space="preserve">ore analysis may be needed for providing a specific requirement.  </w:t>
      </w:r>
    </w:p>
    <w:p w:rsidR="0052290D" w:rsidRPr="0052290D" w:rsidRDefault="0052290D" w:rsidP="0052290D">
      <w:pPr>
        <w:pStyle w:val="ListParagraph"/>
        <w:rPr>
          <w:u w:val="single"/>
        </w:rPr>
      </w:pPr>
    </w:p>
    <w:p w:rsidR="0066220B" w:rsidRDefault="00C213E9" w:rsidP="00C213E9">
      <w:pPr>
        <w:pStyle w:val="ListParagraph"/>
        <w:numPr>
          <w:ilvl w:val="0"/>
          <w:numId w:val="1"/>
        </w:numPr>
        <w:rPr>
          <w:b/>
          <w:bCs/>
        </w:rPr>
      </w:pPr>
      <w:r>
        <w:rPr>
          <w:b/>
          <w:bCs/>
        </w:rPr>
        <w:t>Face to face meeting at ICANN 55</w:t>
      </w:r>
      <w:r w:rsidR="00E44242" w:rsidRPr="00E44242">
        <w:rPr>
          <w:b/>
          <w:bCs/>
        </w:rPr>
        <w:t xml:space="preserve">.  </w:t>
      </w:r>
      <w:r>
        <w:t>Tentatively a face to face meeting of the group will be scheduled either on Tuesday evening or Wednesday morning during the ICANN 55 meeting.</w:t>
      </w:r>
    </w:p>
    <w:p w:rsidR="00E44242" w:rsidRPr="00E04C4E" w:rsidRDefault="00E44242" w:rsidP="00E44242">
      <w:pPr>
        <w:pStyle w:val="ListParagraph"/>
        <w:rPr>
          <w:b/>
          <w:bCs/>
        </w:rPr>
      </w:pPr>
    </w:p>
    <w:p w:rsidR="00C213E9" w:rsidRDefault="00C213E9" w:rsidP="00C213E9">
      <w:pPr>
        <w:pStyle w:val="ListParagraph"/>
      </w:pPr>
    </w:p>
    <w:p w:rsidR="0066220B" w:rsidRPr="005E1272" w:rsidRDefault="00D94224" w:rsidP="00C213E9">
      <w:pPr>
        <w:pStyle w:val="ListParagraph"/>
        <w:rPr>
          <w:b/>
          <w:bCs/>
        </w:rPr>
      </w:pPr>
      <w:bookmarkStart w:id="0" w:name="_GoBack"/>
      <w:bookmarkEnd w:id="0"/>
      <w:r>
        <w:t>The</w:t>
      </w:r>
      <w:r w:rsidR="0066220B">
        <w:t xml:space="preserve"> </w:t>
      </w:r>
      <w:r w:rsidR="00C213E9">
        <w:t>next WG call will be on</w:t>
      </w:r>
      <w:r>
        <w:t xml:space="preserve"> </w:t>
      </w:r>
      <w:r w:rsidR="00C213E9">
        <w:t xml:space="preserve">Wednesday </w:t>
      </w:r>
      <w:r w:rsidR="00D70363">
        <w:t>27</w:t>
      </w:r>
      <w:r>
        <w:t xml:space="preserve"> January 2016.  </w:t>
      </w:r>
      <w:r w:rsidR="0066220B">
        <w:t xml:space="preserve">  </w:t>
      </w:r>
    </w:p>
    <w:p w:rsidR="00D94224" w:rsidRDefault="00D94224">
      <w:pPr>
        <w:rPr>
          <w:b/>
          <w:bCs/>
        </w:rPr>
      </w:pPr>
      <w:r>
        <w:rPr>
          <w:b/>
          <w:bCs/>
        </w:rPr>
        <w:br w:type="page"/>
      </w:r>
    </w:p>
    <w:p w:rsidR="0052290D" w:rsidRPr="0052290D" w:rsidRDefault="0052290D" w:rsidP="00CE15DD">
      <w:pPr>
        <w:rPr>
          <w:b/>
          <w:bCs/>
        </w:rPr>
      </w:pPr>
      <w:r w:rsidRPr="0052290D">
        <w:rPr>
          <w:b/>
          <w:bCs/>
        </w:rPr>
        <w:lastRenderedPageBreak/>
        <w:t>Appendix A: Issues list discussed</w:t>
      </w:r>
    </w:p>
    <w:p w:rsidR="0052290D" w:rsidRPr="0052290D" w:rsidRDefault="0052290D" w:rsidP="0052290D">
      <w:pPr>
        <w:pStyle w:val="NormalWeb"/>
        <w:spacing w:before="0" w:beforeAutospacing="0" w:after="0" w:afterAutospacing="0"/>
        <w:rPr>
          <w:sz w:val="22"/>
          <w:szCs w:val="22"/>
        </w:rPr>
      </w:pPr>
      <w:r w:rsidRPr="0052290D">
        <w:rPr>
          <w:rFonts w:ascii="Calibri" w:hAnsi="Calibri"/>
          <w:sz w:val="22"/>
          <w:szCs w:val="22"/>
        </w:rPr>
        <w:t>1.     </w:t>
      </w:r>
      <w:r w:rsidRPr="0052290D">
        <w:rPr>
          <w:sz w:val="22"/>
          <w:szCs w:val="22"/>
        </w:rPr>
        <w:t xml:space="preserve"> </w:t>
      </w:r>
      <w:r w:rsidRPr="0052290D">
        <w:rPr>
          <w:rFonts w:ascii="Calibri" w:hAnsi="Calibri"/>
          <w:sz w:val="22"/>
          <w:szCs w:val="22"/>
        </w:rPr>
        <w:t>Transition and Terminology</w:t>
      </w:r>
    </w:p>
    <w:p w:rsidR="0052290D" w:rsidRPr="0052290D" w:rsidRDefault="0052290D" w:rsidP="0052290D">
      <w:pPr>
        <w:pStyle w:val="NormalWeb"/>
        <w:spacing w:before="0" w:beforeAutospacing="0" w:after="0" w:afterAutospacing="0"/>
        <w:ind w:left="720"/>
        <w:rPr>
          <w:sz w:val="22"/>
          <w:szCs w:val="22"/>
        </w:rPr>
      </w:pPr>
      <w:r w:rsidRPr="0052290D">
        <w:rPr>
          <w:rFonts w:ascii="Calibri" w:hAnsi="Calibri"/>
          <w:sz w:val="22"/>
          <w:szCs w:val="22"/>
        </w:rPr>
        <w:t>a.     </w:t>
      </w:r>
      <w:r w:rsidRPr="0052290D">
        <w:rPr>
          <w:sz w:val="22"/>
          <w:szCs w:val="22"/>
        </w:rPr>
        <w:t xml:space="preserve"> </w:t>
      </w:r>
      <w:r w:rsidRPr="0052290D">
        <w:rPr>
          <w:rFonts w:ascii="Calibri" w:hAnsi="Calibri"/>
          <w:sz w:val="22"/>
          <w:szCs w:val="22"/>
        </w:rPr>
        <w:t>Any (residual) issues/items from IDNA2003 to IDNA2008 transition?</w:t>
      </w:r>
    </w:p>
    <w:p w:rsidR="0052290D" w:rsidRPr="0052290D" w:rsidRDefault="0052290D" w:rsidP="0052290D">
      <w:pPr>
        <w:pStyle w:val="NormalWeb"/>
        <w:spacing w:before="0" w:beforeAutospacing="0" w:after="0" w:afterAutospacing="0"/>
        <w:ind w:left="720"/>
        <w:rPr>
          <w:sz w:val="22"/>
          <w:szCs w:val="22"/>
        </w:rPr>
      </w:pPr>
      <w:r w:rsidRPr="0052290D">
        <w:rPr>
          <w:rFonts w:ascii="Calibri" w:hAnsi="Calibri"/>
          <w:sz w:val="22"/>
          <w:szCs w:val="22"/>
        </w:rPr>
        <w:t>b.     </w:t>
      </w:r>
      <w:r w:rsidRPr="0052290D">
        <w:rPr>
          <w:sz w:val="22"/>
          <w:szCs w:val="22"/>
        </w:rPr>
        <w:t xml:space="preserve"> </w:t>
      </w:r>
      <w:r w:rsidRPr="0052290D">
        <w:rPr>
          <w:rFonts w:ascii="Calibri" w:hAnsi="Calibri"/>
          <w:sz w:val="22"/>
          <w:szCs w:val="22"/>
        </w:rPr>
        <w:t>Glossary of terms around LGRs and variants from the IDN TLD project and other work</w:t>
      </w:r>
    </w:p>
    <w:p w:rsidR="0052290D" w:rsidRPr="0052290D" w:rsidRDefault="0052290D" w:rsidP="0052290D">
      <w:pPr>
        <w:pStyle w:val="NormalWeb"/>
        <w:spacing w:before="0" w:beforeAutospacing="0" w:after="0" w:afterAutospacing="0"/>
        <w:rPr>
          <w:sz w:val="22"/>
          <w:szCs w:val="22"/>
        </w:rPr>
      </w:pPr>
      <w:r w:rsidRPr="0052290D">
        <w:rPr>
          <w:rFonts w:ascii="Calibri" w:hAnsi="Calibri"/>
          <w:sz w:val="22"/>
          <w:szCs w:val="22"/>
        </w:rPr>
        <w:t>2.     </w:t>
      </w:r>
      <w:r w:rsidRPr="0052290D">
        <w:rPr>
          <w:sz w:val="22"/>
          <w:szCs w:val="22"/>
        </w:rPr>
        <w:t xml:space="preserve"> </w:t>
      </w:r>
      <w:r w:rsidRPr="0052290D">
        <w:rPr>
          <w:rFonts w:ascii="Calibri" w:hAnsi="Calibri"/>
          <w:sz w:val="22"/>
          <w:szCs w:val="22"/>
        </w:rPr>
        <w:t>Language table format and</w:t>
      </w:r>
      <w:r w:rsidRPr="0052290D">
        <w:rPr>
          <w:sz w:val="22"/>
          <w:szCs w:val="22"/>
        </w:rPr>
        <w:t xml:space="preserve"> </w:t>
      </w:r>
      <w:r w:rsidRPr="0052290D">
        <w:rPr>
          <w:rFonts w:ascii="Calibri" w:hAnsi="Calibri"/>
          <w:sz w:val="22"/>
          <w:szCs w:val="22"/>
        </w:rPr>
        <w:t>managing</w:t>
      </w:r>
      <w:r w:rsidRPr="0052290D">
        <w:rPr>
          <w:sz w:val="22"/>
          <w:szCs w:val="22"/>
        </w:rPr>
        <w:t xml:space="preserve"> </w:t>
      </w:r>
      <w:r w:rsidRPr="0052290D">
        <w:rPr>
          <w:rFonts w:ascii="Calibri" w:hAnsi="Calibri"/>
          <w:sz w:val="22"/>
          <w:szCs w:val="22"/>
        </w:rPr>
        <w:t>consistency of end-user experience</w:t>
      </w:r>
    </w:p>
    <w:p w:rsidR="0052290D" w:rsidRPr="0052290D" w:rsidRDefault="0052290D" w:rsidP="0052290D">
      <w:pPr>
        <w:pStyle w:val="NormalWeb"/>
        <w:spacing w:before="0" w:beforeAutospacing="0" w:after="0" w:afterAutospacing="0"/>
        <w:ind w:left="720"/>
        <w:rPr>
          <w:sz w:val="22"/>
          <w:szCs w:val="22"/>
        </w:rPr>
      </w:pPr>
      <w:r w:rsidRPr="0052290D">
        <w:rPr>
          <w:rFonts w:ascii="Calibri" w:hAnsi="Calibri"/>
          <w:sz w:val="22"/>
          <w:szCs w:val="22"/>
        </w:rPr>
        <w:t>a.     </w:t>
      </w:r>
      <w:r w:rsidRPr="0052290D">
        <w:rPr>
          <w:sz w:val="22"/>
          <w:szCs w:val="22"/>
        </w:rPr>
        <w:t xml:space="preserve"> </w:t>
      </w:r>
      <w:r w:rsidRPr="0052290D">
        <w:rPr>
          <w:rFonts w:ascii="Calibri" w:hAnsi="Calibri"/>
          <w:sz w:val="22"/>
          <w:szCs w:val="22"/>
        </w:rPr>
        <w:t>IDN Table format in XML, based on new</w:t>
      </w:r>
      <w:r w:rsidRPr="0052290D">
        <w:rPr>
          <w:sz w:val="22"/>
          <w:szCs w:val="22"/>
        </w:rPr>
        <w:t xml:space="preserve"> </w:t>
      </w:r>
      <w:r w:rsidRPr="0052290D">
        <w:rPr>
          <w:rFonts w:ascii="Calibri" w:hAnsi="Calibri"/>
          <w:sz w:val="22"/>
          <w:szCs w:val="22"/>
        </w:rPr>
        <w:t>LGR</w:t>
      </w:r>
      <w:r w:rsidRPr="0052290D">
        <w:rPr>
          <w:sz w:val="22"/>
          <w:szCs w:val="22"/>
        </w:rPr>
        <w:t xml:space="preserve"> </w:t>
      </w:r>
      <w:r w:rsidRPr="0052290D">
        <w:rPr>
          <w:rFonts w:ascii="Calibri" w:hAnsi="Calibri"/>
          <w:sz w:val="22"/>
          <w:szCs w:val="22"/>
        </w:rPr>
        <w:t>specifications being developed</w:t>
      </w:r>
      <w:r w:rsidRPr="0052290D">
        <w:rPr>
          <w:sz w:val="22"/>
          <w:szCs w:val="22"/>
        </w:rPr>
        <w:t xml:space="preserve"> </w:t>
      </w:r>
    </w:p>
    <w:p w:rsidR="0052290D" w:rsidRPr="0052290D" w:rsidRDefault="0052290D" w:rsidP="0052290D">
      <w:pPr>
        <w:pStyle w:val="NormalWeb"/>
        <w:spacing w:before="0" w:beforeAutospacing="0" w:after="0" w:afterAutospacing="0"/>
        <w:ind w:left="720"/>
        <w:rPr>
          <w:sz w:val="22"/>
          <w:szCs w:val="22"/>
        </w:rPr>
      </w:pPr>
      <w:r w:rsidRPr="0052290D">
        <w:rPr>
          <w:rFonts w:ascii="Calibri" w:hAnsi="Calibri"/>
          <w:sz w:val="22"/>
          <w:szCs w:val="22"/>
        </w:rPr>
        <w:t>b.     </w:t>
      </w:r>
      <w:r w:rsidRPr="0052290D">
        <w:rPr>
          <w:sz w:val="22"/>
          <w:szCs w:val="22"/>
        </w:rPr>
        <w:t xml:space="preserve"> </w:t>
      </w:r>
      <w:r w:rsidRPr="0052290D">
        <w:rPr>
          <w:rFonts w:ascii="Calibri" w:hAnsi="Calibri"/>
          <w:sz w:val="22"/>
          <w:szCs w:val="22"/>
        </w:rPr>
        <w:t>Role of reference</w:t>
      </w:r>
      <w:r w:rsidRPr="0052290D">
        <w:rPr>
          <w:sz w:val="22"/>
          <w:szCs w:val="22"/>
        </w:rPr>
        <w:t xml:space="preserve"> </w:t>
      </w:r>
      <w:r w:rsidRPr="0052290D">
        <w:rPr>
          <w:rFonts w:ascii="Calibri" w:hAnsi="Calibri"/>
          <w:sz w:val="22"/>
          <w:szCs w:val="22"/>
        </w:rPr>
        <w:t>second level</w:t>
      </w:r>
      <w:r w:rsidRPr="0052290D">
        <w:rPr>
          <w:sz w:val="22"/>
          <w:szCs w:val="22"/>
        </w:rPr>
        <w:t xml:space="preserve"> </w:t>
      </w:r>
      <w:r w:rsidRPr="0052290D">
        <w:rPr>
          <w:rFonts w:ascii="Calibri" w:hAnsi="Calibri"/>
          <w:sz w:val="22"/>
          <w:szCs w:val="22"/>
        </w:rPr>
        <w:t>tables in</w:t>
      </w:r>
      <w:r w:rsidRPr="0052290D">
        <w:rPr>
          <w:sz w:val="22"/>
          <w:szCs w:val="22"/>
        </w:rPr>
        <w:t xml:space="preserve"> </w:t>
      </w:r>
      <w:r w:rsidRPr="0052290D">
        <w:rPr>
          <w:rFonts w:ascii="Calibri" w:hAnsi="Calibri"/>
          <w:sz w:val="22"/>
          <w:szCs w:val="22"/>
        </w:rPr>
        <w:t>managing</w:t>
      </w:r>
      <w:r w:rsidRPr="0052290D">
        <w:rPr>
          <w:sz w:val="22"/>
          <w:szCs w:val="22"/>
        </w:rPr>
        <w:t xml:space="preserve"> </w:t>
      </w:r>
      <w:r w:rsidRPr="0052290D">
        <w:rPr>
          <w:rFonts w:ascii="Calibri" w:hAnsi="Calibri"/>
          <w:sz w:val="22"/>
          <w:szCs w:val="22"/>
        </w:rPr>
        <w:t>consistency and</w:t>
      </w:r>
      <w:r w:rsidRPr="0052290D">
        <w:rPr>
          <w:sz w:val="22"/>
          <w:szCs w:val="22"/>
        </w:rPr>
        <w:t xml:space="preserve"> </w:t>
      </w:r>
      <w:r w:rsidRPr="0052290D">
        <w:rPr>
          <w:rFonts w:ascii="Calibri" w:hAnsi="Calibri"/>
          <w:sz w:val="22"/>
          <w:szCs w:val="22"/>
        </w:rPr>
        <w:t>differences across TLDs</w:t>
      </w:r>
      <w:r w:rsidRPr="0052290D">
        <w:rPr>
          <w:sz w:val="22"/>
          <w:szCs w:val="22"/>
        </w:rPr>
        <w:t xml:space="preserve"> </w:t>
      </w:r>
      <w:r w:rsidRPr="0052290D">
        <w:rPr>
          <w:rFonts w:ascii="Calibri" w:hAnsi="Calibri"/>
          <w:sz w:val="22"/>
          <w:szCs w:val="22"/>
        </w:rPr>
        <w:t>for</w:t>
      </w:r>
      <w:r w:rsidRPr="0052290D">
        <w:rPr>
          <w:sz w:val="22"/>
          <w:szCs w:val="22"/>
        </w:rPr>
        <w:t xml:space="preserve"> </w:t>
      </w:r>
      <w:r w:rsidRPr="0052290D">
        <w:rPr>
          <w:rFonts w:ascii="Calibri" w:hAnsi="Calibri"/>
          <w:sz w:val="22"/>
          <w:szCs w:val="22"/>
        </w:rPr>
        <w:t>a predictable end-user</w:t>
      </w:r>
      <w:r w:rsidRPr="0052290D">
        <w:rPr>
          <w:sz w:val="22"/>
          <w:szCs w:val="22"/>
        </w:rPr>
        <w:t xml:space="preserve"> </w:t>
      </w:r>
      <w:r w:rsidRPr="0052290D">
        <w:rPr>
          <w:rFonts w:ascii="Calibri" w:hAnsi="Calibri"/>
          <w:sz w:val="22"/>
          <w:szCs w:val="22"/>
        </w:rPr>
        <w:t>experience</w:t>
      </w:r>
    </w:p>
    <w:p w:rsidR="0052290D" w:rsidRPr="0052290D" w:rsidRDefault="0052290D" w:rsidP="0052290D">
      <w:pPr>
        <w:pStyle w:val="NormalWeb"/>
        <w:spacing w:before="0" w:beforeAutospacing="0" w:after="0" w:afterAutospacing="0"/>
        <w:ind w:left="720"/>
        <w:rPr>
          <w:sz w:val="22"/>
          <w:szCs w:val="22"/>
        </w:rPr>
      </w:pPr>
      <w:r w:rsidRPr="0052290D">
        <w:rPr>
          <w:rFonts w:ascii="Calibri" w:hAnsi="Calibri"/>
          <w:sz w:val="22"/>
          <w:szCs w:val="22"/>
        </w:rPr>
        <w:t>c.     </w:t>
      </w:r>
      <w:r w:rsidRPr="0052290D">
        <w:rPr>
          <w:sz w:val="22"/>
          <w:szCs w:val="22"/>
        </w:rPr>
        <w:t xml:space="preserve"> </w:t>
      </w:r>
      <w:r w:rsidRPr="0052290D">
        <w:rPr>
          <w:rFonts w:ascii="Calibri" w:hAnsi="Calibri"/>
          <w:sz w:val="22"/>
          <w:szCs w:val="22"/>
        </w:rPr>
        <w:t>Relationship between language tables and script tables? Other categories (some languages but not entire script)?</w:t>
      </w:r>
    </w:p>
    <w:p w:rsidR="0052290D" w:rsidRPr="0052290D" w:rsidRDefault="0052290D" w:rsidP="0052290D">
      <w:pPr>
        <w:pStyle w:val="NormalWeb"/>
        <w:spacing w:before="0" w:beforeAutospacing="0" w:after="0" w:afterAutospacing="0"/>
        <w:ind w:left="720"/>
        <w:rPr>
          <w:sz w:val="22"/>
          <w:szCs w:val="22"/>
        </w:rPr>
      </w:pPr>
      <w:r w:rsidRPr="0052290D">
        <w:rPr>
          <w:rFonts w:ascii="Calibri" w:hAnsi="Calibri"/>
          <w:sz w:val="22"/>
          <w:szCs w:val="22"/>
        </w:rPr>
        <w:t>d.     </w:t>
      </w:r>
      <w:r w:rsidRPr="0052290D">
        <w:rPr>
          <w:sz w:val="22"/>
          <w:szCs w:val="22"/>
        </w:rPr>
        <w:t xml:space="preserve"> </w:t>
      </w:r>
      <w:r w:rsidRPr="0052290D">
        <w:rPr>
          <w:rFonts w:ascii="Calibri" w:hAnsi="Calibri"/>
          <w:sz w:val="22"/>
          <w:szCs w:val="22"/>
        </w:rPr>
        <w:t>Managing consistence across levels; </w:t>
      </w:r>
      <w:r w:rsidRPr="0052290D">
        <w:rPr>
          <w:sz w:val="22"/>
          <w:szCs w:val="22"/>
        </w:rPr>
        <w:t xml:space="preserve"> </w:t>
      </w:r>
      <w:r w:rsidRPr="0052290D">
        <w:rPr>
          <w:rFonts w:ascii="Calibri" w:hAnsi="Calibri"/>
          <w:sz w:val="22"/>
          <w:szCs w:val="22"/>
        </w:rPr>
        <w:t>relationship of Root Zone LGR and the second level IDN tables?</w:t>
      </w:r>
    </w:p>
    <w:p w:rsidR="0052290D" w:rsidRPr="0052290D" w:rsidRDefault="0052290D" w:rsidP="0052290D">
      <w:pPr>
        <w:pStyle w:val="NormalWeb"/>
        <w:spacing w:before="0" w:beforeAutospacing="0" w:after="0" w:afterAutospacing="0"/>
        <w:rPr>
          <w:sz w:val="22"/>
          <w:szCs w:val="22"/>
        </w:rPr>
      </w:pPr>
      <w:r w:rsidRPr="0052290D">
        <w:rPr>
          <w:rFonts w:ascii="Calibri" w:hAnsi="Calibri"/>
          <w:sz w:val="22"/>
          <w:szCs w:val="22"/>
        </w:rPr>
        <w:t>3.     </w:t>
      </w:r>
      <w:r w:rsidRPr="0052290D">
        <w:rPr>
          <w:sz w:val="22"/>
          <w:szCs w:val="22"/>
        </w:rPr>
        <w:t xml:space="preserve"> </w:t>
      </w:r>
      <w:r w:rsidRPr="0052290D">
        <w:rPr>
          <w:rFonts w:ascii="Calibri" w:hAnsi="Calibri"/>
          <w:sz w:val="22"/>
          <w:szCs w:val="22"/>
        </w:rPr>
        <w:t>Variants</w:t>
      </w:r>
    </w:p>
    <w:p w:rsidR="0052290D" w:rsidRPr="0052290D" w:rsidRDefault="0052290D" w:rsidP="0052290D">
      <w:pPr>
        <w:pStyle w:val="NormalWeb"/>
        <w:spacing w:before="0" w:beforeAutospacing="0" w:after="0" w:afterAutospacing="0"/>
        <w:ind w:left="720"/>
        <w:rPr>
          <w:sz w:val="22"/>
          <w:szCs w:val="22"/>
        </w:rPr>
      </w:pPr>
      <w:r w:rsidRPr="0052290D">
        <w:rPr>
          <w:rFonts w:ascii="Calibri" w:hAnsi="Calibri"/>
          <w:sz w:val="22"/>
          <w:szCs w:val="22"/>
        </w:rPr>
        <w:t>a.     </w:t>
      </w:r>
      <w:r w:rsidRPr="0052290D">
        <w:rPr>
          <w:sz w:val="22"/>
          <w:szCs w:val="22"/>
        </w:rPr>
        <w:t xml:space="preserve"> </w:t>
      </w:r>
      <w:r w:rsidRPr="0052290D">
        <w:rPr>
          <w:rFonts w:ascii="Calibri" w:hAnsi="Calibri"/>
          <w:sz w:val="22"/>
          <w:szCs w:val="22"/>
        </w:rPr>
        <w:t>Variant states</w:t>
      </w:r>
      <w:r w:rsidRPr="0052290D">
        <w:rPr>
          <w:sz w:val="22"/>
          <w:szCs w:val="22"/>
        </w:rPr>
        <w:t xml:space="preserve"> </w:t>
      </w:r>
      <w:r w:rsidRPr="0052290D">
        <w:rPr>
          <w:rFonts w:ascii="Calibri" w:hAnsi="Calibri"/>
          <w:sz w:val="22"/>
          <w:szCs w:val="22"/>
        </w:rPr>
        <w:t>(number and nomenclature)</w:t>
      </w:r>
      <w:r w:rsidRPr="0052290D">
        <w:rPr>
          <w:sz w:val="22"/>
          <w:szCs w:val="22"/>
        </w:rPr>
        <w:t xml:space="preserve"> </w:t>
      </w:r>
      <w:r w:rsidRPr="0052290D">
        <w:rPr>
          <w:rFonts w:ascii="Calibri" w:hAnsi="Calibri"/>
          <w:sz w:val="22"/>
          <w:szCs w:val="22"/>
        </w:rPr>
        <w:t>and state-change mechanisms (e.g. blocked, allocatable, allocated, reserved, etc.)</w:t>
      </w:r>
    </w:p>
    <w:p w:rsidR="0052290D" w:rsidRPr="0052290D" w:rsidRDefault="0052290D" w:rsidP="0052290D">
      <w:pPr>
        <w:pStyle w:val="NormalWeb"/>
        <w:spacing w:before="0" w:beforeAutospacing="0" w:after="0" w:afterAutospacing="0"/>
        <w:ind w:left="720"/>
        <w:rPr>
          <w:sz w:val="22"/>
          <w:szCs w:val="22"/>
        </w:rPr>
      </w:pPr>
      <w:r w:rsidRPr="0052290D">
        <w:rPr>
          <w:rFonts w:ascii="Calibri" w:hAnsi="Calibri"/>
          <w:sz w:val="22"/>
          <w:szCs w:val="22"/>
        </w:rPr>
        <w:t>b.     </w:t>
      </w:r>
      <w:r w:rsidRPr="0052290D">
        <w:rPr>
          <w:sz w:val="22"/>
          <w:szCs w:val="22"/>
        </w:rPr>
        <w:t xml:space="preserve"> </w:t>
      </w:r>
      <w:r w:rsidRPr="0052290D">
        <w:rPr>
          <w:rFonts w:ascii="Calibri" w:hAnsi="Calibri"/>
          <w:sz w:val="22"/>
          <w:szCs w:val="22"/>
        </w:rPr>
        <w:t>Primary vs. secondary variants in Chinese</w:t>
      </w:r>
      <w:r w:rsidRPr="0052290D">
        <w:rPr>
          <w:sz w:val="22"/>
          <w:szCs w:val="22"/>
        </w:rPr>
        <w:t xml:space="preserve"> </w:t>
      </w:r>
      <w:r w:rsidRPr="0052290D">
        <w:rPr>
          <w:rFonts w:ascii="Calibri" w:hAnsi="Calibri"/>
          <w:sz w:val="22"/>
          <w:szCs w:val="22"/>
        </w:rPr>
        <w:t>language</w:t>
      </w:r>
      <w:r w:rsidRPr="0052290D">
        <w:rPr>
          <w:sz w:val="22"/>
          <w:szCs w:val="22"/>
        </w:rPr>
        <w:t xml:space="preserve"> </w:t>
      </w:r>
      <w:r w:rsidRPr="0052290D">
        <w:rPr>
          <w:rFonts w:ascii="Calibri" w:hAnsi="Calibri"/>
          <w:sz w:val="22"/>
          <w:szCs w:val="22"/>
        </w:rPr>
        <w:t>(other scripts or languages?)</w:t>
      </w:r>
    </w:p>
    <w:p w:rsidR="0052290D" w:rsidRPr="0052290D" w:rsidRDefault="0052290D" w:rsidP="0052290D">
      <w:pPr>
        <w:pStyle w:val="NormalWeb"/>
        <w:spacing w:before="0" w:beforeAutospacing="0" w:after="0" w:afterAutospacing="0"/>
        <w:ind w:left="720"/>
        <w:rPr>
          <w:sz w:val="22"/>
          <w:szCs w:val="22"/>
        </w:rPr>
      </w:pPr>
      <w:r w:rsidRPr="0052290D">
        <w:rPr>
          <w:rFonts w:ascii="Calibri" w:hAnsi="Calibri"/>
          <w:sz w:val="22"/>
          <w:szCs w:val="22"/>
        </w:rPr>
        <w:t>c.     </w:t>
      </w:r>
      <w:r w:rsidRPr="0052290D">
        <w:rPr>
          <w:sz w:val="22"/>
          <w:szCs w:val="22"/>
        </w:rPr>
        <w:t xml:space="preserve"> </w:t>
      </w:r>
      <w:r w:rsidRPr="0052290D">
        <w:rPr>
          <w:rFonts w:ascii="Calibri" w:hAnsi="Calibri"/>
          <w:sz w:val="22"/>
          <w:szCs w:val="22"/>
        </w:rPr>
        <w:t>Policy for activating variants</w:t>
      </w:r>
    </w:p>
    <w:p w:rsidR="0052290D" w:rsidRPr="0052290D" w:rsidRDefault="0052290D" w:rsidP="0052290D">
      <w:pPr>
        <w:pStyle w:val="NormalWeb"/>
        <w:spacing w:before="0" w:beforeAutospacing="0" w:after="0" w:afterAutospacing="0"/>
        <w:ind w:left="1440"/>
        <w:rPr>
          <w:sz w:val="22"/>
          <w:szCs w:val="22"/>
        </w:rPr>
      </w:pPr>
      <w:r w:rsidRPr="0052290D">
        <w:rPr>
          <w:rFonts w:ascii="Calibri" w:hAnsi="Calibri"/>
          <w:sz w:val="22"/>
          <w:szCs w:val="22"/>
        </w:rPr>
        <w:t>i.     </w:t>
      </w:r>
      <w:r w:rsidRPr="0052290D">
        <w:rPr>
          <w:sz w:val="22"/>
          <w:szCs w:val="22"/>
        </w:rPr>
        <w:t xml:space="preserve"> </w:t>
      </w:r>
      <w:r w:rsidRPr="0052290D">
        <w:rPr>
          <w:rFonts w:ascii="Calibri" w:hAnsi="Calibri"/>
          <w:sz w:val="22"/>
          <w:szCs w:val="22"/>
        </w:rPr>
        <w:t xml:space="preserve">Automatic or registrant requested allocation </w:t>
      </w:r>
    </w:p>
    <w:p w:rsidR="0052290D" w:rsidRPr="0052290D" w:rsidRDefault="0052290D" w:rsidP="0052290D">
      <w:pPr>
        <w:pStyle w:val="NormalWeb"/>
        <w:spacing w:before="0" w:beforeAutospacing="0" w:after="0" w:afterAutospacing="0"/>
        <w:ind w:left="2160"/>
        <w:rPr>
          <w:sz w:val="22"/>
          <w:szCs w:val="22"/>
        </w:rPr>
      </w:pPr>
      <w:r w:rsidRPr="0052290D">
        <w:rPr>
          <w:rFonts w:ascii="Calibri" w:hAnsi="Calibri"/>
          <w:sz w:val="22"/>
          <w:szCs w:val="22"/>
        </w:rPr>
        <w:t>1.     </w:t>
      </w:r>
      <w:r w:rsidRPr="0052290D">
        <w:rPr>
          <w:sz w:val="22"/>
          <w:szCs w:val="22"/>
        </w:rPr>
        <w:t xml:space="preserve"> </w:t>
      </w:r>
      <w:r w:rsidRPr="0052290D">
        <w:rPr>
          <w:rFonts w:ascii="Calibri" w:hAnsi="Calibri"/>
          <w:sz w:val="22"/>
          <w:szCs w:val="22"/>
        </w:rPr>
        <w:t>Automatic activation of variant labels at second level for Chinese language domain names</w:t>
      </w:r>
    </w:p>
    <w:p w:rsidR="0052290D" w:rsidRPr="0052290D" w:rsidRDefault="0052290D" w:rsidP="0052290D">
      <w:pPr>
        <w:pStyle w:val="NormalWeb"/>
        <w:spacing w:before="0" w:beforeAutospacing="0" w:after="0" w:afterAutospacing="0"/>
        <w:ind w:left="1440"/>
        <w:rPr>
          <w:sz w:val="22"/>
          <w:szCs w:val="22"/>
        </w:rPr>
      </w:pPr>
      <w:r w:rsidRPr="0052290D">
        <w:rPr>
          <w:rFonts w:ascii="Calibri" w:hAnsi="Calibri"/>
          <w:sz w:val="22"/>
          <w:szCs w:val="22"/>
        </w:rPr>
        <w:t>ii.    </w:t>
      </w:r>
      <w:r w:rsidRPr="0052290D">
        <w:rPr>
          <w:sz w:val="22"/>
          <w:szCs w:val="22"/>
        </w:rPr>
        <w:t xml:space="preserve"> </w:t>
      </w:r>
      <w:r w:rsidRPr="0052290D">
        <w:rPr>
          <w:rFonts w:ascii="Calibri" w:hAnsi="Calibri"/>
          <w:sz w:val="22"/>
          <w:szCs w:val="22"/>
        </w:rPr>
        <w:t>Minimum and Maximum</w:t>
      </w:r>
      <w:r w:rsidRPr="0052290D">
        <w:rPr>
          <w:sz w:val="22"/>
          <w:szCs w:val="22"/>
        </w:rPr>
        <w:t xml:space="preserve"> </w:t>
      </w:r>
      <w:r w:rsidRPr="0052290D">
        <w:rPr>
          <w:rFonts w:ascii="Calibri" w:hAnsi="Calibri"/>
          <w:sz w:val="22"/>
          <w:szCs w:val="22"/>
        </w:rPr>
        <w:t>number of allocated variants/Ceiling value?</w:t>
      </w:r>
      <w:r w:rsidRPr="0052290D">
        <w:rPr>
          <w:sz w:val="22"/>
          <w:szCs w:val="22"/>
        </w:rPr>
        <w:t xml:space="preserve"> </w:t>
      </w:r>
    </w:p>
    <w:p w:rsidR="0052290D" w:rsidRPr="0052290D" w:rsidRDefault="0052290D" w:rsidP="0052290D">
      <w:pPr>
        <w:pStyle w:val="NormalWeb"/>
        <w:spacing w:before="0" w:beforeAutospacing="0" w:after="0" w:afterAutospacing="0"/>
        <w:ind w:left="1440"/>
        <w:rPr>
          <w:sz w:val="22"/>
          <w:szCs w:val="22"/>
        </w:rPr>
      </w:pPr>
      <w:r w:rsidRPr="0052290D">
        <w:rPr>
          <w:rFonts w:ascii="Calibri" w:hAnsi="Calibri"/>
          <w:sz w:val="22"/>
          <w:szCs w:val="22"/>
        </w:rPr>
        <w:t>iii.   </w:t>
      </w:r>
      <w:r w:rsidRPr="0052290D">
        <w:rPr>
          <w:sz w:val="22"/>
          <w:szCs w:val="22"/>
        </w:rPr>
        <w:t xml:space="preserve"> </w:t>
      </w:r>
      <w:r w:rsidRPr="0052290D">
        <w:rPr>
          <w:rFonts w:ascii="Calibri" w:hAnsi="Calibri"/>
          <w:sz w:val="22"/>
          <w:szCs w:val="22"/>
        </w:rPr>
        <w:t>Choosing which variants may be activated</w:t>
      </w:r>
    </w:p>
    <w:p w:rsidR="0052290D" w:rsidRPr="0052290D" w:rsidRDefault="0052290D" w:rsidP="0052290D">
      <w:pPr>
        <w:pStyle w:val="NormalWeb"/>
        <w:spacing w:before="0" w:beforeAutospacing="0" w:after="0" w:afterAutospacing="0"/>
        <w:ind w:left="720"/>
        <w:rPr>
          <w:sz w:val="22"/>
          <w:szCs w:val="22"/>
        </w:rPr>
      </w:pPr>
      <w:r w:rsidRPr="0052290D">
        <w:rPr>
          <w:rFonts w:ascii="Calibri" w:hAnsi="Calibri"/>
          <w:sz w:val="22"/>
          <w:szCs w:val="22"/>
        </w:rPr>
        <w:t>d.     </w:t>
      </w:r>
      <w:r w:rsidRPr="0052290D">
        <w:rPr>
          <w:sz w:val="22"/>
          <w:szCs w:val="22"/>
        </w:rPr>
        <w:t xml:space="preserve"> </w:t>
      </w:r>
      <w:r w:rsidRPr="0052290D">
        <w:rPr>
          <w:rFonts w:ascii="Calibri" w:hAnsi="Calibri"/>
          <w:sz w:val="22"/>
          <w:szCs w:val="22"/>
        </w:rPr>
        <w:t>Variants at second level must(?) be allocated to the same registrant? </w:t>
      </w:r>
      <w:r w:rsidRPr="0052290D">
        <w:rPr>
          <w:sz w:val="22"/>
          <w:szCs w:val="22"/>
        </w:rPr>
        <w:t xml:space="preserve"> </w:t>
      </w:r>
    </w:p>
    <w:p w:rsidR="0052290D" w:rsidRPr="0052290D" w:rsidRDefault="0052290D" w:rsidP="0052290D">
      <w:pPr>
        <w:pStyle w:val="NormalWeb"/>
        <w:spacing w:before="0" w:beforeAutospacing="0" w:after="0" w:afterAutospacing="0"/>
        <w:ind w:left="720"/>
        <w:rPr>
          <w:sz w:val="22"/>
          <w:szCs w:val="22"/>
        </w:rPr>
      </w:pPr>
      <w:r w:rsidRPr="0052290D">
        <w:rPr>
          <w:rFonts w:ascii="Calibri" w:hAnsi="Calibri"/>
          <w:sz w:val="22"/>
          <w:szCs w:val="22"/>
        </w:rPr>
        <w:t>e.     </w:t>
      </w:r>
      <w:r w:rsidRPr="0052290D">
        <w:rPr>
          <w:sz w:val="22"/>
          <w:szCs w:val="22"/>
        </w:rPr>
        <w:t xml:space="preserve"> </w:t>
      </w:r>
      <w:r w:rsidRPr="0052290D">
        <w:rPr>
          <w:rFonts w:ascii="Calibri" w:hAnsi="Calibri"/>
          <w:sz w:val="22"/>
          <w:szCs w:val="22"/>
        </w:rPr>
        <w:t>Implication of second level variants on TMCH</w:t>
      </w:r>
    </w:p>
    <w:p w:rsidR="0052290D" w:rsidRPr="0052290D" w:rsidRDefault="0052290D" w:rsidP="0052290D">
      <w:pPr>
        <w:pStyle w:val="NormalWeb"/>
        <w:spacing w:before="0" w:beforeAutospacing="0" w:after="0" w:afterAutospacing="0"/>
        <w:rPr>
          <w:sz w:val="22"/>
          <w:szCs w:val="22"/>
        </w:rPr>
      </w:pPr>
      <w:r w:rsidRPr="0052290D">
        <w:rPr>
          <w:rFonts w:ascii="Calibri" w:hAnsi="Calibri"/>
          <w:sz w:val="22"/>
          <w:szCs w:val="22"/>
        </w:rPr>
        <w:t>4.     </w:t>
      </w:r>
      <w:r w:rsidRPr="0052290D">
        <w:rPr>
          <w:sz w:val="22"/>
          <w:szCs w:val="22"/>
        </w:rPr>
        <w:t xml:space="preserve"> </w:t>
      </w:r>
      <w:r w:rsidRPr="0052290D">
        <w:rPr>
          <w:rFonts w:ascii="Calibri" w:hAnsi="Calibri"/>
          <w:sz w:val="22"/>
          <w:szCs w:val="22"/>
        </w:rPr>
        <w:t>Similarity/Confusability of labels</w:t>
      </w:r>
    </w:p>
    <w:p w:rsidR="0052290D" w:rsidRPr="0052290D" w:rsidRDefault="0052290D" w:rsidP="0052290D">
      <w:pPr>
        <w:pStyle w:val="NormalWeb"/>
        <w:spacing w:before="0" w:beforeAutospacing="0" w:after="0" w:afterAutospacing="0"/>
        <w:ind w:left="720"/>
        <w:rPr>
          <w:sz w:val="22"/>
          <w:szCs w:val="22"/>
        </w:rPr>
      </w:pPr>
      <w:r w:rsidRPr="0052290D">
        <w:rPr>
          <w:rFonts w:ascii="Calibri" w:hAnsi="Calibri"/>
          <w:sz w:val="22"/>
          <w:szCs w:val="22"/>
        </w:rPr>
        <w:t>a.     </w:t>
      </w:r>
      <w:r w:rsidRPr="0052290D">
        <w:rPr>
          <w:sz w:val="22"/>
          <w:szCs w:val="22"/>
        </w:rPr>
        <w:t xml:space="preserve"> </w:t>
      </w:r>
      <w:r w:rsidRPr="0052290D">
        <w:rPr>
          <w:rFonts w:ascii="Calibri" w:hAnsi="Calibri"/>
          <w:sz w:val="22"/>
          <w:szCs w:val="22"/>
        </w:rPr>
        <w:t>Homographic issues within script</w:t>
      </w:r>
    </w:p>
    <w:p w:rsidR="0052290D" w:rsidRPr="0052290D" w:rsidRDefault="0052290D" w:rsidP="0052290D">
      <w:pPr>
        <w:pStyle w:val="NormalWeb"/>
        <w:spacing w:before="0" w:beforeAutospacing="0" w:after="0" w:afterAutospacing="0"/>
        <w:ind w:left="1440"/>
        <w:rPr>
          <w:sz w:val="22"/>
          <w:szCs w:val="22"/>
        </w:rPr>
      </w:pPr>
      <w:r w:rsidRPr="0052290D">
        <w:rPr>
          <w:rFonts w:ascii="Calibri" w:hAnsi="Calibri"/>
          <w:sz w:val="22"/>
          <w:szCs w:val="22"/>
        </w:rPr>
        <w:t>i.     </w:t>
      </w:r>
      <w:r w:rsidRPr="0052290D">
        <w:rPr>
          <w:sz w:val="22"/>
          <w:szCs w:val="22"/>
        </w:rPr>
        <w:t xml:space="preserve"> </w:t>
      </w:r>
      <w:r w:rsidRPr="0052290D">
        <w:rPr>
          <w:rFonts w:ascii="Calibri" w:hAnsi="Calibri"/>
          <w:sz w:val="22"/>
          <w:szCs w:val="22"/>
        </w:rPr>
        <w:t>General homographic issues within a script</w:t>
      </w:r>
    </w:p>
    <w:p w:rsidR="0052290D" w:rsidRPr="0052290D" w:rsidRDefault="0052290D" w:rsidP="0052290D">
      <w:pPr>
        <w:pStyle w:val="NormalWeb"/>
        <w:spacing w:before="0" w:beforeAutospacing="0" w:after="0" w:afterAutospacing="0"/>
        <w:ind w:left="1440"/>
        <w:rPr>
          <w:sz w:val="22"/>
          <w:szCs w:val="22"/>
        </w:rPr>
      </w:pPr>
      <w:r w:rsidRPr="0052290D">
        <w:rPr>
          <w:rFonts w:ascii="Calibri" w:hAnsi="Calibri"/>
          <w:sz w:val="22"/>
          <w:szCs w:val="22"/>
        </w:rPr>
        <w:t>ii.    </w:t>
      </w:r>
      <w:r w:rsidRPr="0052290D">
        <w:rPr>
          <w:sz w:val="22"/>
          <w:szCs w:val="22"/>
        </w:rPr>
        <w:t xml:space="preserve"> </w:t>
      </w:r>
      <w:r w:rsidRPr="0052290D">
        <w:rPr>
          <w:rFonts w:ascii="Calibri" w:hAnsi="Calibri"/>
          <w:sz w:val="22"/>
          <w:szCs w:val="22"/>
        </w:rPr>
        <w:t>Scope of confusability: upper</w:t>
      </w:r>
      <w:r w:rsidRPr="0052290D">
        <w:rPr>
          <w:sz w:val="22"/>
          <w:szCs w:val="22"/>
        </w:rPr>
        <w:t xml:space="preserve"> </w:t>
      </w:r>
      <w:r w:rsidRPr="0052290D">
        <w:rPr>
          <w:rFonts w:ascii="Calibri" w:hAnsi="Calibri"/>
          <w:sz w:val="22"/>
          <w:szCs w:val="22"/>
        </w:rPr>
        <w:t>to lower case mapping</w:t>
      </w:r>
      <w:r w:rsidRPr="0052290D">
        <w:rPr>
          <w:sz w:val="22"/>
          <w:szCs w:val="22"/>
        </w:rPr>
        <w:t xml:space="preserve"> </w:t>
      </w:r>
    </w:p>
    <w:p w:rsidR="0052290D" w:rsidRPr="0052290D" w:rsidRDefault="0052290D" w:rsidP="0052290D">
      <w:pPr>
        <w:pStyle w:val="NormalWeb"/>
        <w:spacing w:before="0" w:beforeAutospacing="0" w:after="0" w:afterAutospacing="0"/>
        <w:ind w:left="720"/>
        <w:rPr>
          <w:sz w:val="22"/>
          <w:szCs w:val="22"/>
        </w:rPr>
      </w:pPr>
      <w:r w:rsidRPr="0052290D">
        <w:rPr>
          <w:rFonts w:ascii="Calibri" w:hAnsi="Calibri"/>
          <w:sz w:val="22"/>
          <w:szCs w:val="22"/>
        </w:rPr>
        <w:t>b.     </w:t>
      </w:r>
      <w:r w:rsidRPr="0052290D">
        <w:rPr>
          <w:sz w:val="22"/>
          <w:szCs w:val="22"/>
        </w:rPr>
        <w:t xml:space="preserve"> </w:t>
      </w:r>
      <w:r w:rsidRPr="0052290D">
        <w:rPr>
          <w:rFonts w:ascii="Calibri" w:hAnsi="Calibri"/>
          <w:sz w:val="22"/>
          <w:szCs w:val="22"/>
        </w:rPr>
        <w:t>Cross-script</w:t>
      </w:r>
      <w:r w:rsidRPr="0052290D">
        <w:rPr>
          <w:sz w:val="22"/>
          <w:szCs w:val="22"/>
        </w:rPr>
        <w:t xml:space="preserve"> </w:t>
      </w:r>
      <w:r w:rsidRPr="0052290D">
        <w:rPr>
          <w:rFonts w:ascii="Calibri" w:hAnsi="Calibri"/>
          <w:sz w:val="22"/>
          <w:szCs w:val="22"/>
        </w:rPr>
        <w:t>homoglyphs</w:t>
      </w:r>
      <w:r w:rsidRPr="0052290D">
        <w:rPr>
          <w:sz w:val="22"/>
          <w:szCs w:val="22"/>
        </w:rPr>
        <w:t xml:space="preserve"> </w:t>
      </w:r>
      <w:r w:rsidRPr="0052290D">
        <w:rPr>
          <w:rFonts w:ascii="Calibri" w:hAnsi="Calibri"/>
          <w:sz w:val="22"/>
          <w:szCs w:val="22"/>
        </w:rPr>
        <w:t>management to prevent</w:t>
      </w:r>
      <w:r w:rsidRPr="0052290D">
        <w:rPr>
          <w:sz w:val="22"/>
          <w:szCs w:val="22"/>
        </w:rPr>
        <w:t xml:space="preserve"> </w:t>
      </w:r>
      <w:r w:rsidRPr="0052290D">
        <w:rPr>
          <w:rFonts w:ascii="Calibri" w:hAnsi="Calibri"/>
          <w:sz w:val="22"/>
          <w:szCs w:val="22"/>
        </w:rPr>
        <w:t>phishing possibilities– cox.com, where “cox” can be in Latin or Greek or Cyrillic</w:t>
      </w:r>
    </w:p>
    <w:p w:rsidR="0052290D" w:rsidRPr="0052290D" w:rsidRDefault="0052290D" w:rsidP="0052290D">
      <w:pPr>
        <w:pStyle w:val="NormalWeb"/>
        <w:spacing w:before="0" w:beforeAutospacing="0" w:after="0" w:afterAutospacing="0"/>
        <w:ind w:left="1440"/>
        <w:rPr>
          <w:sz w:val="22"/>
          <w:szCs w:val="22"/>
        </w:rPr>
      </w:pPr>
      <w:r w:rsidRPr="0052290D">
        <w:rPr>
          <w:rFonts w:ascii="Calibri" w:hAnsi="Calibri"/>
          <w:sz w:val="22"/>
          <w:szCs w:val="22"/>
        </w:rPr>
        <w:t>i.     </w:t>
      </w:r>
      <w:r w:rsidRPr="0052290D">
        <w:rPr>
          <w:sz w:val="22"/>
          <w:szCs w:val="22"/>
        </w:rPr>
        <w:t xml:space="preserve"> </w:t>
      </w:r>
      <w:r w:rsidRPr="0052290D">
        <w:rPr>
          <w:rFonts w:ascii="Calibri" w:hAnsi="Calibri"/>
          <w:sz w:val="22"/>
          <w:szCs w:val="22"/>
        </w:rPr>
        <w:t>Script mixing within a second level label</w:t>
      </w:r>
    </w:p>
    <w:p w:rsidR="0052290D" w:rsidRPr="0052290D" w:rsidRDefault="0052290D" w:rsidP="0052290D">
      <w:pPr>
        <w:pStyle w:val="NormalWeb"/>
        <w:spacing w:before="0" w:beforeAutospacing="0" w:after="0" w:afterAutospacing="0"/>
        <w:ind w:left="1440"/>
        <w:rPr>
          <w:sz w:val="22"/>
          <w:szCs w:val="22"/>
        </w:rPr>
      </w:pPr>
      <w:r w:rsidRPr="0052290D">
        <w:rPr>
          <w:rFonts w:ascii="Calibri" w:hAnsi="Calibri"/>
          <w:sz w:val="22"/>
          <w:szCs w:val="22"/>
        </w:rPr>
        <w:t>ii.    </w:t>
      </w:r>
      <w:r w:rsidRPr="0052290D">
        <w:rPr>
          <w:sz w:val="22"/>
          <w:szCs w:val="22"/>
        </w:rPr>
        <w:t xml:space="preserve"> </w:t>
      </w:r>
      <w:r w:rsidRPr="0052290D">
        <w:rPr>
          <w:rFonts w:ascii="Calibri" w:hAnsi="Calibri"/>
          <w:sz w:val="22"/>
          <w:szCs w:val="22"/>
        </w:rPr>
        <w:t>Script mixing across levels</w:t>
      </w:r>
      <w:r w:rsidRPr="0052290D">
        <w:rPr>
          <w:sz w:val="22"/>
          <w:szCs w:val="22"/>
        </w:rPr>
        <w:t xml:space="preserve"> </w:t>
      </w:r>
    </w:p>
    <w:p w:rsidR="0052290D" w:rsidRPr="0052290D" w:rsidRDefault="0052290D" w:rsidP="0052290D">
      <w:pPr>
        <w:pStyle w:val="NormalWeb"/>
        <w:spacing w:before="0" w:beforeAutospacing="0" w:after="0" w:afterAutospacing="0"/>
        <w:ind w:left="1440"/>
        <w:rPr>
          <w:sz w:val="22"/>
          <w:szCs w:val="22"/>
        </w:rPr>
      </w:pPr>
      <w:r w:rsidRPr="0052290D">
        <w:rPr>
          <w:rFonts w:ascii="Calibri" w:hAnsi="Calibri"/>
          <w:sz w:val="22"/>
          <w:szCs w:val="22"/>
        </w:rPr>
        <w:t>iii.   </w:t>
      </w:r>
      <w:r w:rsidRPr="0052290D">
        <w:rPr>
          <w:sz w:val="22"/>
          <w:szCs w:val="22"/>
        </w:rPr>
        <w:t xml:space="preserve"> </w:t>
      </w:r>
      <w:r w:rsidRPr="0052290D">
        <w:rPr>
          <w:rFonts w:ascii="Calibri" w:hAnsi="Calibri"/>
          <w:sz w:val="22"/>
          <w:szCs w:val="22"/>
        </w:rPr>
        <w:t>Scope of confusability: upper</w:t>
      </w:r>
      <w:r w:rsidRPr="0052290D">
        <w:rPr>
          <w:sz w:val="22"/>
          <w:szCs w:val="22"/>
        </w:rPr>
        <w:t xml:space="preserve"> </w:t>
      </w:r>
      <w:r w:rsidRPr="0052290D">
        <w:rPr>
          <w:rFonts w:ascii="Calibri" w:hAnsi="Calibri"/>
          <w:sz w:val="22"/>
          <w:szCs w:val="22"/>
        </w:rPr>
        <w:t>to lower case mapping</w:t>
      </w:r>
    </w:p>
    <w:p w:rsidR="0052290D" w:rsidRPr="0052290D" w:rsidRDefault="0052290D" w:rsidP="0052290D">
      <w:pPr>
        <w:pStyle w:val="NormalWeb"/>
        <w:spacing w:before="0" w:beforeAutospacing="0" w:after="0" w:afterAutospacing="0"/>
        <w:ind w:left="1440"/>
        <w:rPr>
          <w:sz w:val="22"/>
          <w:szCs w:val="22"/>
        </w:rPr>
      </w:pPr>
      <w:r w:rsidRPr="0052290D">
        <w:rPr>
          <w:rFonts w:ascii="Calibri" w:hAnsi="Calibri"/>
          <w:sz w:val="22"/>
          <w:szCs w:val="22"/>
        </w:rPr>
        <w:t>iv.    </w:t>
      </w:r>
      <w:r w:rsidRPr="0052290D">
        <w:rPr>
          <w:sz w:val="22"/>
          <w:szCs w:val="22"/>
        </w:rPr>
        <w:t xml:space="preserve"> </w:t>
      </w:r>
      <w:r w:rsidRPr="0052290D">
        <w:rPr>
          <w:rFonts w:ascii="Calibri" w:hAnsi="Calibri"/>
          <w:sz w:val="22"/>
          <w:szCs w:val="22"/>
        </w:rPr>
        <w:t>Is ASCII a special case for mixing?</w:t>
      </w:r>
    </w:p>
    <w:p w:rsidR="0052290D" w:rsidRPr="0052290D" w:rsidRDefault="0052290D" w:rsidP="0052290D">
      <w:pPr>
        <w:pStyle w:val="NormalWeb"/>
        <w:spacing w:before="0" w:beforeAutospacing="0" w:after="0" w:afterAutospacing="0"/>
        <w:rPr>
          <w:sz w:val="22"/>
          <w:szCs w:val="22"/>
        </w:rPr>
      </w:pPr>
      <w:r w:rsidRPr="0052290D">
        <w:rPr>
          <w:rFonts w:ascii="Calibri" w:hAnsi="Calibri"/>
          <w:sz w:val="22"/>
          <w:szCs w:val="22"/>
        </w:rPr>
        <w:t>5.     </w:t>
      </w:r>
      <w:r w:rsidRPr="0052290D">
        <w:rPr>
          <w:sz w:val="22"/>
          <w:szCs w:val="22"/>
        </w:rPr>
        <w:t xml:space="preserve"> </w:t>
      </w:r>
      <w:r w:rsidRPr="0052290D">
        <w:rPr>
          <w:rFonts w:ascii="Calibri" w:hAnsi="Calibri"/>
          <w:sz w:val="22"/>
          <w:szCs w:val="22"/>
        </w:rPr>
        <w:t>Registration data</w:t>
      </w:r>
      <w:r w:rsidRPr="0052290D">
        <w:rPr>
          <w:sz w:val="22"/>
          <w:szCs w:val="22"/>
        </w:rPr>
        <w:t xml:space="preserve"> </w:t>
      </w:r>
    </w:p>
    <w:p w:rsidR="0052290D" w:rsidRPr="0052290D" w:rsidRDefault="0052290D" w:rsidP="0052290D">
      <w:pPr>
        <w:pStyle w:val="NormalWeb"/>
        <w:spacing w:before="0" w:beforeAutospacing="0" w:after="0" w:afterAutospacing="0"/>
        <w:ind w:left="720"/>
        <w:rPr>
          <w:sz w:val="22"/>
          <w:szCs w:val="22"/>
        </w:rPr>
      </w:pPr>
      <w:r w:rsidRPr="0052290D">
        <w:rPr>
          <w:rFonts w:ascii="Calibri" w:hAnsi="Calibri"/>
          <w:sz w:val="22"/>
          <w:szCs w:val="22"/>
        </w:rPr>
        <w:t>a.     </w:t>
      </w:r>
      <w:r w:rsidRPr="0052290D">
        <w:rPr>
          <w:sz w:val="22"/>
          <w:szCs w:val="22"/>
        </w:rPr>
        <w:t xml:space="preserve"> </w:t>
      </w:r>
      <w:r w:rsidRPr="0052290D">
        <w:rPr>
          <w:rFonts w:ascii="Calibri" w:hAnsi="Calibri"/>
          <w:sz w:val="22"/>
          <w:szCs w:val="22"/>
        </w:rPr>
        <w:t>Registration data for IDNs</w:t>
      </w:r>
    </w:p>
    <w:p w:rsidR="0052290D" w:rsidRPr="0052290D" w:rsidRDefault="0052290D" w:rsidP="0052290D">
      <w:pPr>
        <w:pStyle w:val="NormalWeb"/>
        <w:spacing w:before="0" w:beforeAutospacing="0" w:after="0" w:afterAutospacing="0"/>
        <w:ind w:left="720"/>
        <w:rPr>
          <w:rFonts w:ascii="Calibri" w:hAnsi="Calibri"/>
          <w:sz w:val="22"/>
          <w:szCs w:val="22"/>
        </w:rPr>
      </w:pPr>
      <w:r w:rsidRPr="0052290D">
        <w:rPr>
          <w:rFonts w:ascii="Calibri" w:hAnsi="Calibri"/>
          <w:sz w:val="22"/>
          <w:szCs w:val="22"/>
        </w:rPr>
        <w:t>b.     </w:t>
      </w:r>
      <w:r w:rsidRPr="0052290D">
        <w:rPr>
          <w:sz w:val="22"/>
          <w:szCs w:val="22"/>
        </w:rPr>
        <w:t xml:space="preserve"> </w:t>
      </w:r>
      <w:r w:rsidRPr="0052290D">
        <w:rPr>
          <w:rFonts w:ascii="Calibri" w:hAnsi="Calibri"/>
          <w:sz w:val="22"/>
          <w:szCs w:val="22"/>
        </w:rPr>
        <w:t>Registration data</w:t>
      </w:r>
      <w:r w:rsidRPr="0052290D">
        <w:rPr>
          <w:sz w:val="22"/>
          <w:szCs w:val="22"/>
        </w:rPr>
        <w:t xml:space="preserve"> </w:t>
      </w:r>
      <w:r w:rsidRPr="0052290D">
        <w:rPr>
          <w:rFonts w:ascii="Calibri" w:hAnsi="Calibri"/>
          <w:sz w:val="22"/>
          <w:szCs w:val="22"/>
        </w:rPr>
        <w:t>of variants – information regarding variant sets and variant label disposition(s)</w:t>
      </w:r>
    </w:p>
    <w:p w:rsidR="0052290D" w:rsidRDefault="0052290D" w:rsidP="00CE15DD"/>
    <w:sectPr w:rsidR="005229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5FD" w:rsidRDefault="00B335FD" w:rsidP="00876CE6">
      <w:pPr>
        <w:spacing w:after="0" w:line="240" w:lineRule="auto"/>
      </w:pPr>
      <w:r>
        <w:separator/>
      </w:r>
    </w:p>
  </w:endnote>
  <w:endnote w:type="continuationSeparator" w:id="0">
    <w:p w:rsidR="00B335FD" w:rsidRDefault="00B335FD" w:rsidP="00876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5FD" w:rsidRDefault="00B335FD" w:rsidP="00876CE6">
      <w:pPr>
        <w:spacing w:after="0" w:line="240" w:lineRule="auto"/>
      </w:pPr>
      <w:r>
        <w:separator/>
      </w:r>
    </w:p>
  </w:footnote>
  <w:footnote w:type="continuationSeparator" w:id="0">
    <w:p w:rsidR="00B335FD" w:rsidRDefault="00B335FD" w:rsidP="00876C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276E8"/>
    <w:multiLevelType w:val="hybridMultilevel"/>
    <w:tmpl w:val="306620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319A2"/>
    <w:multiLevelType w:val="hybridMultilevel"/>
    <w:tmpl w:val="9B08E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5A4225"/>
    <w:multiLevelType w:val="hybridMultilevel"/>
    <w:tmpl w:val="FE72F9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0E7147F"/>
    <w:multiLevelType w:val="hybridMultilevel"/>
    <w:tmpl w:val="51EC25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3D17E22"/>
    <w:multiLevelType w:val="hybridMultilevel"/>
    <w:tmpl w:val="FE72F9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3385E74"/>
    <w:multiLevelType w:val="hybridMultilevel"/>
    <w:tmpl w:val="51EC25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8F9678A"/>
    <w:multiLevelType w:val="hybridMultilevel"/>
    <w:tmpl w:val="337EE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DFA"/>
    <w:rsid w:val="00032989"/>
    <w:rsid w:val="00073921"/>
    <w:rsid w:val="00075303"/>
    <w:rsid w:val="000A0618"/>
    <w:rsid w:val="000B0252"/>
    <w:rsid w:val="000C12C1"/>
    <w:rsid w:val="000D427F"/>
    <w:rsid w:val="00154E71"/>
    <w:rsid w:val="001936C7"/>
    <w:rsid w:val="001A6A50"/>
    <w:rsid w:val="001D110A"/>
    <w:rsid w:val="00212600"/>
    <w:rsid w:val="0022283C"/>
    <w:rsid w:val="002245AE"/>
    <w:rsid w:val="002712E5"/>
    <w:rsid w:val="002B0AB0"/>
    <w:rsid w:val="002B61C9"/>
    <w:rsid w:val="002F0DF7"/>
    <w:rsid w:val="00326C70"/>
    <w:rsid w:val="00333121"/>
    <w:rsid w:val="003421E2"/>
    <w:rsid w:val="00373A16"/>
    <w:rsid w:val="00397D1C"/>
    <w:rsid w:val="003A5A5E"/>
    <w:rsid w:val="003B2F9B"/>
    <w:rsid w:val="003D0519"/>
    <w:rsid w:val="00446290"/>
    <w:rsid w:val="00452DC7"/>
    <w:rsid w:val="00454CA4"/>
    <w:rsid w:val="00461FDD"/>
    <w:rsid w:val="00486FA2"/>
    <w:rsid w:val="0049346E"/>
    <w:rsid w:val="00493A89"/>
    <w:rsid w:val="004B4A8A"/>
    <w:rsid w:val="004D71CD"/>
    <w:rsid w:val="004D734C"/>
    <w:rsid w:val="00511E91"/>
    <w:rsid w:val="00515637"/>
    <w:rsid w:val="0052290D"/>
    <w:rsid w:val="00532F11"/>
    <w:rsid w:val="005D4028"/>
    <w:rsid w:val="005E1272"/>
    <w:rsid w:val="005F488B"/>
    <w:rsid w:val="006027AC"/>
    <w:rsid w:val="006030AF"/>
    <w:rsid w:val="0061064A"/>
    <w:rsid w:val="0063564E"/>
    <w:rsid w:val="0066220B"/>
    <w:rsid w:val="00674402"/>
    <w:rsid w:val="006A00A3"/>
    <w:rsid w:val="006C0D8D"/>
    <w:rsid w:val="007100C7"/>
    <w:rsid w:val="00712F1A"/>
    <w:rsid w:val="00741271"/>
    <w:rsid w:val="00786384"/>
    <w:rsid w:val="007C1A9C"/>
    <w:rsid w:val="007C3BB9"/>
    <w:rsid w:val="007C74C8"/>
    <w:rsid w:val="007E3472"/>
    <w:rsid w:val="007E6AF4"/>
    <w:rsid w:val="007F4307"/>
    <w:rsid w:val="0080673C"/>
    <w:rsid w:val="00846081"/>
    <w:rsid w:val="0085079E"/>
    <w:rsid w:val="00863ADD"/>
    <w:rsid w:val="00876CE6"/>
    <w:rsid w:val="00915B26"/>
    <w:rsid w:val="00923BE8"/>
    <w:rsid w:val="00934E8D"/>
    <w:rsid w:val="00964AAB"/>
    <w:rsid w:val="00971DFA"/>
    <w:rsid w:val="00A00CCA"/>
    <w:rsid w:val="00A61780"/>
    <w:rsid w:val="00A6436C"/>
    <w:rsid w:val="00AA1F90"/>
    <w:rsid w:val="00AD157C"/>
    <w:rsid w:val="00AD4FEC"/>
    <w:rsid w:val="00B310B0"/>
    <w:rsid w:val="00B33490"/>
    <w:rsid w:val="00B335FD"/>
    <w:rsid w:val="00B6339C"/>
    <w:rsid w:val="00BC4E4A"/>
    <w:rsid w:val="00BF038D"/>
    <w:rsid w:val="00C0527D"/>
    <w:rsid w:val="00C05501"/>
    <w:rsid w:val="00C213E9"/>
    <w:rsid w:val="00C85E99"/>
    <w:rsid w:val="00C93BFD"/>
    <w:rsid w:val="00CC5A4E"/>
    <w:rsid w:val="00CE15DD"/>
    <w:rsid w:val="00D24655"/>
    <w:rsid w:val="00D335E2"/>
    <w:rsid w:val="00D405A8"/>
    <w:rsid w:val="00D53964"/>
    <w:rsid w:val="00D70363"/>
    <w:rsid w:val="00D94224"/>
    <w:rsid w:val="00DC5B96"/>
    <w:rsid w:val="00DF3CBA"/>
    <w:rsid w:val="00DF74FC"/>
    <w:rsid w:val="00E04C4E"/>
    <w:rsid w:val="00E1488F"/>
    <w:rsid w:val="00E44242"/>
    <w:rsid w:val="00E51A12"/>
    <w:rsid w:val="00E61F09"/>
    <w:rsid w:val="00E7535E"/>
    <w:rsid w:val="00E80306"/>
    <w:rsid w:val="00E90C27"/>
    <w:rsid w:val="00EC279C"/>
    <w:rsid w:val="00F012E3"/>
    <w:rsid w:val="00F159EE"/>
    <w:rsid w:val="00F265D7"/>
    <w:rsid w:val="00F317D4"/>
    <w:rsid w:val="00F40C5A"/>
    <w:rsid w:val="00F82306"/>
    <w:rsid w:val="00FC1185"/>
    <w:rsid w:val="00FD1916"/>
    <w:rsid w:val="00FF3C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FE349C-B34C-464C-8788-1A38E3D3C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780"/>
    <w:pPr>
      <w:ind w:left="720"/>
      <w:contextualSpacing/>
    </w:pPr>
  </w:style>
  <w:style w:type="paragraph" w:styleId="FootnoteText">
    <w:name w:val="footnote text"/>
    <w:basedOn w:val="Normal"/>
    <w:link w:val="FootnoteTextChar"/>
    <w:uiPriority w:val="99"/>
    <w:semiHidden/>
    <w:unhideWhenUsed/>
    <w:rsid w:val="00876C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6CE6"/>
    <w:rPr>
      <w:sz w:val="20"/>
      <w:szCs w:val="20"/>
    </w:rPr>
  </w:style>
  <w:style w:type="character" w:styleId="FootnoteReference">
    <w:name w:val="footnote reference"/>
    <w:basedOn w:val="DefaultParagraphFont"/>
    <w:uiPriority w:val="99"/>
    <w:semiHidden/>
    <w:unhideWhenUsed/>
    <w:rsid w:val="00876CE6"/>
    <w:rPr>
      <w:vertAlign w:val="superscript"/>
    </w:rPr>
  </w:style>
  <w:style w:type="character" w:styleId="Hyperlink">
    <w:name w:val="Hyperlink"/>
    <w:basedOn w:val="DefaultParagraphFont"/>
    <w:uiPriority w:val="99"/>
    <w:unhideWhenUsed/>
    <w:rsid w:val="00876CE6"/>
    <w:rPr>
      <w:color w:val="0563C1" w:themeColor="hyperlink"/>
      <w:u w:val="single"/>
    </w:rPr>
  </w:style>
  <w:style w:type="character" w:styleId="FollowedHyperlink">
    <w:name w:val="FollowedHyperlink"/>
    <w:basedOn w:val="DefaultParagraphFont"/>
    <w:uiPriority w:val="99"/>
    <w:semiHidden/>
    <w:unhideWhenUsed/>
    <w:rsid w:val="00876CE6"/>
    <w:rPr>
      <w:color w:val="954F72" w:themeColor="followedHyperlink"/>
      <w:u w:val="single"/>
    </w:rPr>
  </w:style>
  <w:style w:type="table" w:styleId="TableGrid">
    <w:name w:val="Table Grid"/>
    <w:basedOn w:val="TableNormal"/>
    <w:uiPriority w:val="39"/>
    <w:rsid w:val="00B63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2290D"/>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26C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1E5C0-4F8D-4D47-B6CA-65605F0B8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4505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Hussain</dc:creator>
  <cp:lastModifiedBy>Sarmad Hussain</cp:lastModifiedBy>
  <cp:revision>7</cp:revision>
  <dcterms:created xsi:type="dcterms:W3CDTF">2016-01-13T09:28:00Z</dcterms:created>
  <dcterms:modified xsi:type="dcterms:W3CDTF">2016-01-22T08:16:00Z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