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43A" w:rsidRDefault="00122147" w:rsidP="00C85E46">
      <w:pPr>
        <w:pStyle w:val="Heading1"/>
        <w:numPr>
          <w:ilvl w:val="0"/>
          <w:numId w:val="0"/>
        </w:numPr>
        <w:spacing w:before="120" w:line="240" w:lineRule="auto"/>
        <w:ind w:left="432"/>
        <w:jc w:val="center"/>
        <w:rPr>
          <w:b/>
          <w:bCs/>
        </w:rPr>
      </w:pPr>
      <w:r>
        <w:rPr>
          <w:b/>
          <w:bCs/>
        </w:rPr>
        <w:t>Call for C</w:t>
      </w:r>
      <w:r w:rsidR="00FA343A" w:rsidRPr="00FA343A">
        <w:rPr>
          <w:b/>
          <w:bCs/>
        </w:rPr>
        <w:t>omments</w:t>
      </w:r>
      <w:r w:rsidR="006F1FE9">
        <w:rPr>
          <w:b/>
          <w:bCs/>
        </w:rPr>
        <w:t xml:space="preserve"> </w:t>
      </w:r>
      <w:r w:rsidR="00E830B3">
        <w:rPr>
          <w:b/>
          <w:bCs/>
        </w:rPr>
        <w:t>on Items</w:t>
      </w:r>
      <w:r w:rsidR="006F1FE9">
        <w:rPr>
          <w:b/>
          <w:bCs/>
        </w:rPr>
        <w:t xml:space="preserve"> for </w:t>
      </w:r>
      <w:bookmarkStart w:id="0" w:name="_GoBack"/>
      <w:bookmarkEnd w:id="0"/>
      <w:r w:rsidR="006F1FE9">
        <w:rPr>
          <w:b/>
          <w:bCs/>
        </w:rPr>
        <w:t>Review of</w:t>
      </w:r>
      <w:r w:rsidR="00FA343A">
        <w:rPr>
          <w:b/>
          <w:bCs/>
        </w:rPr>
        <w:t xml:space="preserve"> </w:t>
      </w:r>
      <w:r w:rsidR="00FA343A" w:rsidRPr="00E93AF6">
        <w:rPr>
          <w:b/>
          <w:bCs/>
        </w:rPr>
        <w:t>IDN Guidelines</w:t>
      </w:r>
    </w:p>
    <w:p w:rsidR="00FA343A" w:rsidRDefault="00FA343A" w:rsidP="00FA343A">
      <w:pPr>
        <w:jc w:val="center"/>
      </w:pPr>
      <w:r>
        <w:t>IDN Guidelines Working Group</w:t>
      </w:r>
      <w:r w:rsidR="009D3FC7">
        <w:t xml:space="preserve"> (IDNGWG)</w:t>
      </w:r>
    </w:p>
    <w:p w:rsidR="00C85E46" w:rsidRDefault="00C85E46" w:rsidP="00E830B3">
      <w:pPr>
        <w:spacing w:after="0"/>
      </w:pPr>
      <w:r>
        <w:rPr>
          <w:b/>
          <w:bCs/>
        </w:rPr>
        <w:tab/>
      </w:r>
      <w:r w:rsidR="006F1FE9" w:rsidRPr="006F1FE9">
        <w:rPr>
          <w:b/>
          <w:bCs/>
        </w:rPr>
        <w:t>Background and significance:</w:t>
      </w:r>
      <w:r w:rsidR="006F1FE9">
        <w:t xml:space="preserve"> </w:t>
      </w:r>
      <w:r w:rsidR="008A609A">
        <w:t>Internationalized Domain Names (</w:t>
      </w:r>
      <w:r w:rsidR="006F1FE9" w:rsidRPr="001F19FC">
        <w:t>IDN</w:t>
      </w:r>
      <w:r w:rsidR="008A609A">
        <w:t>s)</w:t>
      </w:r>
      <w:r w:rsidR="006F1FE9" w:rsidRPr="001F19FC">
        <w:t xml:space="preserve"> Implementation Guidelines </w:t>
      </w:r>
      <w:r w:rsidR="006F1FE9">
        <w:t>address the</w:t>
      </w:r>
      <w:r w:rsidR="006F1FE9" w:rsidRPr="001F19FC">
        <w:t xml:space="preserve"> IDN registration policies and practices, designed to minimize the risk of cybersquatting and consumer confusion, and respect the interests of </w:t>
      </w:r>
      <w:r w:rsidR="006F1FE9">
        <w:t xml:space="preserve">communities using </w:t>
      </w:r>
      <w:r w:rsidR="006F1FE9" w:rsidRPr="001F19FC">
        <w:t xml:space="preserve">local languages and </w:t>
      </w:r>
      <w:r w:rsidR="006F1FE9">
        <w:t>scripts</w:t>
      </w:r>
      <w:r w:rsidR="006F1FE9" w:rsidRPr="001F19FC">
        <w:t xml:space="preserve">. </w:t>
      </w:r>
      <w:r w:rsidR="006F1FE9">
        <w:t xml:space="preserve">These guidelines are contractually binding for both Registries and Registrars offering IDNs at second level under all new gTLDs and recommended for IDN ccTLDs. </w:t>
      </w:r>
      <w:r>
        <w:tab/>
      </w:r>
    </w:p>
    <w:p w:rsidR="006F1FE9" w:rsidRDefault="00C85E46" w:rsidP="00E830B3">
      <w:pPr>
        <w:spacing w:after="0"/>
      </w:pPr>
      <w:r>
        <w:tab/>
      </w:r>
      <w:r w:rsidR="009D3FC7" w:rsidRPr="006F1FE9">
        <w:rPr>
          <w:b/>
          <w:bCs/>
        </w:rPr>
        <w:t>What is being asked</w:t>
      </w:r>
      <w:r w:rsidR="009D3FC7">
        <w:rPr>
          <w:b/>
          <w:bCs/>
        </w:rPr>
        <w:t xml:space="preserve"> to review</w:t>
      </w:r>
      <w:r w:rsidR="009D3FC7" w:rsidRPr="006F1FE9">
        <w:rPr>
          <w:b/>
          <w:bCs/>
        </w:rPr>
        <w:t>:</w:t>
      </w:r>
      <w:r w:rsidR="009D3FC7">
        <w:t xml:space="preserve"> </w:t>
      </w:r>
      <w:r w:rsidR="006F1FE9" w:rsidRPr="001F19FC">
        <w:t xml:space="preserve">The current </w:t>
      </w:r>
      <w:hyperlink r:id="rId5" w:history="1">
        <w:r w:rsidR="006F1FE9" w:rsidRPr="00432EAB">
          <w:rPr>
            <w:rStyle w:val="Hyperlink"/>
          </w:rPr>
          <w:t>Version 3.0</w:t>
        </w:r>
      </w:hyperlink>
      <w:r w:rsidR="006F1FE9" w:rsidRPr="001F19FC">
        <w:t xml:space="preserve"> was </w:t>
      </w:r>
      <w:hyperlink r:id="rId6" w:history="1">
        <w:r w:rsidR="006F1FE9" w:rsidRPr="00E93AF6">
          <w:rPr>
            <w:rStyle w:val="Hyperlink"/>
          </w:rPr>
          <w:t>endorsed</w:t>
        </w:r>
      </w:hyperlink>
      <w:r w:rsidR="006F1FE9" w:rsidRPr="001F19FC">
        <w:t xml:space="preserve"> by the ICANN Board of Directors </w:t>
      </w:r>
      <w:r w:rsidR="006F1FE9">
        <w:t>on</w:t>
      </w:r>
      <w:r w:rsidR="006F1FE9" w:rsidRPr="001F19FC">
        <w:t xml:space="preserve"> 28 October 2011</w:t>
      </w:r>
      <w:r w:rsidR="006F1FE9">
        <w:t xml:space="preserve">.  This version is now being revised by the recently formed </w:t>
      </w:r>
      <w:r w:rsidR="009D3FC7">
        <w:t>IDNGWG</w:t>
      </w:r>
      <w:r w:rsidR="006F1FE9">
        <w:t xml:space="preserve"> with members from GNSO, CCNSO, SSAC and ALAC.  IDN</w:t>
      </w:r>
      <w:r w:rsidR="009D3FC7">
        <w:t>G</w:t>
      </w:r>
      <w:r w:rsidR="006F1FE9">
        <w:t xml:space="preserve">WG has been </w:t>
      </w:r>
      <w:r w:rsidR="009D3FC7">
        <w:t>developing</w:t>
      </w:r>
      <w:r w:rsidR="006F1FE9">
        <w:t xml:space="preserve"> a list of topics which may be relevant for inclusion in the updated IDN Implementation Guidelines</w:t>
      </w:r>
      <w:r w:rsidR="006D70E8">
        <w:t xml:space="preserve"> for the second level</w:t>
      </w:r>
      <w:r w:rsidR="006F1FE9">
        <w:t xml:space="preserve">.  The community is requested to review this list (summarized below) and </w:t>
      </w:r>
      <w:r w:rsidR="006D70E8">
        <w:t>give</w:t>
      </w:r>
      <w:r w:rsidR="006F1FE9">
        <w:t xml:space="preserve"> their feedback by attending the </w:t>
      </w:r>
      <w:hyperlink r:id="rId7" w:history="1">
        <w:r w:rsidR="006F1FE9" w:rsidRPr="00E830B3">
          <w:rPr>
            <w:rStyle w:val="Hyperlink"/>
          </w:rPr>
          <w:t xml:space="preserve">public session </w:t>
        </w:r>
        <w:r w:rsidR="006D70E8" w:rsidRPr="00E830B3">
          <w:rPr>
            <w:rStyle w:val="Hyperlink"/>
          </w:rPr>
          <w:t xml:space="preserve">of IDNGWG </w:t>
        </w:r>
        <w:r w:rsidR="00E830B3" w:rsidRPr="00E830B3">
          <w:rPr>
            <w:rStyle w:val="Hyperlink"/>
          </w:rPr>
          <w:t xml:space="preserve">on Wednesday 9 March </w:t>
        </w:r>
        <w:r w:rsidR="006F1FE9" w:rsidRPr="00E830B3">
          <w:rPr>
            <w:rStyle w:val="Hyperlink"/>
          </w:rPr>
          <w:t>during ICANN55</w:t>
        </w:r>
      </w:hyperlink>
      <w:r w:rsidR="006F1FE9">
        <w:t xml:space="preserve"> and/or by emailing feedback and comments to </w:t>
      </w:r>
      <w:hyperlink r:id="rId8" w:history="1">
        <w:r w:rsidR="006F1FE9" w:rsidRPr="007812A8">
          <w:rPr>
            <w:rStyle w:val="Hyperlink"/>
          </w:rPr>
          <w:t>IDNProgram@icann.org</w:t>
        </w:r>
      </w:hyperlink>
      <w:r w:rsidR="006F1FE9">
        <w:t xml:space="preserve">.  </w:t>
      </w:r>
      <w:r w:rsidR="006D70E8">
        <w:t xml:space="preserve">Please specifically respond to the following questions, though </w:t>
      </w:r>
      <w:r w:rsidR="009D3FC7">
        <w:t>other relevant</w:t>
      </w:r>
      <w:r w:rsidR="006D70E8">
        <w:t xml:space="preserve"> comments are also welcome.</w:t>
      </w:r>
    </w:p>
    <w:p w:rsidR="006D70E8" w:rsidRDefault="006D70E8" w:rsidP="006D70E8">
      <w:pPr>
        <w:pStyle w:val="ListParagraph"/>
        <w:numPr>
          <w:ilvl w:val="0"/>
          <w:numId w:val="3"/>
        </w:numPr>
      </w:pPr>
      <w:r>
        <w:t>Is any of the topics listed below not relevant for consideration? If yes, why?</w:t>
      </w:r>
    </w:p>
    <w:p w:rsidR="006D70E8" w:rsidRDefault="006D70E8" w:rsidP="006D70E8">
      <w:pPr>
        <w:pStyle w:val="ListParagraph"/>
        <w:numPr>
          <w:ilvl w:val="0"/>
          <w:numId w:val="3"/>
        </w:numPr>
      </w:pPr>
      <w:r>
        <w:t>Should any additional topic be considered for inclusion? If yes, which one? Why?</w:t>
      </w:r>
    </w:p>
    <w:p w:rsidR="006D70E8" w:rsidRDefault="006D70E8" w:rsidP="00C85E46">
      <w:pPr>
        <w:spacing w:after="0"/>
        <w:rPr>
          <w:b/>
          <w:bCs/>
        </w:rPr>
      </w:pPr>
      <w:r w:rsidRPr="006D70E8">
        <w:rPr>
          <w:b/>
          <w:bCs/>
        </w:rPr>
        <w:t xml:space="preserve">Topics to review:  </w:t>
      </w:r>
    </w:p>
    <w:tbl>
      <w:tblPr>
        <w:tblStyle w:val="TableGrid"/>
        <w:tblW w:w="0" w:type="auto"/>
        <w:tblLook w:val="04A0" w:firstRow="1" w:lastRow="0" w:firstColumn="1" w:lastColumn="0" w:noHBand="0" w:noVBand="1"/>
      </w:tblPr>
      <w:tblGrid>
        <w:gridCol w:w="354"/>
        <w:gridCol w:w="7792"/>
        <w:gridCol w:w="1204"/>
      </w:tblGrid>
      <w:tr w:rsidR="00C85E46" w:rsidTr="00E830B3">
        <w:tc>
          <w:tcPr>
            <w:tcW w:w="355" w:type="dxa"/>
            <w:vAlign w:val="center"/>
          </w:tcPr>
          <w:p w:rsidR="00C85E46" w:rsidRDefault="00C85E46" w:rsidP="00C85E46">
            <w:pPr>
              <w:jc w:val="center"/>
              <w:rPr>
                <w:b/>
                <w:bCs/>
              </w:rPr>
            </w:pPr>
          </w:p>
        </w:tc>
        <w:tc>
          <w:tcPr>
            <w:tcW w:w="7920" w:type="dxa"/>
            <w:vAlign w:val="center"/>
          </w:tcPr>
          <w:p w:rsidR="00C85E46" w:rsidRPr="00340E96" w:rsidRDefault="00C85E46" w:rsidP="00C85E46">
            <w:pPr>
              <w:pStyle w:val="ListParagraph"/>
              <w:ind w:left="-18"/>
              <w:jc w:val="center"/>
              <w:rPr>
                <w:rStyle w:val="Hyperlink"/>
                <w:b/>
                <w:bCs/>
                <w:color w:val="auto"/>
                <w:u w:val="none"/>
              </w:rPr>
            </w:pPr>
            <w:r>
              <w:rPr>
                <w:rStyle w:val="Hyperlink"/>
                <w:b/>
                <w:bCs/>
                <w:color w:val="auto"/>
                <w:u w:val="none"/>
              </w:rPr>
              <w:t>Topic</w:t>
            </w:r>
          </w:p>
        </w:tc>
        <w:tc>
          <w:tcPr>
            <w:tcW w:w="1075" w:type="dxa"/>
            <w:vAlign w:val="center"/>
          </w:tcPr>
          <w:p w:rsidR="00C85E46" w:rsidRDefault="00C85E46" w:rsidP="00E830B3">
            <w:pPr>
              <w:jc w:val="center"/>
              <w:rPr>
                <w:b/>
                <w:bCs/>
              </w:rPr>
            </w:pPr>
            <w:r>
              <w:rPr>
                <w:b/>
                <w:bCs/>
              </w:rPr>
              <w:t>IDN</w:t>
            </w:r>
            <w:r w:rsidR="004B2284">
              <w:rPr>
                <w:b/>
                <w:bCs/>
              </w:rPr>
              <w:t>G</w:t>
            </w:r>
            <w:r>
              <w:rPr>
                <w:b/>
                <w:bCs/>
              </w:rPr>
              <w:t xml:space="preserve">WG </w:t>
            </w:r>
            <w:r w:rsidR="00E830B3">
              <w:rPr>
                <w:b/>
                <w:bCs/>
              </w:rPr>
              <w:t>current p</w:t>
            </w:r>
            <w:r>
              <w:rPr>
                <w:b/>
                <w:bCs/>
              </w:rPr>
              <w:t>osition</w:t>
            </w:r>
            <w:r w:rsidR="00E830B3">
              <w:rPr>
                <w:b/>
                <w:bCs/>
              </w:rPr>
              <w:t xml:space="preserve"> </w:t>
            </w:r>
          </w:p>
        </w:tc>
      </w:tr>
      <w:tr w:rsidR="00C85E46" w:rsidTr="00E830B3">
        <w:tc>
          <w:tcPr>
            <w:tcW w:w="355" w:type="dxa"/>
          </w:tcPr>
          <w:p w:rsidR="00C85E46" w:rsidRDefault="00C85E46" w:rsidP="006F1FE9">
            <w:pPr>
              <w:rPr>
                <w:b/>
                <w:bCs/>
              </w:rPr>
            </w:pPr>
            <w:r>
              <w:rPr>
                <w:b/>
                <w:bCs/>
              </w:rPr>
              <w:t>1</w:t>
            </w:r>
          </w:p>
        </w:tc>
        <w:tc>
          <w:tcPr>
            <w:tcW w:w="7920" w:type="dxa"/>
          </w:tcPr>
          <w:p w:rsidR="00C85E46" w:rsidRPr="00C85E46" w:rsidRDefault="00C85E46" w:rsidP="00C85E46">
            <w:pPr>
              <w:pStyle w:val="ListParagraph"/>
              <w:ind w:left="-18"/>
            </w:pPr>
            <w:r w:rsidRPr="00340E96">
              <w:rPr>
                <w:rStyle w:val="Hyperlink"/>
                <w:b/>
                <w:bCs/>
                <w:color w:val="auto"/>
                <w:u w:val="none"/>
              </w:rPr>
              <w:t>Transition and Terminology.</w:t>
            </w:r>
            <w:r>
              <w:rPr>
                <w:rStyle w:val="Hyperlink"/>
                <w:color w:val="auto"/>
                <w:u w:val="none"/>
              </w:rPr>
              <w:t xml:space="preserve">  IDNA2008 has been adopted by the registries and registrars offering IDNs at the second level.  WG should identify and recommend how to address any residual issues from IDNA2003.  Further, WG should identify terminology introduced through the work on Label Generation Rules, relevant RFCs and additional IDN work at ICANN for definition and adoption.</w:t>
            </w:r>
          </w:p>
        </w:tc>
        <w:tc>
          <w:tcPr>
            <w:tcW w:w="1075" w:type="dxa"/>
            <w:vAlign w:val="center"/>
          </w:tcPr>
          <w:p w:rsidR="00C85E46" w:rsidRPr="00C85E46" w:rsidRDefault="00C85E46" w:rsidP="006F1FE9">
            <w:r w:rsidRPr="00C85E46">
              <w:t>Relevant</w:t>
            </w:r>
          </w:p>
        </w:tc>
      </w:tr>
      <w:tr w:rsidR="00C85E46" w:rsidTr="00E830B3">
        <w:tc>
          <w:tcPr>
            <w:tcW w:w="355" w:type="dxa"/>
          </w:tcPr>
          <w:p w:rsidR="00C85E46" w:rsidRDefault="00C85E46" w:rsidP="006F1FE9">
            <w:pPr>
              <w:rPr>
                <w:b/>
                <w:bCs/>
              </w:rPr>
            </w:pPr>
            <w:r>
              <w:rPr>
                <w:b/>
                <w:bCs/>
              </w:rPr>
              <w:t>2</w:t>
            </w:r>
          </w:p>
        </w:tc>
        <w:tc>
          <w:tcPr>
            <w:tcW w:w="7920" w:type="dxa"/>
          </w:tcPr>
          <w:p w:rsidR="00C85E46" w:rsidRPr="00C85E46" w:rsidRDefault="00C85E46" w:rsidP="00A30280">
            <w:pPr>
              <w:pStyle w:val="ListParagraph"/>
              <w:ind w:left="-18"/>
            </w:pPr>
            <w:r w:rsidRPr="00EC63FC">
              <w:rPr>
                <w:rStyle w:val="Hyperlink"/>
                <w:b/>
                <w:bCs/>
                <w:color w:val="auto"/>
                <w:u w:val="none"/>
              </w:rPr>
              <w:t xml:space="preserve">Format of </w:t>
            </w:r>
            <w:r w:rsidR="00A30280">
              <w:rPr>
                <w:rStyle w:val="Hyperlink"/>
                <w:b/>
                <w:bCs/>
                <w:color w:val="auto"/>
                <w:u w:val="none"/>
              </w:rPr>
              <w:t>IDN</w:t>
            </w:r>
            <w:r w:rsidRPr="00EC63FC">
              <w:rPr>
                <w:rStyle w:val="Hyperlink"/>
                <w:b/>
                <w:bCs/>
                <w:color w:val="auto"/>
                <w:u w:val="none"/>
              </w:rPr>
              <w:t xml:space="preserve"> Tables.</w:t>
            </w:r>
            <w:r w:rsidRPr="00EC63FC">
              <w:rPr>
                <w:rStyle w:val="Hyperlink"/>
                <w:color w:val="auto"/>
                <w:u w:val="none"/>
              </w:rPr>
              <w:t xml:space="preserve"> Based on work by the community, a formal machine readable format for representing IDN tables (aka Label Generation Rules or LGR) is now available.  This format should be encouraged for adoption at second level, as it is being done for Root Zone LGR. </w:t>
            </w:r>
          </w:p>
        </w:tc>
        <w:tc>
          <w:tcPr>
            <w:tcW w:w="1075" w:type="dxa"/>
            <w:vAlign w:val="center"/>
          </w:tcPr>
          <w:p w:rsidR="00C85E46" w:rsidRPr="00C85E46" w:rsidRDefault="00C85E46" w:rsidP="006F1FE9">
            <w:r>
              <w:t>Relevant</w:t>
            </w:r>
          </w:p>
        </w:tc>
      </w:tr>
      <w:tr w:rsidR="00C85E46" w:rsidTr="00E830B3">
        <w:tc>
          <w:tcPr>
            <w:tcW w:w="355" w:type="dxa"/>
          </w:tcPr>
          <w:p w:rsidR="00C85E46" w:rsidRDefault="00C85E46" w:rsidP="006F1FE9">
            <w:pPr>
              <w:rPr>
                <w:b/>
                <w:bCs/>
              </w:rPr>
            </w:pPr>
            <w:r>
              <w:rPr>
                <w:b/>
                <w:bCs/>
              </w:rPr>
              <w:t>3</w:t>
            </w:r>
          </w:p>
        </w:tc>
        <w:tc>
          <w:tcPr>
            <w:tcW w:w="7920" w:type="dxa"/>
          </w:tcPr>
          <w:p w:rsidR="00C85E46" w:rsidRPr="00C85E46" w:rsidRDefault="00C85E46" w:rsidP="00ED60C8">
            <w:pPr>
              <w:pStyle w:val="ListParagraph"/>
              <w:ind w:left="-18"/>
            </w:pPr>
            <w:r w:rsidRPr="00EC63FC">
              <w:rPr>
                <w:rStyle w:val="Hyperlink"/>
                <w:b/>
                <w:bCs/>
                <w:color w:val="auto"/>
                <w:u w:val="none"/>
              </w:rPr>
              <w:t xml:space="preserve">Consistency of </w:t>
            </w:r>
            <w:r w:rsidR="00A30280">
              <w:rPr>
                <w:rStyle w:val="Hyperlink"/>
                <w:b/>
                <w:bCs/>
                <w:color w:val="auto"/>
                <w:u w:val="none"/>
              </w:rPr>
              <w:t>IDN</w:t>
            </w:r>
            <w:r w:rsidRPr="00EC63FC">
              <w:rPr>
                <w:rStyle w:val="Hyperlink"/>
                <w:b/>
                <w:bCs/>
                <w:color w:val="auto"/>
                <w:u w:val="none"/>
              </w:rPr>
              <w:t xml:space="preserve"> Tables.</w:t>
            </w:r>
            <w:r w:rsidRPr="00EC63FC">
              <w:rPr>
                <w:rStyle w:val="Hyperlink"/>
                <w:color w:val="auto"/>
                <w:u w:val="none"/>
              </w:rPr>
              <w:t xml:space="preserve"> </w:t>
            </w:r>
            <w:r>
              <w:rPr>
                <w:rStyle w:val="Hyperlink"/>
                <w:color w:val="auto"/>
                <w:u w:val="none"/>
              </w:rPr>
              <w:t>T</w:t>
            </w:r>
            <w:r w:rsidRPr="00EC63FC">
              <w:rPr>
                <w:rStyle w:val="Hyperlink"/>
                <w:color w:val="auto"/>
                <w:u w:val="none"/>
              </w:rPr>
              <w:t xml:space="preserve">he content should be made more consistent across registries and across levels for predictable user experience.  </w:t>
            </w:r>
            <w:r>
              <w:rPr>
                <w:rStyle w:val="Hyperlink"/>
                <w:color w:val="auto"/>
                <w:u w:val="none"/>
              </w:rPr>
              <w:t xml:space="preserve">This </w:t>
            </w:r>
            <w:r w:rsidR="00A30280">
              <w:rPr>
                <w:rStyle w:val="Hyperlink"/>
                <w:color w:val="auto"/>
                <w:u w:val="none"/>
              </w:rPr>
              <w:t>could</w:t>
            </w:r>
            <w:r>
              <w:rPr>
                <w:rStyle w:val="Hyperlink"/>
                <w:color w:val="auto"/>
                <w:u w:val="none"/>
              </w:rPr>
              <w:t xml:space="preserve"> be done by sharing the LGRs across registries</w:t>
            </w:r>
            <w:r w:rsidR="00A30280">
              <w:rPr>
                <w:rStyle w:val="Hyperlink"/>
                <w:color w:val="auto"/>
                <w:u w:val="none"/>
              </w:rPr>
              <w:t xml:space="preserve">, </w:t>
            </w:r>
            <w:r w:rsidR="00ED60C8">
              <w:rPr>
                <w:rStyle w:val="Hyperlink"/>
                <w:color w:val="auto"/>
                <w:u w:val="none"/>
              </w:rPr>
              <w:t>considering</w:t>
            </w:r>
            <w:r w:rsidR="00A30280">
              <w:rPr>
                <w:rStyle w:val="Hyperlink"/>
                <w:color w:val="auto"/>
                <w:u w:val="none"/>
              </w:rPr>
              <w:t xml:space="preserve"> reference IDN tables</w:t>
            </w:r>
            <w:r>
              <w:rPr>
                <w:rStyle w:val="Hyperlink"/>
                <w:color w:val="auto"/>
                <w:u w:val="none"/>
              </w:rPr>
              <w:t xml:space="preserve"> and other relevant work.</w:t>
            </w:r>
          </w:p>
        </w:tc>
        <w:tc>
          <w:tcPr>
            <w:tcW w:w="1075" w:type="dxa"/>
            <w:vAlign w:val="center"/>
          </w:tcPr>
          <w:p w:rsidR="00C85E46" w:rsidRPr="00C85E46" w:rsidRDefault="00C85E46" w:rsidP="006F1FE9">
            <w:r>
              <w:t>Relevant</w:t>
            </w:r>
          </w:p>
        </w:tc>
      </w:tr>
      <w:tr w:rsidR="00C85E46" w:rsidTr="00E830B3">
        <w:tc>
          <w:tcPr>
            <w:tcW w:w="355" w:type="dxa"/>
          </w:tcPr>
          <w:p w:rsidR="00C85E46" w:rsidRDefault="00C85E46" w:rsidP="006F1FE9">
            <w:pPr>
              <w:rPr>
                <w:b/>
                <w:bCs/>
              </w:rPr>
            </w:pPr>
            <w:r>
              <w:rPr>
                <w:b/>
                <w:bCs/>
              </w:rPr>
              <w:t>4</w:t>
            </w:r>
          </w:p>
        </w:tc>
        <w:tc>
          <w:tcPr>
            <w:tcW w:w="7920" w:type="dxa"/>
          </w:tcPr>
          <w:p w:rsidR="00C85E46" w:rsidRPr="00C85E46" w:rsidRDefault="00C85E46" w:rsidP="00C85E46">
            <w:r w:rsidRPr="00C85E46">
              <w:rPr>
                <w:rStyle w:val="Hyperlink"/>
                <w:b/>
                <w:bCs/>
                <w:color w:val="auto"/>
                <w:u w:val="none"/>
              </w:rPr>
              <w:t>IDN Variants.</w:t>
            </w:r>
            <w:r w:rsidRPr="00C85E46">
              <w:rPr>
                <w:rStyle w:val="Hyperlink"/>
                <w:color w:val="auto"/>
                <w:u w:val="none"/>
              </w:rPr>
              <w:t xml:space="preserve">  Nomenclature, states of variants and their management process should be made consistent.  Relevant policies, e.g. ownership, automatic activation, ceiling value, choice between variants, etc. should be considered and appropriate recommendation should be forwarded.  </w:t>
            </w:r>
          </w:p>
        </w:tc>
        <w:tc>
          <w:tcPr>
            <w:tcW w:w="1075" w:type="dxa"/>
            <w:vAlign w:val="center"/>
          </w:tcPr>
          <w:p w:rsidR="00C85E46" w:rsidRPr="00C85E46" w:rsidRDefault="00C85E46" w:rsidP="006F1FE9">
            <w:r>
              <w:t xml:space="preserve">Guidance at high level </w:t>
            </w:r>
          </w:p>
        </w:tc>
      </w:tr>
      <w:tr w:rsidR="00C85E46" w:rsidTr="00E830B3">
        <w:tc>
          <w:tcPr>
            <w:tcW w:w="355" w:type="dxa"/>
          </w:tcPr>
          <w:p w:rsidR="00C85E46" w:rsidRDefault="00C85E46" w:rsidP="006F1FE9">
            <w:pPr>
              <w:rPr>
                <w:b/>
                <w:bCs/>
              </w:rPr>
            </w:pPr>
            <w:r>
              <w:rPr>
                <w:b/>
                <w:bCs/>
              </w:rPr>
              <w:t>5</w:t>
            </w:r>
          </w:p>
        </w:tc>
        <w:tc>
          <w:tcPr>
            <w:tcW w:w="7920" w:type="dxa"/>
          </w:tcPr>
          <w:p w:rsidR="00C85E46" w:rsidRDefault="00C85E46" w:rsidP="00C85E46">
            <w:pPr>
              <w:rPr>
                <w:b/>
                <w:bCs/>
              </w:rPr>
            </w:pPr>
            <w:r w:rsidRPr="00C85E46">
              <w:rPr>
                <w:rStyle w:val="Hyperlink"/>
                <w:b/>
                <w:bCs/>
                <w:color w:val="auto"/>
                <w:u w:val="none"/>
              </w:rPr>
              <w:t xml:space="preserve">Similarity and Confusability of Labels.  </w:t>
            </w:r>
            <w:r w:rsidRPr="00C85E46">
              <w:rPr>
                <w:rStyle w:val="Hyperlink"/>
                <w:color w:val="auto"/>
                <w:u w:val="none"/>
              </w:rPr>
              <w:t>Recommendations should be made on how to manage different kinds of confusability of labels at the second level, arising from homoglyphs, cross-script homoglyp</w:t>
            </w:r>
            <w:r w:rsidR="00357E0A">
              <w:rPr>
                <w:rStyle w:val="Hyperlink"/>
                <w:color w:val="auto"/>
                <w:u w:val="none"/>
              </w:rPr>
              <w:t>hs, relevance</w:t>
            </w:r>
            <w:r w:rsidRPr="00C85E46">
              <w:rPr>
                <w:rStyle w:val="Hyperlink"/>
                <w:color w:val="auto"/>
                <w:u w:val="none"/>
              </w:rPr>
              <w:t xml:space="preserve"> of upper case, script mixing and other (e.g. semantic) mechanisms.  </w:t>
            </w:r>
          </w:p>
        </w:tc>
        <w:tc>
          <w:tcPr>
            <w:tcW w:w="1075" w:type="dxa"/>
            <w:vAlign w:val="center"/>
          </w:tcPr>
          <w:p w:rsidR="00C85E46" w:rsidRPr="00C85E46" w:rsidRDefault="00C85E46" w:rsidP="006F1FE9">
            <w:r>
              <w:t>Guidance at high level</w:t>
            </w:r>
          </w:p>
        </w:tc>
      </w:tr>
      <w:tr w:rsidR="00C85E46" w:rsidTr="00E830B3">
        <w:tc>
          <w:tcPr>
            <w:tcW w:w="355" w:type="dxa"/>
          </w:tcPr>
          <w:p w:rsidR="00C85E46" w:rsidRDefault="00C85E46" w:rsidP="006F1FE9">
            <w:pPr>
              <w:rPr>
                <w:b/>
                <w:bCs/>
              </w:rPr>
            </w:pPr>
            <w:r>
              <w:rPr>
                <w:b/>
                <w:bCs/>
              </w:rPr>
              <w:t>6</w:t>
            </w:r>
          </w:p>
        </w:tc>
        <w:tc>
          <w:tcPr>
            <w:tcW w:w="7920" w:type="dxa"/>
          </w:tcPr>
          <w:p w:rsidR="00C85E46" w:rsidRDefault="00C85E46" w:rsidP="00C85E46">
            <w:pPr>
              <w:rPr>
                <w:b/>
                <w:bCs/>
              </w:rPr>
            </w:pPr>
            <w:r w:rsidRPr="00C85E46">
              <w:rPr>
                <w:rStyle w:val="Hyperlink"/>
                <w:b/>
                <w:bCs/>
                <w:color w:val="auto"/>
                <w:u w:val="none"/>
              </w:rPr>
              <w:t xml:space="preserve">Registration Data.  </w:t>
            </w:r>
            <w:r w:rsidRPr="00C85E46">
              <w:rPr>
                <w:rStyle w:val="Hyperlink"/>
                <w:color w:val="auto"/>
                <w:u w:val="none"/>
              </w:rPr>
              <w:t xml:space="preserve">WG to look into how to represent and manage registration data for IDNs and for variants of IDNs. </w:t>
            </w:r>
          </w:p>
        </w:tc>
        <w:tc>
          <w:tcPr>
            <w:tcW w:w="1075" w:type="dxa"/>
            <w:vAlign w:val="center"/>
          </w:tcPr>
          <w:p w:rsidR="00C85E46" w:rsidRPr="00C85E46" w:rsidRDefault="009077B4" w:rsidP="006F1FE9">
            <w:r>
              <w:t>Will be considered</w:t>
            </w:r>
          </w:p>
        </w:tc>
      </w:tr>
    </w:tbl>
    <w:p w:rsidR="00C85E46" w:rsidRPr="00C85E46" w:rsidRDefault="00C85E46" w:rsidP="00913C3C">
      <w:pPr>
        <w:rPr>
          <w:b/>
          <w:bCs/>
        </w:rPr>
      </w:pPr>
    </w:p>
    <w:sectPr w:rsidR="00C85E46" w:rsidRPr="00C85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777D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B334726"/>
    <w:multiLevelType w:val="hybridMultilevel"/>
    <w:tmpl w:val="B1C2FD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EE01B9"/>
    <w:multiLevelType w:val="hybridMultilevel"/>
    <w:tmpl w:val="BA749E0C"/>
    <w:lvl w:ilvl="0" w:tplc="5A7EE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89D"/>
    <w:rsid w:val="000D3390"/>
    <w:rsid w:val="00122147"/>
    <w:rsid w:val="002A4DD5"/>
    <w:rsid w:val="00340E96"/>
    <w:rsid w:val="00357E0A"/>
    <w:rsid w:val="0044789D"/>
    <w:rsid w:val="004B2284"/>
    <w:rsid w:val="00622167"/>
    <w:rsid w:val="00682C71"/>
    <w:rsid w:val="006D70E8"/>
    <w:rsid w:val="006F1FE9"/>
    <w:rsid w:val="00737822"/>
    <w:rsid w:val="00772AA1"/>
    <w:rsid w:val="008A609A"/>
    <w:rsid w:val="009077B4"/>
    <w:rsid w:val="00913C3C"/>
    <w:rsid w:val="009D3FC7"/>
    <w:rsid w:val="00A30280"/>
    <w:rsid w:val="00B45C7B"/>
    <w:rsid w:val="00B755B0"/>
    <w:rsid w:val="00C85E46"/>
    <w:rsid w:val="00DC5B96"/>
    <w:rsid w:val="00E830B3"/>
    <w:rsid w:val="00EC63FC"/>
    <w:rsid w:val="00ED60C8"/>
    <w:rsid w:val="00F317D4"/>
    <w:rsid w:val="00FA343A"/>
    <w:rsid w:val="00FF24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37563-F9EF-453C-B6D6-BD3C7DA5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43A"/>
  </w:style>
  <w:style w:type="paragraph" w:styleId="Heading1">
    <w:name w:val="heading 1"/>
    <w:basedOn w:val="Normal"/>
    <w:next w:val="Normal"/>
    <w:link w:val="Heading1Char"/>
    <w:uiPriority w:val="9"/>
    <w:qFormat/>
    <w:rsid w:val="00FA343A"/>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A343A"/>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A343A"/>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A343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A343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A343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A343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A343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343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4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A343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A343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A343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A343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A343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A343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A343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343A"/>
    <w:rPr>
      <w:rFonts w:asciiTheme="majorHAnsi" w:eastAsiaTheme="majorEastAsia" w:hAnsiTheme="majorHAnsi" w:cstheme="majorBidi"/>
      <w:i/>
      <w:iCs/>
      <w:color w:val="272727" w:themeColor="text1" w:themeTint="D8"/>
      <w:sz w:val="21"/>
      <w:szCs w:val="21"/>
    </w:rPr>
  </w:style>
  <w:style w:type="character" w:styleId="Hyperlink">
    <w:name w:val="Hyperlink"/>
    <w:uiPriority w:val="99"/>
    <w:unhideWhenUsed/>
    <w:rsid w:val="006F1FE9"/>
    <w:rPr>
      <w:color w:val="0563C1"/>
      <w:u w:val="single"/>
    </w:rPr>
  </w:style>
  <w:style w:type="paragraph" w:styleId="ListParagraph">
    <w:name w:val="List Paragraph"/>
    <w:basedOn w:val="Normal"/>
    <w:uiPriority w:val="34"/>
    <w:qFormat/>
    <w:rsid w:val="006D70E8"/>
    <w:pPr>
      <w:ind w:left="720"/>
      <w:contextualSpacing/>
    </w:pPr>
  </w:style>
  <w:style w:type="table" w:styleId="TableGrid">
    <w:name w:val="Table Grid"/>
    <w:basedOn w:val="TableNormal"/>
    <w:uiPriority w:val="39"/>
    <w:rsid w:val="00C85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NProgram@icann.org" TargetMode="External"/><Relationship Id="rId3" Type="http://schemas.openxmlformats.org/officeDocument/2006/relationships/settings" Target="settings.xml"/><Relationship Id="rId7" Type="http://schemas.openxmlformats.org/officeDocument/2006/relationships/hyperlink" Target="https://meetings.icann.org/en/marrakech55/schedule/wed-idn-implementation-guide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resources/board-material/resolutions-2011-10-28-en%20-%201.2" TargetMode="External"/><Relationship Id="rId5" Type="http://schemas.openxmlformats.org/officeDocument/2006/relationships/hyperlink" Target="https://www.icann.org/resources/pages/idn-guidelines-2011-09-02-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7</cp:revision>
  <cp:lastPrinted>2016-02-24T11:01:00Z</cp:lastPrinted>
  <dcterms:created xsi:type="dcterms:W3CDTF">2016-02-24T11:42:00Z</dcterms:created>
  <dcterms:modified xsi:type="dcterms:W3CDTF">2016-02-25T16:16:00Z</dcterms:modified>
</cp:coreProperties>
</file>