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DA77FB">
      <w:pPr>
        <w:rPr>
          <w:b/>
          <w:bCs/>
          <w:color w:val="000000" w:themeColor="text1"/>
        </w:rPr>
      </w:pPr>
      <w:r w:rsidRPr="00F75FF6">
        <w:rPr>
          <w:b/>
          <w:bCs/>
          <w:color w:val="000000" w:themeColor="text1"/>
        </w:rPr>
        <w:t xml:space="preserve">Notes from Meeting on </w:t>
      </w:r>
      <w:r w:rsidR="00B53A1F">
        <w:rPr>
          <w:b/>
          <w:bCs/>
          <w:color w:val="000000" w:themeColor="text1"/>
        </w:rPr>
        <w:t>08</w:t>
      </w:r>
      <w:r w:rsidR="007026D2">
        <w:rPr>
          <w:b/>
          <w:bCs/>
          <w:color w:val="000000" w:themeColor="text1"/>
        </w:rPr>
        <w:t xml:space="preserve"> </w:t>
      </w:r>
      <w:r w:rsidR="00DA77FB">
        <w:rPr>
          <w:b/>
          <w:bCs/>
          <w:color w:val="000000" w:themeColor="text1"/>
        </w:rPr>
        <w:t>December</w:t>
      </w:r>
      <w:r w:rsidR="00F04826">
        <w:rPr>
          <w:b/>
          <w:bCs/>
          <w:color w:val="000000" w:themeColor="text1"/>
        </w:rPr>
        <w:t>,</w:t>
      </w:r>
      <w:r w:rsidRPr="00F75FF6">
        <w:rPr>
          <w:b/>
          <w:bCs/>
          <w:color w:val="000000" w:themeColor="text1"/>
        </w:rPr>
        <w:t xml:space="preserve"> 201</w:t>
      </w:r>
      <w:r w:rsidR="00326C70" w:rsidRPr="00F75FF6">
        <w:rPr>
          <w:b/>
          <w:bCs/>
          <w:color w:val="000000" w:themeColor="text1"/>
        </w:rPr>
        <w:t>6</w:t>
      </w:r>
      <w:r w:rsidR="00731C46" w:rsidRPr="00F75FF6">
        <w:rPr>
          <w:b/>
          <w:bCs/>
          <w:color w:val="000000" w:themeColor="text1"/>
        </w:rPr>
        <w:t xml:space="preserve"> </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193AA0">
        <w:rPr>
          <w:color w:val="000000" w:themeColor="text1"/>
        </w:rPr>
        <w:t xml:space="preserve"> </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DA77FB" w:rsidRPr="00F75FF6" w:rsidRDefault="00DA77FB" w:rsidP="00DA77FB">
      <w:pPr>
        <w:pStyle w:val="ListParagraph"/>
        <w:numPr>
          <w:ilvl w:val="0"/>
          <w:numId w:val="2"/>
        </w:numPr>
        <w:rPr>
          <w:color w:val="000000" w:themeColor="text1"/>
        </w:rPr>
      </w:pPr>
      <w:r>
        <w:rPr>
          <w:color w:val="000000" w:themeColor="text1"/>
        </w:rPr>
        <w:t>Dennis Tanaka</w:t>
      </w:r>
    </w:p>
    <w:p w:rsidR="00E53687" w:rsidRDefault="009C5C1A" w:rsidP="00E53687">
      <w:pPr>
        <w:pStyle w:val="ListParagraph"/>
        <w:numPr>
          <w:ilvl w:val="0"/>
          <w:numId w:val="2"/>
        </w:numPr>
        <w:rPr>
          <w:color w:val="000000" w:themeColor="text1"/>
        </w:rPr>
      </w:pPr>
      <w:r>
        <w:rPr>
          <w:color w:val="000000" w:themeColor="text1"/>
        </w:rPr>
        <w:t>Mats Dufberg</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F24DCB">
      <w:pPr>
        <w:rPr>
          <w:color w:val="000000" w:themeColor="text1"/>
        </w:rPr>
      </w:pPr>
      <w:r>
        <w:rPr>
          <w:color w:val="000000" w:themeColor="text1"/>
        </w:rPr>
        <w:t xml:space="preserve">The WG members </w:t>
      </w:r>
      <w:r w:rsidR="007464EC">
        <w:rPr>
          <w:color w:val="000000" w:themeColor="text1"/>
        </w:rPr>
        <w:t>continued the discussion on the document and the recommendations to be proposed for public comment.</w:t>
      </w:r>
      <w:r w:rsidR="00806706" w:rsidRPr="00806706">
        <w:rPr>
          <w:color w:val="000000" w:themeColor="text1"/>
        </w:rPr>
        <w:t xml:space="preserve"> </w:t>
      </w:r>
      <w:r w:rsidR="00E53687">
        <w:rPr>
          <w:color w:val="000000" w:themeColor="text1"/>
        </w:rPr>
        <w:t xml:space="preserve"> </w:t>
      </w:r>
      <w:r w:rsidR="009C5C1A" w:rsidRPr="009C5C1A">
        <w:rPr>
          <w:color w:val="000000" w:themeColor="text1"/>
        </w:rPr>
        <w:t xml:space="preserve">Updated document </w:t>
      </w:r>
      <w:r w:rsidR="009C5C1A" w:rsidRPr="009C5C1A">
        <w:rPr>
          <w:i/>
          <w:iCs/>
          <w:color w:val="000000" w:themeColor="text1"/>
        </w:rPr>
        <w:t>IDN Guidelines 4.0 20161</w:t>
      </w:r>
      <w:r w:rsidR="00B53A1F">
        <w:rPr>
          <w:i/>
          <w:iCs/>
          <w:color w:val="000000" w:themeColor="text1"/>
        </w:rPr>
        <w:t>20</w:t>
      </w:r>
      <w:r w:rsidR="00F24DCB">
        <w:rPr>
          <w:i/>
          <w:iCs/>
          <w:color w:val="000000" w:themeColor="text1"/>
        </w:rPr>
        <w:t>8</w:t>
      </w:r>
      <w:r w:rsidR="009C5C1A">
        <w:rPr>
          <w:i/>
          <w:iCs/>
          <w:color w:val="000000" w:themeColor="text1"/>
        </w:rPr>
        <w:t xml:space="preserve"> </w:t>
      </w:r>
      <w:r w:rsidR="009C5C1A" w:rsidRPr="009C5C1A">
        <w:rPr>
          <w:color w:val="000000" w:themeColor="text1"/>
        </w:rPr>
        <w:t>was discussed.</w:t>
      </w:r>
    </w:p>
    <w:p w:rsidR="00565D7C" w:rsidRPr="00193AA0" w:rsidRDefault="00565D7C" w:rsidP="00565D7C">
      <w:pPr>
        <w:pStyle w:val="ListParagraph"/>
        <w:numPr>
          <w:ilvl w:val="0"/>
          <w:numId w:val="1"/>
        </w:numPr>
        <w:rPr>
          <w:b/>
          <w:bCs/>
          <w:color w:val="000000" w:themeColor="text1"/>
        </w:rPr>
      </w:pPr>
      <w:r>
        <w:rPr>
          <w:b/>
          <w:bCs/>
          <w:color w:val="000000" w:themeColor="text1"/>
        </w:rPr>
        <w:t>Authoritative source</w:t>
      </w:r>
      <w:r w:rsidR="00193AA0">
        <w:rPr>
          <w:b/>
          <w:bCs/>
          <w:color w:val="000000" w:themeColor="text1"/>
        </w:rPr>
        <w:t>s</w:t>
      </w:r>
      <w:r>
        <w:rPr>
          <w:b/>
          <w:bCs/>
          <w:color w:val="000000" w:themeColor="text1"/>
        </w:rPr>
        <w:t xml:space="preserve"> for homoglyphs.  </w:t>
      </w:r>
      <w:r>
        <w:rPr>
          <w:color w:val="000000" w:themeColor="text1"/>
        </w:rPr>
        <w:t xml:space="preserve">The WG considered the references provided and noted that if the WG is going to make a recommendation regarding homoglyphs and variants, it should have authoritative sources to refer to, to ensure that the recommendation is actionable.  Also, that the reference from Unicode or IETF should be preferred.  The WG also noted that Confusables.txt is a too extensible analysis, and intentional.txt list is conservative so though it is likely to get a solution near to intentional.txt but further analysis is needed.  </w:t>
      </w:r>
      <w:r w:rsidR="00193AA0">
        <w:rPr>
          <w:color w:val="000000" w:themeColor="text1"/>
        </w:rPr>
        <w:t xml:space="preserve">These lists should be filtered to exclude all code points Disallowed by IDNA2008.  It was also noted that glyph is a representation and is font dependent, so definition of homoglyph set may change over time.  Thus, this work will address the problem but cannot address it completely, due to the fuzzy nature of this work.  </w:t>
      </w:r>
    </w:p>
    <w:p w:rsidR="00193AA0" w:rsidRDefault="00193AA0" w:rsidP="00193AA0">
      <w:pPr>
        <w:pStyle w:val="ListParagraph"/>
        <w:rPr>
          <w:b/>
          <w:bCs/>
          <w:color w:val="000000" w:themeColor="text1"/>
        </w:rPr>
      </w:pPr>
    </w:p>
    <w:p w:rsidR="001E60AB" w:rsidRDefault="00F24DCB" w:rsidP="00E02C98">
      <w:pPr>
        <w:pStyle w:val="ListParagraph"/>
        <w:numPr>
          <w:ilvl w:val="0"/>
          <w:numId w:val="1"/>
        </w:numPr>
        <w:rPr>
          <w:color w:val="000000" w:themeColor="text1"/>
        </w:rPr>
      </w:pPr>
      <w:r w:rsidRPr="00193AA0">
        <w:rPr>
          <w:b/>
          <w:bCs/>
          <w:color w:val="000000" w:themeColor="text1"/>
        </w:rPr>
        <w:t>Harmonizing of LGRs</w:t>
      </w:r>
      <w:r w:rsidR="00825EB0" w:rsidRPr="00193AA0">
        <w:rPr>
          <w:b/>
          <w:bCs/>
          <w:color w:val="000000" w:themeColor="text1"/>
        </w:rPr>
        <w:t>:</w:t>
      </w:r>
      <w:r w:rsidRPr="00193AA0">
        <w:rPr>
          <w:b/>
          <w:bCs/>
          <w:color w:val="000000" w:themeColor="text1"/>
        </w:rPr>
        <w:t xml:space="preserve"> </w:t>
      </w:r>
      <w:r w:rsidRPr="00193AA0">
        <w:rPr>
          <w:color w:val="000000" w:themeColor="text1"/>
        </w:rPr>
        <w:t xml:space="preserve">The </w:t>
      </w:r>
      <w:r w:rsidR="00193AA0">
        <w:rPr>
          <w:color w:val="000000" w:themeColor="text1"/>
        </w:rPr>
        <w:t xml:space="preserve">WG discussed the revised recommendation and provided more feedback for further review.  First, we need to define </w:t>
      </w:r>
      <w:r w:rsidR="00E02C98">
        <w:rPr>
          <w:color w:val="000000" w:themeColor="text1"/>
        </w:rPr>
        <w:t xml:space="preserve">homoglyphs, be very clear what the scope is and add a reference to an authoritative source in order for registry operators to implement it.  For example, the scope definition should be clear that similar cases within a script, e.g. Latin script case O and 0 are out of scope.  Also the text is extensive, so it should be broken down into a clear and concise recommendation and explanatory material should be moved to a different section, e.g. an appendix, if needed.  For example, the reference to root zone work is not actionable (as the root zone work is not complete).  Registry operators should not be asked to find their own sources, otherwise this would cause confusion and unenforceable.  </w:t>
      </w:r>
    </w:p>
    <w:p w:rsidR="00E02C98" w:rsidRPr="00E02C98" w:rsidRDefault="00E02C98" w:rsidP="00E02C98">
      <w:pPr>
        <w:pStyle w:val="ListParagraph"/>
        <w:rPr>
          <w:color w:val="000000" w:themeColor="text1"/>
        </w:rPr>
      </w:pPr>
    </w:p>
    <w:p w:rsidR="00E02C98" w:rsidRDefault="00E02C98" w:rsidP="00E02C98">
      <w:pPr>
        <w:pStyle w:val="ListParagraph"/>
        <w:rPr>
          <w:color w:val="000000" w:themeColor="text1"/>
        </w:rPr>
      </w:pPr>
      <w:r>
        <w:rPr>
          <w:color w:val="000000" w:themeColor="text1"/>
        </w:rPr>
        <w:t xml:space="preserve">As the guideline is also suggesting harmonizing variants within script, it would be challenging to find outside sources, and root zone may be the only authoritative </w:t>
      </w:r>
      <w:r w:rsidR="001868B9">
        <w:rPr>
          <w:color w:val="000000" w:themeColor="text1"/>
        </w:rPr>
        <w:t xml:space="preserve">source as a </w:t>
      </w:r>
      <w:r>
        <w:rPr>
          <w:color w:val="000000" w:themeColor="text1"/>
        </w:rPr>
        <w:t xml:space="preserve">starting point.  </w:t>
      </w:r>
    </w:p>
    <w:p w:rsidR="00770EEA" w:rsidRDefault="00770EEA" w:rsidP="00E02C98">
      <w:pPr>
        <w:pStyle w:val="ListParagraph"/>
        <w:rPr>
          <w:color w:val="000000" w:themeColor="text1"/>
        </w:rPr>
      </w:pPr>
    </w:p>
    <w:p w:rsidR="00770EEA" w:rsidRPr="00193AA0" w:rsidRDefault="00770EEA" w:rsidP="00E02C98">
      <w:pPr>
        <w:pStyle w:val="ListParagraph"/>
        <w:rPr>
          <w:color w:val="000000" w:themeColor="text1"/>
        </w:rPr>
      </w:pPr>
      <w:r>
        <w:rPr>
          <w:color w:val="000000" w:themeColor="text1"/>
        </w:rPr>
        <w:t xml:space="preserve">The WG group agreed that first the authoritative source(s) should be identified and then this recommendation should be revisited for revision based on the discussion.  </w:t>
      </w:r>
    </w:p>
    <w:p w:rsidR="000F2DF0" w:rsidRPr="00D74068" w:rsidRDefault="00F24DCB" w:rsidP="00F24DCB">
      <w:pPr>
        <w:pStyle w:val="ListParagraph"/>
        <w:tabs>
          <w:tab w:val="left" w:pos="2736"/>
        </w:tabs>
        <w:rPr>
          <w:b/>
          <w:bCs/>
          <w:color w:val="000000" w:themeColor="text1"/>
        </w:rPr>
      </w:pPr>
      <w:r>
        <w:rPr>
          <w:b/>
          <w:bCs/>
          <w:color w:val="000000" w:themeColor="text1"/>
        </w:rPr>
        <w:tab/>
      </w:r>
    </w:p>
    <w:p w:rsidR="00084F0E" w:rsidRPr="00445115" w:rsidRDefault="00E6162C" w:rsidP="00770EEA">
      <w:pPr>
        <w:pStyle w:val="ListParagraph"/>
        <w:numPr>
          <w:ilvl w:val="0"/>
          <w:numId w:val="1"/>
        </w:numPr>
        <w:rPr>
          <w:b/>
          <w:bCs/>
          <w:color w:val="000000" w:themeColor="text1"/>
        </w:rPr>
      </w:pPr>
      <w:r>
        <w:rPr>
          <w:b/>
          <w:bCs/>
          <w:color w:val="000000" w:themeColor="text1"/>
        </w:rPr>
        <w:t>Bearing of harmonization on existing registrations</w:t>
      </w:r>
      <w:r w:rsidR="00084F0E">
        <w:rPr>
          <w:b/>
          <w:bCs/>
          <w:color w:val="000000" w:themeColor="text1"/>
        </w:rPr>
        <w:t xml:space="preserve">.  </w:t>
      </w:r>
      <w:r w:rsidR="00770EEA">
        <w:rPr>
          <w:color w:val="000000" w:themeColor="text1"/>
        </w:rPr>
        <w:t xml:space="preserve">The WG agreed that the new recommendation did address the requirement and was reasonably worded.  </w:t>
      </w:r>
      <w:r w:rsidR="00BF175D">
        <w:rPr>
          <w:color w:val="000000" w:themeColor="text1"/>
        </w:rPr>
        <w:t xml:space="preserve">The WG noted that the recommendation should more explicitly include a suggestion to notify the registrants who </w:t>
      </w:r>
      <w:r w:rsidR="00BF175D">
        <w:rPr>
          <w:color w:val="000000" w:themeColor="text1"/>
        </w:rPr>
        <w:lastRenderedPageBreak/>
        <w:t xml:space="preserve">have a potential issue with their registration so that they can consider the risks involved in continue to hold the registration.  Just posting the policy may not forewarn the registrants appropriately of the implications.  It was noted that this was done previously when previous guidelines are published asking the move from IDNA 2003 to IDNA 2008.  However, this may be cumbersome for the registrars.  Also, it should be discussed if this should be time bound.  </w:t>
      </w:r>
      <w:r w:rsidR="00313B7B">
        <w:rPr>
          <w:color w:val="000000" w:themeColor="text1"/>
        </w:rPr>
        <w:t xml:space="preserve">It was also discussed whether a publically accessible policy is a requirement for registries, where this new issue may be added?  Guidance should also be provided on the text to be sent out to registrants, if that is what is finalized.  </w:t>
      </w:r>
    </w:p>
    <w:p w:rsidR="00445115" w:rsidRPr="00445115" w:rsidRDefault="00445115" w:rsidP="00445115">
      <w:pPr>
        <w:pStyle w:val="ListParagraph"/>
        <w:rPr>
          <w:b/>
          <w:bCs/>
          <w:color w:val="000000" w:themeColor="text1"/>
        </w:rPr>
      </w:pPr>
    </w:p>
    <w:p w:rsidR="00445115" w:rsidRPr="00313B7B" w:rsidRDefault="00445115" w:rsidP="00243272">
      <w:pPr>
        <w:pStyle w:val="ListParagraph"/>
        <w:numPr>
          <w:ilvl w:val="0"/>
          <w:numId w:val="1"/>
        </w:numPr>
        <w:rPr>
          <w:b/>
          <w:bCs/>
          <w:color w:val="000000" w:themeColor="text1"/>
        </w:rPr>
      </w:pPr>
      <w:r>
        <w:rPr>
          <w:b/>
          <w:bCs/>
          <w:color w:val="000000" w:themeColor="text1"/>
        </w:rPr>
        <w:t xml:space="preserve">Automatically activating variants. </w:t>
      </w:r>
      <w:r w:rsidR="00313B7B">
        <w:rPr>
          <w:color w:val="000000" w:themeColor="text1"/>
        </w:rPr>
        <w:t xml:space="preserve">Discussion was deferred till </w:t>
      </w:r>
      <w:r w:rsidR="00243272">
        <w:rPr>
          <w:color w:val="000000" w:themeColor="text1"/>
        </w:rPr>
        <w:t>the recommendation</w:t>
      </w:r>
      <w:r w:rsidR="00313B7B">
        <w:rPr>
          <w:color w:val="000000" w:themeColor="text1"/>
        </w:rPr>
        <w:t xml:space="preserve"> is </w:t>
      </w:r>
      <w:r w:rsidR="00243272">
        <w:rPr>
          <w:color w:val="000000" w:themeColor="text1"/>
        </w:rPr>
        <w:t>reviewed</w:t>
      </w:r>
      <w:r w:rsidR="00313B7B">
        <w:rPr>
          <w:color w:val="000000" w:themeColor="text1"/>
        </w:rPr>
        <w:t xml:space="preserve">. </w:t>
      </w:r>
      <w:r w:rsidR="00802DAB">
        <w:rPr>
          <w:color w:val="000000" w:themeColor="text1"/>
        </w:rPr>
        <w:t xml:space="preserve"> </w:t>
      </w:r>
    </w:p>
    <w:p w:rsidR="00313B7B" w:rsidRPr="00313B7B" w:rsidRDefault="00313B7B" w:rsidP="00313B7B">
      <w:pPr>
        <w:pStyle w:val="ListParagraph"/>
        <w:rPr>
          <w:b/>
          <w:bCs/>
          <w:color w:val="000000" w:themeColor="text1"/>
        </w:rPr>
      </w:pPr>
    </w:p>
    <w:p w:rsidR="00313B7B" w:rsidRPr="00987022" w:rsidRDefault="00313B7B" w:rsidP="00CD693F">
      <w:pPr>
        <w:pStyle w:val="ListParagraph"/>
        <w:numPr>
          <w:ilvl w:val="0"/>
          <w:numId w:val="1"/>
        </w:numPr>
        <w:rPr>
          <w:b/>
          <w:bCs/>
          <w:color w:val="000000" w:themeColor="text1"/>
        </w:rPr>
      </w:pPr>
      <w:r>
        <w:rPr>
          <w:b/>
          <w:bCs/>
          <w:color w:val="000000" w:themeColor="text1"/>
        </w:rPr>
        <w:t xml:space="preserve">Next meeting(s).  </w:t>
      </w:r>
      <w:r>
        <w:rPr>
          <w:color w:val="000000" w:themeColor="text1"/>
        </w:rPr>
        <w:t xml:space="preserve"> The WG agreed to meet on 15 December and may also consider meeting on 22 Dec., based on WG decision.  </w:t>
      </w:r>
      <w:r>
        <w:rPr>
          <w:b/>
          <w:bCs/>
          <w:color w:val="000000" w:themeColor="text1"/>
        </w:rPr>
        <w:t xml:space="preserve">  </w:t>
      </w:r>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firstRow="1" w:lastRow="0" w:firstColumn="1" w:lastColumn="0" w:noHBand="0" w:noVBand="1"/>
      </w:tblPr>
      <w:tblGrid>
        <w:gridCol w:w="804"/>
        <w:gridCol w:w="7710"/>
        <w:gridCol w:w="836"/>
      </w:tblGrid>
      <w:tr w:rsidR="0072451D" w:rsidRPr="0083537E" w:rsidTr="001C698F">
        <w:tc>
          <w:tcPr>
            <w:tcW w:w="804" w:type="dxa"/>
          </w:tcPr>
          <w:p w:rsidR="0072451D" w:rsidRPr="0083537E" w:rsidRDefault="0072451D" w:rsidP="001C698F">
            <w:pPr>
              <w:rPr>
                <w:b/>
                <w:bCs/>
              </w:rPr>
            </w:pPr>
            <w:r w:rsidRPr="0083537E">
              <w:rPr>
                <w:b/>
                <w:bCs/>
              </w:rPr>
              <w:t>S. No.</w:t>
            </w:r>
          </w:p>
        </w:tc>
        <w:tc>
          <w:tcPr>
            <w:tcW w:w="7710" w:type="dxa"/>
          </w:tcPr>
          <w:p w:rsidR="0072451D" w:rsidRPr="0083537E" w:rsidRDefault="0072451D" w:rsidP="001C698F">
            <w:pPr>
              <w:rPr>
                <w:b/>
                <w:bCs/>
              </w:rPr>
            </w:pPr>
            <w:r w:rsidRPr="0083537E">
              <w:rPr>
                <w:b/>
                <w:bCs/>
              </w:rPr>
              <w:t xml:space="preserve">Action Items </w:t>
            </w:r>
          </w:p>
        </w:tc>
        <w:tc>
          <w:tcPr>
            <w:tcW w:w="836" w:type="dxa"/>
          </w:tcPr>
          <w:p w:rsidR="0072451D" w:rsidRPr="0083537E" w:rsidRDefault="0072451D" w:rsidP="001C698F">
            <w:pPr>
              <w:rPr>
                <w:b/>
                <w:bCs/>
              </w:rPr>
            </w:pPr>
            <w:r w:rsidRPr="0083537E">
              <w:rPr>
                <w:b/>
                <w:bCs/>
              </w:rPr>
              <w:t>Owner</w:t>
            </w:r>
          </w:p>
        </w:tc>
      </w:tr>
      <w:tr w:rsidR="007A594A" w:rsidRPr="0083537E" w:rsidTr="001C698F">
        <w:tc>
          <w:tcPr>
            <w:tcW w:w="804" w:type="dxa"/>
          </w:tcPr>
          <w:p w:rsidR="007A594A" w:rsidRPr="007A594A" w:rsidRDefault="007A594A" w:rsidP="001C698F">
            <w:r>
              <w:t>1</w:t>
            </w:r>
          </w:p>
        </w:tc>
        <w:tc>
          <w:tcPr>
            <w:tcW w:w="7710" w:type="dxa"/>
          </w:tcPr>
          <w:p w:rsidR="007A594A" w:rsidRPr="007A594A" w:rsidRDefault="003A437E" w:rsidP="001C698F">
            <w:pPr>
              <w:rPr>
                <w:i/>
                <w:iCs/>
              </w:rPr>
            </w:pPr>
            <w:r>
              <w:rPr>
                <w:i/>
                <w:iCs/>
              </w:rPr>
              <w:t>Filter the confusables.txt and intention</w:t>
            </w:r>
            <w:r w:rsidR="00D72609">
              <w:rPr>
                <w:i/>
                <w:iCs/>
              </w:rPr>
              <w:t>al.txt to derive a list which does not include code points disallowed in IDNA 2008 for further analysis by the WG</w:t>
            </w:r>
          </w:p>
        </w:tc>
        <w:tc>
          <w:tcPr>
            <w:tcW w:w="836" w:type="dxa"/>
          </w:tcPr>
          <w:p w:rsidR="007A594A" w:rsidRPr="007A594A" w:rsidRDefault="007A594A" w:rsidP="001C698F">
            <w:r w:rsidRPr="007A594A">
              <w:t>SH</w:t>
            </w:r>
          </w:p>
        </w:tc>
      </w:tr>
      <w:tr w:rsidR="004C6C8C" w:rsidRPr="0083537E" w:rsidTr="001C698F">
        <w:tc>
          <w:tcPr>
            <w:tcW w:w="804" w:type="dxa"/>
          </w:tcPr>
          <w:p w:rsidR="004C6C8C" w:rsidRPr="004C6C8C" w:rsidRDefault="007A594A" w:rsidP="001C698F">
            <w:r>
              <w:t>2</w:t>
            </w:r>
          </w:p>
        </w:tc>
        <w:tc>
          <w:tcPr>
            <w:tcW w:w="7710" w:type="dxa"/>
          </w:tcPr>
          <w:p w:rsidR="004C6C8C" w:rsidRPr="004C6C8C" w:rsidRDefault="00D72609" w:rsidP="0056656B">
            <w:pPr>
              <w:rPr>
                <w:i/>
                <w:iCs/>
              </w:rPr>
            </w:pPr>
            <w:r>
              <w:rPr>
                <w:i/>
                <w:iCs/>
              </w:rPr>
              <w:t>Update the recommendation on harmonization based on the current discussion</w:t>
            </w:r>
          </w:p>
        </w:tc>
        <w:tc>
          <w:tcPr>
            <w:tcW w:w="836" w:type="dxa"/>
          </w:tcPr>
          <w:p w:rsidR="004C6C8C" w:rsidRPr="004C6C8C" w:rsidRDefault="00D81089" w:rsidP="001C698F">
            <w:r>
              <w:t>MD</w:t>
            </w:r>
          </w:p>
        </w:tc>
      </w:tr>
      <w:tr w:rsidR="007A594A" w:rsidRPr="0083537E" w:rsidTr="001C698F">
        <w:tc>
          <w:tcPr>
            <w:tcW w:w="804" w:type="dxa"/>
          </w:tcPr>
          <w:p w:rsidR="007A594A" w:rsidRDefault="007A594A" w:rsidP="001C698F">
            <w:r>
              <w:t>3</w:t>
            </w:r>
          </w:p>
        </w:tc>
        <w:tc>
          <w:tcPr>
            <w:tcW w:w="7710" w:type="dxa"/>
          </w:tcPr>
          <w:p w:rsidR="007A594A" w:rsidRDefault="00D72609" w:rsidP="00D81089">
            <w:pPr>
              <w:rPr>
                <w:i/>
                <w:iCs/>
              </w:rPr>
            </w:pPr>
            <w:r>
              <w:rPr>
                <w:i/>
                <w:iCs/>
              </w:rPr>
              <w:t>Update the recommendation on impact of harmonization on existing registrations based on the current discussion</w:t>
            </w:r>
          </w:p>
        </w:tc>
        <w:tc>
          <w:tcPr>
            <w:tcW w:w="836" w:type="dxa"/>
          </w:tcPr>
          <w:p w:rsidR="007A594A" w:rsidRDefault="00D81089" w:rsidP="001C698F">
            <w:r>
              <w:t>KF</w:t>
            </w:r>
          </w:p>
        </w:tc>
      </w:tr>
      <w:tr w:rsidR="003D50DF" w:rsidRPr="0083537E" w:rsidTr="001C698F">
        <w:tc>
          <w:tcPr>
            <w:tcW w:w="804" w:type="dxa"/>
          </w:tcPr>
          <w:p w:rsidR="003D50DF" w:rsidRDefault="003D50DF" w:rsidP="001C698F">
            <w:r>
              <w:t>4</w:t>
            </w:r>
          </w:p>
        </w:tc>
        <w:tc>
          <w:tcPr>
            <w:tcW w:w="7710" w:type="dxa"/>
          </w:tcPr>
          <w:p w:rsidR="003D50DF" w:rsidRDefault="003D50DF" w:rsidP="003D50DF">
            <w:pPr>
              <w:rPr>
                <w:i/>
                <w:iCs/>
              </w:rPr>
            </w:pPr>
            <w:r>
              <w:rPr>
                <w:i/>
                <w:iCs/>
              </w:rPr>
              <w:t>Review the current discussion</w:t>
            </w:r>
            <w:r>
              <w:rPr>
                <w:i/>
                <w:iCs/>
              </w:rPr>
              <w:t xml:space="preserve"> </w:t>
            </w:r>
            <w:r>
              <w:rPr>
                <w:i/>
                <w:iCs/>
              </w:rPr>
              <w:t>on harmonization</w:t>
            </w:r>
            <w:r>
              <w:rPr>
                <w:i/>
                <w:iCs/>
              </w:rPr>
              <w:t xml:space="preserve"> and continue this discussion further</w:t>
            </w:r>
          </w:p>
        </w:tc>
        <w:tc>
          <w:tcPr>
            <w:tcW w:w="836" w:type="dxa"/>
          </w:tcPr>
          <w:p w:rsidR="003D50DF" w:rsidRDefault="003D50DF" w:rsidP="001C698F">
            <w:r>
              <w:t>ALL</w:t>
            </w:r>
          </w:p>
        </w:tc>
      </w:tr>
      <w:tr w:rsidR="000E5382" w:rsidRPr="0083537E" w:rsidTr="001C698F">
        <w:tc>
          <w:tcPr>
            <w:tcW w:w="804" w:type="dxa"/>
          </w:tcPr>
          <w:p w:rsidR="000E5382" w:rsidRDefault="000E5382" w:rsidP="001C698F"/>
        </w:tc>
        <w:tc>
          <w:tcPr>
            <w:tcW w:w="7710" w:type="dxa"/>
          </w:tcPr>
          <w:p w:rsidR="000E5382" w:rsidRDefault="00D72609" w:rsidP="00802DAB">
            <w:pPr>
              <w:rPr>
                <w:i/>
                <w:iCs/>
              </w:rPr>
            </w:pPr>
            <w:r>
              <w:rPr>
                <w:i/>
                <w:iCs/>
              </w:rPr>
              <w:t>Re-write the recommendation on automatic activation based on the current input for further discussion</w:t>
            </w:r>
          </w:p>
        </w:tc>
        <w:tc>
          <w:tcPr>
            <w:tcW w:w="836" w:type="dxa"/>
          </w:tcPr>
          <w:p w:rsidR="000E5382" w:rsidRDefault="00DE50ED" w:rsidP="001C698F">
            <w:r>
              <w:t>EC</w:t>
            </w:r>
          </w:p>
        </w:tc>
      </w:tr>
    </w:tbl>
    <w:p w:rsidR="0072451D" w:rsidRDefault="0072451D" w:rsidP="00E209AC">
      <w:pPr>
        <w:pStyle w:val="ListParagraph"/>
      </w:pPr>
      <w:bookmarkStart w:id="0" w:name="_GoBack"/>
      <w:bookmarkEnd w:id="0"/>
    </w:p>
    <w:sectPr w:rsidR="00724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C70" w:rsidRDefault="00D92C70" w:rsidP="00876CE6">
      <w:pPr>
        <w:spacing w:after="0" w:line="240" w:lineRule="auto"/>
      </w:pPr>
      <w:r>
        <w:separator/>
      </w:r>
    </w:p>
  </w:endnote>
  <w:endnote w:type="continuationSeparator" w:id="0">
    <w:p w:rsidR="00D92C70" w:rsidRDefault="00D92C70"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60190"/>
      <w:docPartObj>
        <w:docPartGallery w:val="Page Numbers (Bottom of Page)"/>
        <w:docPartUnique/>
      </w:docPartObj>
    </w:sdtPr>
    <w:sdtEndPr>
      <w:rPr>
        <w:noProof/>
      </w:rPr>
    </w:sdtEndPr>
    <w:sdtContent>
      <w:p w:rsidR="00F9225C" w:rsidRDefault="00F9225C">
        <w:pPr>
          <w:pStyle w:val="Footer"/>
          <w:jc w:val="center"/>
        </w:pPr>
        <w:r>
          <w:fldChar w:fldCharType="begin"/>
        </w:r>
        <w:r>
          <w:instrText xml:space="preserve"> PAGE   \* MERGEFORMAT </w:instrText>
        </w:r>
        <w:r>
          <w:fldChar w:fldCharType="separate"/>
        </w:r>
        <w:r w:rsidR="003D50DF">
          <w:rPr>
            <w:noProof/>
          </w:rPr>
          <w:t>1</w:t>
        </w:r>
        <w:r>
          <w:rPr>
            <w:noProof/>
          </w:rPr>
          <w:fldChar w:fldCharType="end"/>
        </w:r>
      </w:p>
    </w:sdtContent>
  </w:sdt>
  <w:p w:rsidR="00F9225C" w:rsidRDefault="00F9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C70" w:rsidRDefault="00D92C70" w:rsidP="00876CE6">
      <w:pPr>
        <w:spacing w:after="0" w:line="240" w:lineRule="auto"/>
      </w:pPr>
      <w:r>
        <w:separator/>
      </w:r>
    </w:p>
  </w:footnote>
  <w:footnote w:type="continuationSeparator" w:id="0">
    <w:p w:rsidR="00D92C70" w:rsidRDefault="00D92C70" w:rsidP="0087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A"/>
    <w:rsid w:val="00016ED8"/>
    <w:rsid w:val="00032989"/>
    <w:rsid w:val="00034369"/>
    <w:rsid w:val="000362B2"/>
    <w:rsid w:val="0004538E"/>
    <w:rsid w:val="000462EA"/>
    <w:rsid w:val="00057300"/>
    <w:rsid w:val="00065C6E"/>
    <w:rsid w:val="0006668D"/>
    <w:rsid w:val="00066D26"/>
    <w:rsid w:val="000670E2"/>
    <w:rsid w:val="00073921"/>
    <w:rsid w:val="00075303"/>
    <w:rsid w:val="0008294B"/>
    <w:rsid w:val="00084F0E"/>
    <w:rsid w:val="00096556"/>
    <w:rsid w:val="000A0618"/>
    <w:rsid w:val="000A4D1B"/>
    <w:rsid w:val="000A669F"/>
    <w:rsid w:val="000B0252"/>
    <w:rsid w:val="000B3659"/>
    <w:rsid w:val="000C12C1"/>
    <w:rsid w:val="000C61EE"/>
    <w:rsid w:val="000D427F"/>
    <w:rsid w:val="000D51AD"/>
    <w:rsid w:val="000E3879"/>
    <w:rsid w:val="000E47F2"/>
    <w:rsid w:val="000E5382"/>
    <w:rsid w:val="000F2DF0"/>
    <w:rsid w:val="000F5B02"/>
    <w:rsid w:val="000F732B"/>
    <w:rsid w:val="00102FA3"/>
    <w:rsid w:val="00115AED"/>
    <w:rsid w:val="00142922"/>
    <w:rsid w:val="00143C59"/>
    <w:rsid w:val="00154E71"/>
    <w:rsid w:val="001868B9"/>
    <w:rsid w:val="001936C7"/>
    <w:rsid w:val="00193AA0"/>
    <w:rsid w:val="00197FCA"/>
    <w:rsid w:val="001A6A50"/>
    <w:rsid w:val="001C36C8"/>
    <w:rsid w:val="001D110A"/>
    <w:rsid w:val="001E56F8"/>
    <w:rsid w:val="001E60AB"/>
    <w:rsid w:val="001F15CB"/>
    <w:rsid w:val="001F5EB2"/>
    <w:rsid w:val="0020153D"/>
    <w:rsid w:val="00212600"/>
    <w:rsid w:val="0021486A"/>
    <w:rsid w:val="0022283C"/>
    <w:rsid w:val="002245AE"/>
    <w:rsid w:val="00243272"/>
    <w:rsid w:val="0024576E"/>
    <w:rsid w:val="00250359"/>
    <w:rsid w:val="0025498E"/>
    <w:rsid w:val="002648C2"/>
    <w:rsid w:val="002712E5"/>
    <w:rsid w:val="002773ED"/>
    <w:rsid w:val="002815ED"/>
    <w:rsid w:val="002A0BBE"/>
    <w:rsid w:val="002A3D56"/>
    <w:rsid w:val="002A7A6F"/>
    <w:rsid w:val="002B0AB0"/>
    <w:rsid w:val="002B55EC"/>
    <w:rsid w:val="002B61C9"/>
    <w:rsid w:val="002C1488"/>
    <w:rsid w:val="002D33E3"/>
    <w:rsid w:val="002D35E9"/>
    <w:rsid w:val="002E5A3D"/>
    <w:rsid w:val="002F09C3"/>
    <w:rsid w:val="002F0DF7"/>
    <w:rsid w:val="002F3131"/>
    <w:rsid w:val="002F7CAC"/>
    <w:rsid w:val="00307446"/>
    <w:rsid w:val="00310935"/>
    <w:rsid w:val="00313B48"/>
    <w:rsid w:val="00313B7B"/>
    <w:rsid w:val="00317820"/>
    <w:rsid w:val="0032286B"/>
    <w:rsid w:val="00326C70"/>
    <w:rsid w:val="0033160D"/>
    <w:rsid w:val="00333121"/>
    <w:rsid w:val="003421E2"/>
    <w:rsid w:val="00350A9C"/>
    <w:rsid w:val="0035238F"/>
    <w:rsid w:val="00352635"/>
    <w:rsid w:val="00373A16"/>
    <w:rsid w:val="00383AE4"/>
    <w:rsid w:val="003864D8"/>
    <w:rsid w:val="003870BE"/>
    <w:rsid w:val="00397D1C"/>
    <w:rsid w:val="003A354F"/>
    <w:rsid w:val="003A437E"/>
    <w:rsid w:val="003A5A5E"/>
    <w:rsid w:val="003B2F9B"/>
    <w:rsid w:val="003B3FD3"/>
    <w:rsid w:val="003B7594"/>
    <w:rsid w:val="003C47C6"/>
    <w:rsid w:val="003D0519"/>
    <w:rsid w:val="003D1C6C"/>
    <w:rsid w:val="003D1E49"/>
    <w:rsid w:val="003D50DF"/>
    <w:rsid w:val="003E4628"/>
    <w:rsid w:val="003F0DC6"/>
    <w:rsid w:val="004044C6"/>
    <w:rsid w:val="00410A3C"/>
    <w:rsid w:val="00442EF1"/>
    <w:rsid w:val="0044418C"/>
    <w:rsid w:val="00445115"/>
    <w:rsid w:val="00446290"/>
    <w:rsid w:val="00452BC3"/>
    <w:rsid w:val="00452DC7"/>
    <w:rsid w:val="00454CA4"/>
    <w:rsid w:val="00457464"/>
    <w:rsid w:val="00461FDD"/>
    <w:rsid w:val="0047036F"/>
    <w:rsid w:val="0047143E"/>
    <w:rsid w:val="00481CC8"/>
    <w:rsid w:val="00486FA2"/>
    <w:rsid w:val="00492DF1"/>
    <w:rsid w:val="0049346E"/>
    <w:rsid w:val="00493A89"/>
    <w:rsid w:val="004A578F"/>
    <w:rsid w:val="004B19B3"/>
    <w:rsid w:val="004B4A8A"/>
    <w:rsid w:val="004C3A84"/>
    <w:rsid w:val="004C3ADC"/>
    <w:rsid w:val="004C566B"/>
    <w:rsid w:val="004C5F72"/>
    <w:rsid w:val="004C6C8C"/>
    <w:rsid w:val="004D242C"/>
    <w:rsid w:val="004D5A6B"/>
    <w:rsid w:val="004D71CD"/>
    <w:rsid w:val="004D734C"/>
    <w:rsid w:val="004E1C2C"/>
    <w:rsid w:val="004E6F2C"/>
    <w:rsid w:val="00511E91"/>
    <w:rsid w:val="0051491F"/>
    <w:rsid w:val="00515637"/>
    <w:rsid w:val="0052290D"/>
    <w:rsid w:val="00531DC0"/>
    <w:rsid w:val="00532F11"/>
    <w:rsid w:val="00535003"/>
    <w:rsid w:val="005369EC"/>
    <w:rsid w:val="005544E5"/>
    <w:rsid w:val="00565D7C"/>
    <w:rsid w:val="005662B9"/>
    <w:rsid w:val="0056656B"/>
    <w:rsid w:val="00596BF1"/>
    <w:rsid w:val="005B35C3"/>
    <w:rsid w:val="005B6815"/>
    <w:rsid w:val="005C3115"/>
    <w:rsid w:val="005C3972"/>
    <w:rsid w:val="005D4028"/>
    <w:rsid w:val="005D4CD7"/>
    <w:rsid w:val="005E1272"/>
    <w:rsid w:val="005F488B"/>
    <w:rsid w:val="00602121"/>
    <w:rsid w:val="006027AC"/>
    <w:rsid w:val="006030AF"/>
    <w:rsid w:val="0061064A"/>
    <w:rsid w:val="0063564E"/>
    <w:rsid w:val="00636F7A"/>
    <w:rsid w:val="0066220B"/>
    <w:rsid w:val="006661AE"/>
    <w:rsid w:val="0067351E"/>
    <w:rsid w:val="00674402"/>
    <w:rsid w:val="0068668D"/>
    <w:rsid w:val="00687C8F"/>
    <w:rsid w:val="00696C91"/>
    <w:rsid w:val="006A00A3"/>
    <w:rsid w:val="006A2E71"/>
    <w:rsid w:val="006B1EE4"/>
    <w:rsid w:val="006B68DD"/>
    <w:rsid w:val="006B7655"/>
    <w:rsid w:val="006C0D8D"/>
    <w:rsid w:val="006D29E8"/>
    <w:rsid w:val="006D56E5"/>
    <w:rsid w:val="006E1C49"/>
    <w:rsid w:val="006E37D0"/>
    <w:rsid w:val="006F17D2"/>
    <w:rsid w:val="007026D2"/>
    <w:rsid w:val="007068CB"/>
    <w:rsid w:val="007100C7"/>
    <w:rsid w:val="00712F1A"/>
    <w:rsid w:val="0071526E"/>
    <w:rsid w:val="0072451D"/>
    <w:rsid w:val="00731C46"/>
    <w:rsid w:val="00736A05"/>
    <w:rsid w:val="00741271"/>
    <w:rsid w:val="007464EC"/>
    <w:rsid w:val="00757743"/>
    <w:rsid w:val="00764EC7"/>
    <w:rsid w:val="00770EEA"/>
    <w:rsid w:val="00775D67"/>
    <w:rsid w:val="00776A45"/>
    <w:rsid w:val="007816A6"/>
    <w:rsid w:val="00786384"/>
    <w:rsid w:val="007945CA"/>
    <w:rsid w:val="007A3B34"/>
    <w:rsid w:val="007A4EA1"/>
    <w:rsid w:val="007A594A"/>
    <w:rsid w:val="007C1A9C"/>
    <w:rsid w:val="007C3BB9"/>
    <w:rsid w:val="007C74C8"/>
    <w:rsid w:val="007E3472"/>
    <w:rsid w:val="007E6AF4"/>
    <w:rsid w:val="007F4307"/>
    <w:rsid w:val="007F69F9"/>
    <w:rsid w:val="00800132"/>
    <w:rsid w:val="0080118F"/>
    <w:rsid w:val="00802DAB"/>
    <w:rsid w:val="00806706"/>
    <w:rsid w:val="0080673C"/>
    <w:rsid w:val="00825EB0"/>
    <w:rsid w:val="00827EC1"/>
    <w:rsid w:val="0083537E"/>
    <w:rsid w:val="008458F8"/>
    <w:rsid w:val="00846081"/>
    <w:rsid w:val="008474EB"/>
    <w:rsid w:val="0085079E"/>
    <w:rsid w:val="00863ADD"/>
    <w:rsid w:val="00874D72"/>
    <w:rsid w:val="00876CE6"/>
    <w:rsid w:val="00880346"/>
    <w:rsid w:val="0089081A"/>
    <w:rsid w:val="008A7140"/>
    <w:rsid w:val="008C1C19"/>
    <w:rsid w:val="008C711B"/>
    <w:rsid w:val="008D3BFD"/>
    <w:rsid w:val="008D53DB"/>
    <w:rsid w:val="00904609"/>
    <w:rsid w:val="00912BE5"/>
    <w:rsid w:val="00915B26"/>
    <w:rsid w:val="00921B50"/>
    <w:rsid w:val="00921E47"/>
    <w:rsid w:val="00923BE8"/>
    <w:rsid w:val="00930A97"/>
    <w:rsid w:val="00934E8D"/>
    <w:rsid w:val="0095743A"/>
    <w:rsid w:val="0096217F"/>
    <w:rsid w:val="00964AAB"/>
    <w:rsid w:val="00971DFA"/>
    <w:rsid w:val="009757CD"/>
    <w:rsid w:val="00981A07"/>
    <w:rsid w:val="00987022"/>
    <w:rsid w:val="009902ED"/>
    <w:rsid w:val="009A7919"/>
    <w:rsid w:val="009C41AA"/>
    <w:rsid w:val="009C5C1A"/>
    <w:rsid w:val="009D4314"/>
    <w:rsid w:val="009D556D"/>
    <w:rsid w:val="009F68F0"/>
    <w:rsid w:val="00A00CCA"/>
    <w:rsid w:val="00A0546C"/>
    <w:rsid w:val="00A11ACF"/>
    <w:rsid w:val="00A17EDE"/>
    <w:rsid w:val="00A316DE"/>
    <w:rsid w:val="00A5732B"/>
    <w:rsid w:val="00A61780"/>
    <w:rsid w:val="00A6436C"/>
    <w:rsid w:val="00A6678E"/>
    <w:rsid w:val="00A73ED4"/>
    <w:rsid w:val="00A7740D"/>
    <w:rsid w:val="00AA1F90"/>
    <w:rsid w:val="00AD0082"/>
    <w:rsid w:val="00AD157C"/>
    <w:rsid w:val="00AD4FEC"/>
    <w:rsid w:val="00AD7D6B"/>
    <w:rsid w:val="00AE389B"/>
    <w:rsid w:val="00AF68D4"/>
    <w:rsid w:val="00B00884"/>
    <w:rsid w:val="00B02826"/>
    <w:rsid w:val="00B10002"/>
    <w:rsid w:val="00B14B5B"/>
    <w:rsid w:val="00B310B0"/>
    <w:rsid w:val="00B33490"/>
    <w:rsid w:val="00B335FD"/>
    <w:rsid w:val="00B41638"/>
    <w:rsid w:val="00B508DA"/>
    <w:rsid w:val="00B53A1F"/>
    <w:rsid w:val="00B57C5A"/>
    <w:rsid w:val="00B61D6B"/>
    <w:rsid w:val="00B6339C"/>
    <w:rsid w:val="00B747A9"/>
    <w:rsid w:val="00B86BD4"/>
    <w:rsid w:val="00BA491F"/>
    <w:rsid w:val="00BC1169"/>
    <w:rsid w:val="00BC4D46"/>
    <w:rsid w:val="00BC4E4A"/>
    <w:rsid w:val="00BD7190"/>
    <w:rsid w:val="00BF038D"/>
    <w:rsid w:val="00BF175D"/>
    <w:rsid w:val="00BF7EBE"/>
    <w:rsid w:val="00C0527D"/>
    <w:rsid w:val="00C05501"/>
    <w:rsid w:val="00C067F5"/>
    <w:rsid w:val="00C12F52"/>
    <w:rsid w:val="00C213E9"/>
    <w:rsid w:val="00C438BD"/>
    <w:rsid w:val="00C644D6"/>
    <w:rsid w:val="00C66ACE"/>
    <w:rsid w:val="00C853FD"/>
    <w:rsid w:val="00C85E99"/>
    <w:rsid w:val="00C921FC"/>
    <w:rsid w:val="00C92DF4"/>
    <w:rsid w:val="00C93BFD"/>
    <w:rsid w:val="00C97798"/>
    <w:rsid w:val="00CB0F4A"/>
    <w:rsid w:val="00CB3155"/>
    <w:rsid w:val="00CB4222"/>
    <w:rsid w:val="00CC5A4E"/>
    <w:rsid w:val="00CD693F"/>
    <w:rsid w:val="00CE15DD"/>
    <w:rsid w:val="00CF4B0B"/>
    <w:rsid w:val="00CF52B0"/>
    <w:rsid w:val="00CF58FB"/>
    <w:rsid w:val="00CF74B5"/>
    <w:rsid w:val="00D0191F"/>
    <w:rsid w:val="00D056A3"/>
    <w:rsid w:val="00D15A8C"/>
    <w:rsid w:val="00D17F68"/>
    <w:rsid w:val="00D24655"/>
    <w:rsid w:val="00D24A2C"/>
    <w:rsid w:val="00D3016D"/>
    <w:rsid w:val="00D335E2"/>
    <w:rsid w:val="00D33720"/>
    <w:rsid w:val="00D36EAA"/>
    <w:rsid w:val="00D405A8"/>
    <w:rsid w:val="00D53964"/>
    <w:rsid w:val="00D70363"/>
    <w:rsid w:val="00D72609"/>
    <w:rsid w:val="00D74068"/>
    <w:rsid w:val="00D81089"/>
    <w:rsid w:val="00D860E6"/>
    <w:rsid w:val="00D91C03"/>
    <w:rsid w:val="00D92C70"/>
    <w:rsid w:val="00D94224"/>
    <w:rsid w:val="00DA77FB"/>
    <w:rsid w:val="00DB0CD5"/>
    <w:rsid w:val="00DB14F7"/>
    <w:rsid w:val="00DC3BEB"/>
    <w:rsid w:val="00DC5B96"/>
    <w:rsid w:val="00DC7261"/>
    <w:rsid w:val="00DD2DA3"/>
    <w:rsid w:val="00DD4BC4"/>
    <w:rsid w:val="00DE50ED"/>
    <w:rsid w:val="00DF1470"/>
    <w:rsid w:val="00DF3CBA"/>
    <w:rsid w:val="00DF74FC"/>
    <w:rsid w:val="00E02C98"/>
    <w:rsid w:val="00E04C4E"/>
    <w:rsid w:val="00E114AB"/>
    <w:rsid w:val="00E12D7E"/>
    <w:rsid w:val="00E1488F"/>
    <w:rsid w:val="00E209AC"/>
    <w:rsid w:val="00E34B91"/>
    <w:rsid w:val="00E4365A"/>
    <w:rsid w:val="00E44242"/>
    <w:rsid w:val="00E51A12"/>
    <w:rsid w:val="00E53687"/>
    <w:rsid w:val="00E6162C"/>
    <w:rsid w:val="00E61F09"/>
    <w:rsid w:val="00E7535E"/>
    <w:rsid w:val="00E80306"/>
    <w:rsid w:val="00E857A8"/>
    <w:rsid w:val="00E90C27"/>
    <w:rsid w:val="00EA1AD4"/>
    <w:rsid w:val="00EA3B0A"/>
    <w:rsid w:val="00EB4C09"/>
    <w:rsid w:val="00EB5AC2"/>
    <w:rsid w:val="00EC0AC6"/>
    <w:rsid w:val="00EC279C"/>
    <w:rsid w:val="00ED2B41"/>
    <w:rsid w:val="00EE05D0"/>
    <w:rsid w:val="00F009FE"/>
    <w:rsid w:val="00F00A44"/>
    <w:rsid w:val="00F012E3"/>
    <w:rsid w:val="00F04826"/>
    <w:rsid w:val="00F159EE"/>
    <w:rsid w:val="00F24DCB"/>
    <w:rsid w:val="00F265D7"/>
    <w:rsid w:val="00F317D4"/>
    <w:rsid w:val="00F32A4D"/>
    <w:rsid w:val="00F37D68"/>
    <w:rsid w:val="00F40C5A"/>
    <w:rsid w:val="00F53497"/>
    <w:rsid w:val="00F6532A"/>
    <w:rsid w:val="00F65D4A"/>
    <w:rsid w:val="00F71422"/>
    <w:rsid w:val="00F75FF6"/>
    <w:rsid w:val="00F80685"/>
    <w:rsid w:val="00F82306"/>
    <w:rsid w:val="00F9225C"/>
    <w:rsid w:val="00F97EED"/>
    <w:rsid w:val="00FB5032"/>
    <w:rsid w:val="00FB69FB"/>
    <w:rsid w:val="00FB6D2B"/>
    <w:rsid w:val="00FC1185"/>
    <w:rsid w:val="00FC2C3B"/>
    <w:rsid w:val="00FD1916"/>
    <w:rsid w:val="00FE0C6F"/>
    <w:rsid w:val="00FE4ABA"/>
    <w:rsid w:val="00FF3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349C-B34C-464C-8788-1A38E3D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2706-7B7B-4522-83DE-4549510E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99</cp:revision>
  <cp:lastPrinted>2016-12-10T19:59:00Z</cp:lastPrinted>
  <dcterms:created xsi:type="dcterms:W3CDTF">2016-04-22T09:10:00Z</dcterms:created>
  <dcterms:modified xsi:type="dcterms:W3CDTF">2016-12-10T20:07:00Z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