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D322B2B" w14:textId="23BD0A5F" w:rsidR="007E1256" w:rsidRDefault="007E1256"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r w:rsidRPr="001874B9">
        <w:rPr>
          <w:rFonts w:asciiTheme="majorBidi" w:eastAsia="Times New Roman" w:hAnsiTheme="majorBidi" w:cstheme="majorBidi"/>
          <w:b/>
          <w:bCs/>
          <w:i/>
          <w:iCs/>
          <w:color w:val="333333"/>
          <w:kern w:val="36"/>
          <w:sz w:val="28"/>
          <w:szCs w:val="28"/>
        </w:rPr>
        <w:t xml:space="preserve">Final Draft for </w:t>
      </w:r>
      <w:r w:rsidR="00E51489">
        <w:rPr>
          <w:rFonts w:asciiTheme="majorBidi" w:eastAsia="Times New Roman" w:hAnsiTheme="majorBidi" w:cstheme="majorBidi"/>
          <w:b/>
          <w:bCs/>
          <w:i/>
          <w:iCs/>
          <w:color w:val="333333"/>
          <w:kern w:val="36"/>
          <w:sz w:val="28"/>
          <w:szCs w:val="28"/>
        </w:rPr>
        <w:t xml:space="preserve">Second </w:t>
      </w:r>
      <w:r w:rsidRPr="001874B9">
        <w:rPr>
          <w:rFonts w:asciiTheme="majorBidi" w:eastAsia="Times New Roman" w:hAnsiTheme="majorBidi" w:cstheme="majorBidi"/>
          <w:b/>
          <w:bCs/>
          <w:i/>
          <w:iCs/>
          <w:color w:val="333333"/>
          <w:kern w:val="36"/>
          <w:sz w:val="28"/>
          <w:szCs w:val="28"/>
        </w:rPr>
        <w:t>Public Comment</w:t>
      </w:r>
    </w:p>
    <w:p w14:paraId="2643A8EB" w14:textId="0BE8B66E" w:rsidR="00E51489" w:rsidRPr="001874B9" w:rsidRDefault="00E51489"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r>
        <w:rPr>
          <w:rFonts w:asciiTheme="majorBidi" w:eastAsia="Times New Roman" w:hAnsiTheme="majorBidi" w:cstheme="majorBidi"/>
          <w:b/>
          <w:bCs/>
          <w:i/>
          <w:iCs/>
          <w:color w:val="333333"/>
          <w:kern w:val="36"/>
          <w:sz w:val="28"/>
          <w:szCs w:val="28"/>
        </w:rPr>
        <w:t>18 October 2017</w:t>
      </w:r>
    </w:p>
    <w:p w14:paraId="3EA007FD" w14:textId="77777777" w:rsidR="004964CA" w:rsidRDefault="004964CA" w:rsidP="004964CA">
      <w:pPr>
        <w:rPr>
          <w:rFonts w:asciiTheme="majorBidi" w:eastAsia="Times New Roman" w:hAnsiTheme="majorBidi" w:cstheme="majorBidi"/>
          <w:color w:val="333333"/>
          <w:sz w:val="24"/>
          <w:szCs w:val="24"/>
        </w:rPr>
      </w:pPr>
    </w:p>
    <w:p w14:paraId="1C5F44B6" w14:textId="77777777" w:rsidR="004964CA" w:rsidRDefault="004964CA" w:rsidP="004964CA">
      <w:pPr>
        <w:shd w:val="clear" w:color="auto" w:fill="FBC6B7"/>
        <w:spacing w:after="161" w:line="240" w:lineRule="auto"/>
        <w:outlineLvl w:val="0"/>
        <w:rPr>
          <w:rFonts w:asciiTheme="majorBidi" w:eastAsia="Times New Roman" w:hAnsiTheme="majorBidi" w:cstheme="majorBidi"/>
          <w:i/>
          <w:iCs/>
          <w:color w:val="333333"/>
          <w:kern w:val="36"/>
          <w:sz w:val="28"/>
          <w:szCs w:val="28"/>
        </w:rPr>
      </w:pPr>
      <w:r>
        <w:rPr>
          <w:rFonts w:asciiTheme="majorBidi" w:eastAsia="Times New Roman" w:hAnsiTheme="majorBidi" w:cstheme="majorBidi"/>
          <w:i/>
          <w:iCs/>
          <w:color w:val="333333"/>
          <w:kern w:val="36"/>
          <w:sz w:val="28"/>
          <w:szCs w:val="28"/>
        </w:rPr>
        <w:t>In addition to the feedback on any part of this document, specific input is sought on the following items through the second public comment:</w:t>
      </w:r>
    </w:p>
    <w:p w14:paraId="0DDBBEC1" w14:textId="77777777" w:rsidR="004964CA" w:rsidRDefault="004964CA" w:rsidP="004964CA">
      <w:pPr>
        <w:pStyle w:val="ListParagraph"/>
        <w:numPr>
          <w:ilvl w:val="0"/>
          <w:numId w:val="44"/>
        </w:numPr>
        <w:shd w:val="clear" w:color="auto" w:fill="FBC6B7"/>
        <w:spacing w:after="161" w:line="240" w:lineRule="auto"/>
        <w:outlineLvl w:val="0"/>
        <w:rPr>
          <w:rFonts w:asciiTheme="majorBidi" w:eastAsia="Times New Roman" w:hAnsiTheme="majorBidi" w:cstheme="majorBidi"/>
          <w:i/>
          <w:iCs/>
          <w:color w:val="333333"/>
          <w:kern w:val="36"/>
          <w:sz w:val="28"/>
          <w:szCs w:val="28"/>
        </w:rPr>
      </w:pPr>
      <w:r>
        <w:rPr>
          <w:rFonts w:asciiTheme="majorBidi" w:eastAsia="Times New Roman" w:hAnsiTheme="majorBidi" w:cstheme="majorBidi"/>
          <w:i/>
          <w:iCs/>
          <w:color w:val="333333"/>
          <w:kern w:val="36"/>
          <w:sz w:val="28"/>
          <w:szCs w:val="28"/>
        </w:rPr>
        <w:t xml:space="preserve">Based on the </w:t>
      </w:r>
      <w:hyperlink r:id="rId8" w:history="1">
        <w:r>
          <w:rPr>
            <w:rStyle w:val="Hyperlink"/>
            <w:rFonts w:asciiTheme="majorBidi" w:eastAsia="Times New Roman" w:hAnsiTheme="majorBidi" w:cstheme="majorBidi"/>
            <w:i/>
            <w:iCs/>
            <w:kern w:val="36"/>
            <w:sz w:val="28"/>
            <w:szCs w:val="28"/>
          </w:rPr>
          <w:t>query by NIC Chile</w:t>
        </w:r>
      </w:hyperlink>
      <w:r>
        <w:rPr>
          <w:rFonts w:asciiTheme="majorBidi" w:eastAsia="Times New Roman" w:hAnsiTheme="majorBidi" w:cstheme="majorBidi"/>
          <w:i/>
          <w:iCs/>
          <w:color w:val="333333"/>
          <w:kern w:val="36"/>
          <w:sz w:val="28"/>
          <w:szCs w:val="28"/>
        </w:rPr>
        <w:t xml:space="preserve"> during </w:t>
      </w:r>
      <w:hyperlink r:id="rId9" w:history="1">
        <w:r>
          <w:rPr>
            <w:rStyle w:val="Hyperlink"/>
            <w:rFonts w:asciiTheme="majorBidi" w:eastAsia="Times New Roman" w:hAnsiTheme="majorBidi" w:cstheme="majorBidi"/>
            <w:i/>
            <w:iCs/>
            <w:kern w:val="36"/>
            <w:sz w:val="28"/>
            <w:szCs w:val="28"/>
          </w:rPr>
          <w:t>first public comment</w:t>
        </w:r>
      </w:hyperlink>
      <w:r>
        <w:rPr>
          <w:rFonts w:asciiTheme="majorBidi" w:eastAsia="Times New Roman" w:hAnsiTheme="majorBidi" w:cstheme="majorBidi"/>
          <w:i/>
          <w:iCs/>
          <w:color w:val="333333"/>
          <w:kern w:val="36"/>
          <w:sz w:val="28"/>
          <w:szCs w:val="28"/>
        </w:rPr>
        <w:t xml:space="preserve"> on the earlier version of this draft, the WG has clarified the scope of these guidelines in Section 1.2.  Is this the right scope for these guidelines?</w:t>
      </w:r>
    </w:p>
    <w:p w14:paraId="4231B446" w14:textId="77777777" w:rsidR="004964CA" w:rsidRDefault="004964CA" w:rsidP="004964CA">
      <w:pPr>
        <w:pStyle w:val="ListParagraph"/>
        <w:numPr>
          <w:ilvl w:val="0"/>
          <w:numId w:val="44"/>
        </w:numPr>
        <w:shd w:val="clear" w:color="auto" w:fill="FBC6B7"/>
        <w:spacing w:after="161" w:line="240" w:lineRule="auto"/>
        <w:outlineLvl w:val="0"/>
        <w:rPr>
          <w:rFonts w:asciiTheme="majorBidi" w:eastAsia="Times New Roman" w:hAnsiTheme="majorBidi" w:cstheme="majorBidi"/>
          <w:i/>
          <w:iCs/>
          <w:color w:val="333333"/>
          <w:kern w:val="36"/>
          <w:sz w:val="28"/>
          <w:szCs w:val="28"/>
        </w:rPr>
      </w:pPr>
      <w:r>
        <w:rPr>
          <w:rFonts w:asciiTheme="majorBidi" w:eastAsia="Times New Roman" w:hAnsiTheme="majorBidi" w:cstheme="majorBidi"/>
          <w:i/>
          <w:iCs/>
          <w:color w:val="333333"/>
          <w:kern w:val="36"/>
          <w:sz w:val="28"/>
          <w:szCs w:val="28"/>
        </w:rPr>
        <w:t xml:space="preserve">What is a reasonable timeline to implement Guidline 6(a), i.e. what should be the value of </w:t>
      </w:r>
      <w:r>
        <w:rPr>
          <w:rFonts w:asciiTheme="majorBidi" w:eastAsia="Times New Roman" w:hAnsiTheme="majorBidi" w:cstheme="majorBidi"/>
          <w:i/>
          <w:iCs/>
          <w:color w:val="333333"/>
          <w:kern w:val="36"/>
          <w:sz w:val="28"/>
          <w:szCs w:val="28"/>
          <w:highlight w:val="yellow"/>
        </w:rPr>
        <w:t>X</w:t>
      </w:r>
      <w:r>
        <w:rPr>
          <w:rFonts w:asciiTheme="majorBidi" w:eastAsia="Times New Roman" w:hAnsiTheme="majorBidi" w:cstheme="majorBidi"/>
          <w:i/>
          <w:iCs/>
          <w:color w:val="333333"/>
          <w:kern w:val="36"/>
          <w:sz w:val="28"/>
          <w:szCs w:val="28"/>
        </w:rPr>
        <w:t xml:space="preserve"> in Additional Note I?</w:t>
      </w:r>
    </w:p>
    <w:p w14:paraId="0D8086EE" w14:textId="77777777" w:rsidR="001874B9" w:rsidRPr="00E51489" w:rsidRDefault="001874B9" w:rsidP="00E51489">
      <w:pPr>
        <w:rPr>
          <w:rFonts w:asciiTheme="majorBidi" w:eastAsia="Times New Roman" w:hAnsiTheme="majorBidi" w:cstheme="majorBidi"/>
          <w:color w:val="333333"/>
          <w:sz w:val="24"/>
          <w:szCs w:val="24"/>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6E76BCE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lastRenderedPageBreak/>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C0FAC8C"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4772A26E"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r w:rsidR="00DA2CD9">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DA2CD9">
        <w:rPr>
          <w:rFonts w:asciiTheme="majorBidi" w:hAnsiTheme="majorBidi" w:cstheme="majorBidi"/>
          <w:sz w:val="24"/>
          <w:szCs w:val="24"/>
        </w:rPr>
        <w:t xml:space="preserve"> Note I</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w:t>
      </w:r>
      <w:r w:rsidRPr="0054624D">
        <w:rPr>
          <w:rFonts w:asciiTheme="majorBidi" w:hAnsiTheme="majorBidi" w:cstheme="majorBidi"/>
          <w:sz w:val="24"/>
          <w:szCs w:val="24"/>
        </w:rPr>
        <w:lastRenderedPageBreak/>
        <w:t>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TLD Registries may activate an IDN Variant Label, provided that i)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3D90BFCC"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w:t>
      </w:r>
      <w:r w:rsidRPr="00D001C8">
        <w:rPr>
          <w:rFonts w:asciiTheme="majorBidi" w:hAnsiTheme="majorBidi" w:cstheme="majorBidi"/>
          <w:bCs/>
          <w:sz w:val="24"/>
          <w:szCs w:val="24"/>
          <w:lang w:val="en-CA"/>
        </w:rPr>
        <w:lastRenderedPageBreak/>
        <w:t xml:space="preserve">public policy. At the same time, TLD registries shall re-evaluate potential variant relationships that may require to create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7946F8DD"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IV.</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3C8FA1FE"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IV.</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56962CBF" w:rsidR="0090194C" w:rsidRPr="00D001C8" w:rsidRDefault="00D001C8" w:rsidP="00294E4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V.</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367291D5"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V</w:t>
      </w:r>
      <w:r w:rsidR="000C7872"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6C747F29"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r w:rsidRPr="00E51EC0">
        <w:rPr>
          <w:rFonts w:asciiTheme="majorBidi" w:hAnsiTheme="majorBidi" w:cstheme="majorBidi"/>
          <w:sz w:val="24"/>
          <w:szCs w:val="24"/>
          <w:highlight w:val="yellow"/>
        </w:rPr>
        <w:t>X months</w:t>
      </w:r>
      <w:r w:rsidRPr="00092B41">
        <w:rPr>
          <w:rFonts w:asciiTheme="majorBidi" w:hAnsiTheme="majorBidi" w:cstheme="majorBidi"/>
          <w:sz w:val="24"/>
          <w:szCs w:val="24"/>
        </w:rPr>
        <w:t xml:space="preserve"> from the publication of these guidelines to implement the LGR format for </w:t>
      </w:r>
      <w:r w:rsidR="000B2D64">
        <w:rPr>
          <w:rFonts w:asciiTheme="majorBidi" w:hAnsiTheme="majorBidi" w:cstheme="majorBidi"/>
          <w:sz w:val="24"/>
          <w:szCs w:val="24"/>
        </w:rPr>
        <w:t>IDN Table</w:t>
      </w:r>
      <w:r w:rsidRPr="00092B41">
        <w:rPr>
          <w:rFonts w:asciiTheme="majorBidi" w:hAnsiTheme="majorBidi" w:cstheme="majorBidi"/>
          <w:sz w:val="24"/>
          <w:szCs w:val="24"/>
        </w:rPr>
        <w:t xml:space="preserve">s.    </w:t>
      </w:r>
    </w:p>
    <w:p w14:paraId="10E5C655" w14:textId="6AD6930C"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lastRenderedPageBreak/>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 xml:space="preserve">(i) </w:t>
      </w:r>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using a particular script under the same TLD must be collectively considered for analysis of variants of code points for each of these IDN Tables.  These 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(unitl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7C3B78C" w14:textId="77777777" w:rsidR="008476AF" w:rsidRPr="0054624D" w:rsidRDefault="008476AF" w:rsidP="008476AF">
            <w:pPr>
              <w:rPr>
                <w:rFonts w:asciiTheme="majorBidi" w:hAnsiTheme="majorBidi" w:cstheme="majorBidi"/>
                <w:sz w:val="24"/>
                <w:szCs w:val="24"/>
              </w:rPr>
            </w:pP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6494121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0"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BD69DA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4"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5"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45CC3BD6"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given  IDN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5FB03EB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Specification of permitted code points and combition of those in domains name labels .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those  specified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0103A5AF"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B6766" w14:textId="1357D565"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also contain the character classes that they depend on, and any actions that </w:t>
            </w:r>
            <w:r w:rsidRPr="0054624D">
              <w:rPr>
                <w:rFonts w:asciiTheme="majorBidi" w:hAnsiTheme="majorBidi" w:cstheme="majorBidi"/>
                <w:sz w:val="24"/>
                <w:szCs w:val="24"/>
              </w:rPr>
              <w:lastRenderedPageBreak/>
              <w:t>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7" w:anchor="section-6" w:history="1">
              <w:r w:rsidRPr="0054624D">
                <w:rPr>
                  <w:rStyle w:val="Hyperlink"/>
                  <w:rFonts w:asciiTheme="majorBidi" w:hAnsiTheme="majorBidi" w:cstheme="majorBidi"/>
                  <w:sz w:val="24"/>
                  <w:szCs w:val="24"/>
                </w:rPr>
                <w:t>RFC 7940, Seciton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8"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bookmarkStart w:id="0" w:name="_GoBack"/>
      <w:bookmarkEnd w:id="0"/>
    </w:p>
    <w:sectPr w:rsidR="00C90BD5" w:rsidRPr="00FD7B15" w:rsidSect="009D326C">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EBB61" w14:textId="77777777" w:rsidR="00A7759B" w:rsidRDefault="00A7759B" w:rsidP="006D010D">
      <w:pPr>
        <w:spacing w:after="0" w:line="240" w:lineRule="auto"/>
      </w:pPr>
      <w:r>
        <w:separator/>
      </w:r>
    </w:p>
  </w:endnote>
  <w:endnote w:type="continuationSeparator" w:id="0">
    <w:p w14:paraId="450A66FB" w14:textId="77777777" w:rsidR="00A7759B" w:rsidRDefault="00A7759B"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4AC38A57" w:rsidR="00C62D9B" w:rsidRDefault="00C62D9B">
        <w:pPr>
          <w:pStyle w:val="Footer"/>
          <w:jc w:val="center"/>
        </w:pPr>
        <w:r>
          <w:fldChar w:fldCharType="begin"/>
        </w:r>
        <w:r>
          <w:instrText xml:space="preserve"> PAGE   \* MERGEFORMAT </w:instrText>
        </w:r>
        <w:r>
          <w:fldChar w:fldCharType="separate"/>
        </w:r>
        <w:r w:rsidR="00E51EC0">
          <w:rPr>
            <w:noProof/>
          </w:rPr>
          <w:t>13</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FBEE7" w14:textId="77777777" w:rsidR="00A7759B" w:rsidRDefault="00A7759B" w:rsidP="006D010D">
      <w:pPr>
        <w:spacing w:after="0" w:line="240" w:lineRule="auto"/>
      </w:pPr>
      <w:r>
        <w:separator/>
      </w:r>
    </w:p>
  </w:footnote>
  <w:footnote w:type="continuationSeparator" w:id="0">
    <w:p w14:paraId="2D66A1FD" w14:textId="77777777" w:rsidR="00A7759B" w:rsidRDefault="00A7759B"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5"/>
  </w:num>
  <w:num w:numId="13">
    <w:abstractNumId w:val="15"/>
  </w:num>
  <w:num w:numId="14">
    <w:abstractNumId w:val="3"/>
  </w:num>
  <w:num w:numId="15">
    <w:abstractNumId w:val="11"/>
  </w:num>
  <w:num w:numId="16">
    <w:abstractNumId w:val="8"/>
  </w:num>
  <w:num w:numId="17">
    <w:abstractNumId w:val="15"/>
  </w:num>
  <w:num w:numId="18">
    <w:abstractNumId w:val="15"/>
  </w:num>
  <w:num w:numId="19">
    <w:abstractNumId w:val="11"/>
  </w:num>
  <w:num w:numId="20">
    <w:abstractNumId w:val="15"/>
  </w:num>
  <w:num w:numId="21">
    <w:abstractNumId w:val="15"/>
  </w:num>
  <w:num w:numId="22">
    <w:abstractNumId w:val="2"/>
  </w:num>
  <w:num w:numId="23">
    <w:abstractNumId w:val="14"/>
  </w:num>
  <w:num w:numId="24">
    <w:abstractNumId w:val="7"/>
  </w:num>
  <w:num w:numId="25">
    <w:abstractNumId w:val="15"/>
  </w:num>
  <w:num w:numId="26">
    <w:abstractNumId w:val="15"/>
  </w:num>
  <w:num w:numId="27">
    <w:abstractNumId w:val="4"/>
  </w:num>
  <w:num w:numId="28">
    <w:abstractNumId w:val="15"/>
  </w:num>
  <w:num w:numId="29">
    <w:abstractNumId w:val="6"/>
  </w:num>
  <w:num w:numId="30">
    <w:abstractNumId w:val="0"/>
  </w:num>
  <w:num w:numId="31">
    <w:abstractNumId w:val="10"/>
  </w:num>
  <w:num w:numId="32">
    <w:abstractNumId w:val="13"/>
  </w:num>
  <w:num w:numId="33">
    <w:abstractNumId w:val="9"/>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2D64"/>
    <w:rsid w:val="000B7CB0"/>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C8C"/>
    <w:rsid w:val="002C6EAE"/>
    <w:rsid w:val="002D1393"/>
    <w:rsid w:val="002D5AAB"/>
    <w:rsid w:val="002D7AD6"/>
    <w:rsid w:val="002E2349"/>
    <w:rsid w:val="002E2F13"/>
    <w:rsid w:val="002F2BC3"/>
    <w:rsid w:val="002F666C"/>
    <w:rsid w:val="002F6CE9"/>
    <w:rsid w:val="0030281D"/>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5469C"/>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728DF"/>
    <w:rsid w:val="0048283B"/>
    <w:rsid w:val="00490780"/>
    <w:rsid w:val="00494322"/>
    <w:rsid w:val="004964CA"/>
    <w:rsid w:val="004A6967"/>
    <w:rsid w:val="004B49E8"/>
    <w:rsid w:val="004B5F92"/>
    <w:rsid w:val="004B73FE"/>
    <w:rsid w:val="004C1110"/>
    <w:rsid w:val="004C2241"/>
    <w:rsid w:val="004C6628"/>
    <w:rsid w:val="004D3211"/>
    <w:rsid w:val="004F543F"/>
    <w:rsid w:val="004F7370"/>
    <w:rsid w:val="00503746"/>
    <w:rsid w:val="00504DE8"/>
    <w:rsid w:val="00524337"/>
    <w:rsid w:val="005260CA"/>
    <w:rsid w:val="005346F1"/>
    <w:rsid w:val="0053545B"/>
    <w:rsid w:val="0053669D"/>
    <w:rsid w:val="005420A1"/>
    <w:rsid w:val="005444A2"/>
    <w:rsid w:val="0054459E"/>
    <w:rsid w:val="005459C9"/>
    <w:rsid w:val="0054624D"/>
    <w:rsid w:val="0054705B"/>
    <w:rsid w:val="0054709A"/>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2068F"/>
    <w:rsid w:val="00721073"/>
    <w:rsid w:val="00725CCA"/>
    <w:rsid w:val="00732DE2"/>
    <w:rsid w:val="0073651B"/>
    <w:rsid w:val="007370A3"/>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800214"/>
    <w:rsid w:val="00805BC3"/>
    <w:rsid w:val="008100CC"/>
    <w:rsid w:val="008137D3"/>
    <w:rsid w:val="0081592F"/>
    <w:rsid w:val="00816AA6"/>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3649"/>
    <w:rsid w:val="00A43A8D"/>
    <w:rsid w:val="00A47BF5"/>
    <w:rsid w:val="00A67300"/>
    <w:rsid w:val="00A77235"/>
    <w:rsid w:val="00A7759B"/>
    <w:rsid w:val="00A7770A"/>
    <w:rsid w:val="00A816F3"/>
    <w:rsid w:val="00A818C7"/>
    <w:rsid w:val="00A856A4"/>
    <w:rsid w:val="00AA1A1F"/>
    <w:rsid w:val="00AA4B0C"/>
    <w:rsid w:val="00AA57F6"/>
    <w:rsid w:val="00AA6E2B"/>
    <w:rsid w:val="00AB3DEB"/>
    <w:rsid w:val="00AB47C5"/>
    <w:rsid w:val="00AB6248"/>
    <w:rsid w:val="00AC0AC7"/>
    <w:rsid w:val="00AC2ED6"/>
    <w:rsid w:val="00AC6357"/>
    <w:rsid w:val="00AC779A"/>
    <w:rsid w:val="00AD10FC"/>
    <w:rsid w:val="00AD1AC0"/>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40CBA"/>
    <w:rsid w:val="00B42A33"/>
    <w:rsid w:val="00B44B9A"/>
    <w:rsid w:val="00B45122"/>
    <w:rsid w:val="00B509E2"/>
    <w:rsid w:val="00B54D41"/>
    <w:rsid w:val="00B62168"/>
    <w:rsid w:val="00B62D9E"/>
    <w:rsid w:val="00B70DD9"/>
    <w:rsid w:val="00B70E06"/>
    <w:rsid w:val="00B76601"/>
    <w:rsid w:val="00B80464"/>
    <w:rsid w:val="00B90084"/>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5EC9"/>
    <w:rsid w:val="00C700CD"/>
    <w:rsid w:val="00C70374"/>
    <w:rsid w:val="00C72766"/>
    <w:rsid w:val="00C730DD"/>
    <w:rsid w:val="00C9016E"/>
    <w:rsid w:val="00C90BD5"/>
    <w:rsid w:val="00C97CD2"/>
    <w:rsid w:val="00CA040C"/>
    <w:rsid w:val="00CA1EC0"/>
    <w:rsid w:val="00CA2E21"/>
    <w:rsid w:val="00CA3A00"/>
    <w:rsid w:val="00CA5963"/>
    <w:rsid w:val="00CA76BC"/>
    <w:rsid w:val="00CA7DD7"/>
    <w:rsid w:val="00CB5F45"/>
    <w:rsid w:val="00CC553C"/>
    <w:rsid w:val="00CC7CD0"/>
    <w:rsid w:val="00CD1C7D"/>
    <w:rsid w:val="00CD2C5B"/>
    <w:rsid w:val="00CD440F"/>
    <w:rsid w:val="00CD6D6A"/>
    <w:rsid w:val="00CF0F69"/>
    <w:rsid w:val="00CF376F"/>
    <w:rsid w:val="00CF391D"/>
    <w:rsid w:val="00CF56A8"/>
    <w:rsid w:val="00D001C8"/>
    <w:rsid w:val="00D03B3C"/>
    <w:rsid w:val="00D06E47"/>
    <w:rsid w:val="00D07930"/>
    <w:rsid w:val="00D079A4"/>
    <w:rsid w:val="00D12FB2"/>
    <w:rsid w:val="00D139AF"/>
    <w:rsid w:val="00D23BF8"/>
    <w:rsid w:val="00D25A0F"/>
    <w:rsid w:val="00D26821"/>
    <w:rsid w:val="00D30711"/>
    <w:rsid w:val="00D36CCB"/>
    <w:rsid w:val="00D370A8"/>
    <w:rsid w:val="00D374DF"/>
    <w:rsid w:val="00D37F2E"/>
    <w:rsid w:val="00D422F0"/>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5F8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1489"/>
    <w:rsid w:val="00E51EC0"/>
    <w:rsid w:val="00E54975"/>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icann.org/pipermail/comments-idn-guidelines-03mar17/2017-March/000000.html" TargetMode="External"/><Relationship Id="rId13" Type="http://schemas.openxmlformats.org/officeDocument/2006/relationships/hyperlink" Target="http://www.unicode.org/reports/tr24" TargetMode="External"/><Relationship Id="rId18" Type="http://schemas.openxmlformats.org/officeDocument/2006/relationships/hyperlink" Target="https://tools.ietf.org/html/rfc7940" TargetMode="External"/><Relationship Id="rId26" Type="http://schemas.openxmlformats.org/officeDocument/2006/relationships/hyperlink" Target="https://www.icann.org/en/system/files/files/idn-vip-integrated-issues-final-clean-20feb12-en.pdf"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unicode.org/gloss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unicode.org/glossary/" TargetMode="Externa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reports/tr36/" TargetMode="External"/><Relationship Id="rId10" Type="http://schemas.openxmlformats.org/officeDocument/2006/relationships/hyperlink" Target="https://www.icann.org/news/announcement-2015-07-20-en" TargetMode="External"/><Relationship Id="rId19" Type="http://schemas.openxmlformats.org/officeDocument/2006/relationships/hyperlink" Target="https://www.icann.org/en/system/files/files/idn-vip-integrated-issues-final-clean-20feb12-e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ann.org/public-comments/idn-guidelines-2017-03-03-en" TargetMode="External"/><Relationship Id="rId14" Type="http://schemas.openxmlformats.org/officeDocument/2006/relationships/hyperlink" Target="http://unicode.org/reports/tr39/tr39-1.html" TargetMode="External"/><Relationship Id="rId22"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6605-5AC6-496A-992E-D1301698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3</cp:revision>
  <cp:lastPrinted>2017-10-05T11:05:00Z</cp:lastPrinted>
  <dcterms:created xsi:type="dcterms:W3CDTF">2017-10-17T19:36:00Z</dcterms:created>
  <dcterms:modified xsi:type="dcterms:W3CDTF">2017-10-19T03:46:00Z</dcterms:modified>
</cp:coreProperties>
</file>