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A8085C"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A8085C"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A8085C"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1118FD8C" w:rsidR="00865F10" w:rsidRPr="00865F10" w:rsidRDefault="00865F10" w:rsidP="000B0A3E">
            <w:pPr>
              <w:spacing w:after="0" w:line="240" w:lineRule="auto"/>
              <w:rPr>
                <w:rFonts w:ascii="Arial" w:hAnsi="Arial" w:cs="Arial"/>
                <w:color w:val="FF0000"/>
                <w:sz w:val="24"/>
                <w:szCs w:val="24"/>
              </w:rPr>
            </w:pPr>
            <w:r w:rsidRPr="00865F10">
              <w:rPr>
                <w:rFonts w:ascii="Arial" w:hAnsi="Arial" w:cs="Arial"/>
                <w:color w:val="FF0000"/>
                <w:sz w:val="24"/>
                <w:szCs w:val="24"/>
              </w:rPr>
              <w:lastRenderedPageBreak/>
              <w:t>The responses by IDNGWG are presented in red.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15374">
              <w:t xml:space="preserve"> </w:t>
            </w:r>
            <w:r w:rsidR="00D15374" w:rsidRPr="00D15374">
              <w:rPr>
                <w:rFonts w:ascii="Arial" w:hAnsi="Arial" w:cs="Arial"/>
                <w:sz w:val="24"/>
                <w:szCs w:val="24"/>
              </w:rPr>
              <w:t>with a plan to move of existing Cyrillic script second level domain names registered under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to .</w:t>
            </w:r>
            <w:proofErr w:type="spellStart"/>
            <w:r w:rsidR="00D15374" w:rsidRPr="00D15374">
              <w:rPr>
                <w:rFonts w:ascii="Arial" w:hAnsi="Arial" w:cs="Arial"/>
                <w:sz w:val="24"/>
                <w:szCs w:val="24"/>
              </w:rPr>
              <w:t>ею</w:t>
            </w:r>
            <w:proofErr w:type="spellEnd"/>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Default="00B61957" w:rsidP="00B61957">
            <w:pPr>
              <w:spacing w:after="0" w:line="240" w:lineRule="auto"/>
              <w:rPr>
                <w:rFonts w:ascii="Arial" w:hAnsi="Arial" w:cs="Arial"/>
                <w:color w:val="FF0000"/>
                <w:sz w:val="24"/>
                <w:szCs w:val="24"/>
              </w:rPr>
            </w:pPr>
            <w:r w:rsidRPr="00D86742">
              <w:rPr>
                <w:rFonts w:ascii="Arial" w:hAnsi="Arial" w:cs="Arial"/>
                <w:b/>
                <w:bCs/>
                <w:color w:val="FF0000"/>
                <w:sz w:val="24"/>
                <w:szCs w:val="24"/>
              </w:rPr>
              <w:t>IDNGWG Response:</w:t>
            </w:r>
            <w:r w:rsidRPr="00B61957">
              <w:rPr>
                <w:rFonts w:ascii="Arial" w:hAnsi="Arial" w:cs="Arial"/>
                <w:color w:val="FF0000"/>
                <w:sz w:val="24"/>
                <w:szCs w:val="24"/>
              </w:rPr>
              <w:t xml:space="preserve"> </w:t>
            </w:r>
            <w:r w:rsidR="00A34D7D">
              <w:rPr>
                <w:rFonts w:ascii="Arial" w:hAnsi="Arial" w:cs="Arial"/>
                <w:color w:val="FF0000"/>
                <w:sz w:val="24"/>
                <w:szCs w:val="24"/>
              </w:rPr>
              <w:t xml:space="preserve">IDNWG acknowledges EURID’s work with IDNs and welcomes EURID’s intention in engaging in such a form.  </w:t>
            </w:r>
            <w:r>
              <w:rPr>
                <w:rFonts w:ascii="Arial" w:hAnsi="Arial" w:cs="Arial"/>
                <w:color w:val="FF0000"/>
                <w:sz w:val="24"/>
                <w:szCs w:val="24"/>
              </w:rPr>
              <w:t>Th</w:t>
            </w:r>
            <w:r w:rsidR="00BA2D1B">
              <w:rPr>
                <w:rFonts w:ascii="Arial" w:hAnsi="Arial" w:cs="Arial"/>
                <w:color w:val="FF0000"/>
                <w:sz w:val="24"/>
                <w:szCs w:val="24"/>
              </w:rPr>
              <w:t>is</w:t>
            </w:r>
            <w:r>
              <w:rPr>
                <w:rFonts w:ascii="Arial" w:hAnsi="Arial" w:cs="Arial"/>
                <w:color w:val="FF0000"/>
                <w:sz w:val="24"/>
                <w:szCs w:val="24"/>
              </w:rPr>
              <w:t xml:space="preserve"> guideline </w:t>
            </w:r>
            <w:r w:rsidR="00BA2D1B">
              <w:rPr>
                <w:rFonts w:ascii="Arial" w:hAnsi="Arial" w:cs="Arial"/>
                <w:color w:val="FF0000"/>
                <w:sz w:val="24"/>
                <w:szCs w:val="24"/>
              </w:rPr>
              <w:t>is intended to suggest that the</w:t>
            </w:r>
            <w:r>
              <w:rPr>
                <w:rFonts w:ascii="Arial" w:hAnsi="Arial" w:cs="Arial"/>
                <w:color w:val="FF0000"/>
                <w:sz w:val="24"/>
                <w:szCs w:val="24"/>
              </w:rPr>
              <w:t xml:space="preserve"> community to c</w:t>
            </w:r>
            <w:r w:rsidR="00A34D7D">
              <w:rPr>
                <w:rFonts w:ascii="Arial" w:hAnsi="Arial" w:cs="Arial"/>
                <w:color w:val="FF0000"/>
                <w:sz w:val="24"/>
                <w:szCs w:val="24"/>
              </w:rPr>
              <w:t>ollaborate on need basis. The WG will suggest to the ICANN B</w:t>
            </w:r>
            <w:r>
              <w:rPr>
                <w:rFonts w:ascii="Arial" w:hAnsi="Arial" w:cs="Arial"/>
                <w:color w:val="FF0000"/>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5F67780" w14:textId="7883DD6E" w:rsidR="00D86742" w:rsidRPr="00D86742" w:rsidRDefault="00D86742"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guidelines are part of the contractual obligations for relevant gTLD registries and registrars.  These are also recommended for the IDN ccTLDs to follow through the </w:t>
            </w:r>
            <w:r w:rsidR="00BA2D1B">
              <w:rPr>
                <w:rFonts w:ascii="Arial" w:hAnsi="Arial" w:cs="Arial"/>
                <w:color w:val="FF0000"/>
                <w:sz w:val="24"/>
                <w:szCs w:val="24"/>
              </w:rPr>
              <w:t>Fast Track process.  As noted earlier, the guideline is intended to suggest on need basis.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Default="00767051"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Using LGR format is a requirement for new TLDs, new IDN tables or changes in the existing IDN tables, through 6(a).  The guideline 6(b) provides an exception to the established TLD registries with published IDN tables.  The WG does not see any benefit </w:t>
            </w:r>
            <w:r>
              <w:rPr>
                <w:rFonts w:ascii="Arial" w:hAnsi="Arial" w:cs="Arial"/>
                <w:color w:val="FF0000"/>
                <w:sz w:val="24"/>
                <w:szCs w:val="24"/>
              </w:rPr>
              <w:lastRenderedPageBreak/>
              <w:t xml:space="preserve">of taking away this exception, while it would cause extra </w:t>
            </w:r>
            <w:proofErr w:type="spellStart"/>
            <w:r>
              <w:rPr>
                <w:rFonts w:ascii="Arial" w:hAnsi="Arial" w:cs="Arial"/>
                <w:color w:val="FF0000"/>
                <w:sz w:val="24"/>
                <w:szCs w:val="24"/>
              </w:rPr>
              <w:t>labour</w:t>
            </w:r>
            <w:proofErr w:type="spellEnd"/>
            <w:r>
              <w:rPr>
                <w:rFonts w:ascii="Arial" w:hAnsi="Arial" w:cs="Arial"/>
                <w:color w:val="FF0000"/>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3F673C01"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input is noted.  Also see the discussion against RYSG4.  </w:t>
            </w:r>
          </w:p>
          <w:p w14:paraId="414982C4" w14:textId="3132CF97" w:rsidR="005C57DD" w:rsidRDefault="005C57DD" w:rsidP="000B0A3E">
            <w:pPr>
              <w:spacing w:after="0" w:line="240" w:lineRule="auto"/>
              <w:rPr>
                <w:rFonts w:ascii="Arial" w:hAnsi="Arial" w:cs="Arial"/>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669DBA68" w:rsidR="005B6C0C" w:rsidRPr="005B6C0C" w:rsidRDefault="005B6C0C" w:rsidP="00533D8D">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w:t>
            </w:r>
            <w:r w:rsidR="007555F4">
              <w:rPr>
                <w:rFonts w:ascii="Arial" w:hAnsi="Arial" w:cs="Arial"/>
                <w:color w:val="FF0000"/>
                <w:sz w:val="24"/>
                <w:szCs w:val="24"/>
              </w:rPr>
              <w:t xml:space="preserve">The WG agrees with the comment from JPRS that for certain languages, mixing scripts is the usual and not an exceptional case.  The WG also considers that </w:t>
            </w:r>
            <w:r w:rsidR="007555F4" w:rsidRPr="007555F4">
              <w:rPr>
                <w:rFonts w:ascii="Arial" w:hAnsi="Arial" w:cs="Arial"/>
                <w:color w:val="FF0000"/>
                <w:sz w:val="24"/>
                <w:szCs w:val="24"/>
              </w:rPr>
              <w:t>the confusable c</w:t>
            </w:r>
            <w:r w:rsidR="007555F4">
              <w:rPr>
                <w:rFonts w:ascii="Arial" w:hAnsi="Arial" w:cs="Arial"/>
                <w:color w:val="FF0000"/>
                <w:sz w:val="24"/>
                <w:szCs w:val="24"/>
              </w:rPr>
              <w:t xml:space="preserve">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437C9534"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1D74B566" w14:textId="7F816357" w:rsidR="00F30F9B" w:rsidRPr="00F30F9B" w:rsidRDefault="00F30F9B" w:rsidP="003268C9">
            <w:pPr>
              <w:spacing w:after="0" w:line="240" w:lineRule="auto"/>
              <w:rPr>
                <w:rFonts w:ascii="Arial" w:hAnsi="Arial" w:cs="Arial"/>
                <w:color w:val="FF0000"/>
                <w:sz w:val="24"/>
                <w:szCs w:val="24"/>
              </w:rPr>
            </w:pPr>
            <w:r w:rsidRPr="00F30F9B">
              <w:rPr>
                <w:rFonts w:ascii="Arial" w:hAnsi="Arial" w:cs="Arial"/>
                <w:b/>
                <w:bCs/>
                <w:color w:val="FF0000"/>
                <w:sz w:val="24"/>
                <w:szCs w:val="24"/>
              </w:rPr>
              <w:lastRenderedPageBreak/>
              <w:t>IDNGWG Response:</w:t>
            </w:r>
            <w:r>
              <w:rPr>
                <w:rFonts w:ascii="Arial" w:hAnsi="Arial" w:cs="Arial"/>
                <w:color w:val="FF0000"/>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2389C4C3"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The Guidelines be proposed have a limited scope, as defined. Handling spam and malware is out of the scope of the WG’s mandate.</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090D1BBB" w:rsidR="009A1F33" w:rsidRPr="009A45D7" w:rsidRDefault="009A45D7" w:rsidP="00F43F9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8A2C5A">
              <w:rPr>
                <w:rFonts w:ascii="Arial" w:hAnsi="Arial" w:cs="Arial"/>
                <w:color w:val="FF0000"/>
                <w:sz w:val="24"/>
                <w:szCs w:val="24"/>
              </w:rPr>
              <w:t>IDNGWG has considered this feedback, agree with the comment and is intending to redraft the guideline to limit automatic activation of variant labels to a reasonable level to meet their concerns of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F30F9B" w:rsidRDefault="007750B4" w:rsidP="007750B4">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w:t>
            </w:r>
            <w:r w:rsidRPr="00343BA0">
              <w:rPr>
                <w:rFonts w:ascii="Arial" w:hAnsi="Arial" w:cs="Arial"/>
                <w:sz w:val="24"/>
                <w:szCs w:val="24"/>
              </w:rPr>
              <w:lastRenderedPageBreak/>
              <w:t xml:space="preserve">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54CAC843" w:rsidR="00AA5DA0" w:rsidRPr="00AA5DA0" w:rsidRDefault="00AA5DA0" w:rsidP="00AA5DA0">
            <w:pPr>
              <w:spacing w:after="0" w:line="240" w:lineRule="auto"/>
              <w:ind w:left="-18" w:firstLine="18"/>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WG agrees and intends to revise the guideline to remove the reference to “exceptions”.  </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F30F9B" w:rsidRDefault="00AA5DA0" w:rsidP="00AA5DA0">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1116C015" w14:textId="27D41A78" w:rsidR="00C10F6D" w:rsidRPr="003B0777" w:rsidRDefault="00C10F6D" w:rsidP="00C10F6D">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sidR="00E771AA">
              <w:rPr>
                <w:rFonts w:ascii="Arial" w:hAnsi="Arial" w:cs="Arial"/>
                <w:b/>
                <w:bCs/>
                <w:color w:val="FF0000"/>
                <w:sz w:val="24"/>
                <w:szCs w:val="24"/>
              </w:rPr>
              <w:t xml:space="preserve"> </w:t>
            </w:r>
            <w:r w:rsidR="003B0777">
              <w:rPr>
                <w:rFonts w:ascii="Arial" w:hAnsi="Arial" w:cs="Arial"/>
                <w:color w:val="FF0000"/>
                <w:sz w:val="24"/>
                <w:szCs w:val="24"/>
              </w:rPr>
              <w:t xml:space="preserve">IDNGWG thanks AB for a very interesting comment.  The WG notes that this covers three points: </w:t>
            </w:r>
            <w:proofErr w:type="spellStart"/>
            <w:r w:rsidR="003B0777" w:rsidRPr="003B0777">
              <w:rPr>
                <w:rFonts w:ascii="Arial" w:hAnsi="Arial" w:cs="Arial"/>
                <w:color w:val="FF0000"/>
                <w:sz w:val="24"/>
                <w:szCs w:val="24"/>
              </w:rPr>
              <w:t>numerosity</w:t>
            </w:r>
            <w:proofErr w:type="spellEnd"/>
            <w:r w:rsidR="003B0777" w:rsidRPr="003B0777">
              <w:rPr>
                <w:rFonts w:ascii="Arial" w:hAnsi="Arial" w:cs="Arial"/>
                <w:color w:val="FF0000"/>
                <w:sz w:val="24"/>
                <w:szCs w:val="24"/>
              </w:rPr>
              <w:t xml:space="preserve"> of IDN tables for a TLD, multiple IDN tables from the same script and </w:t>
            </w:r>
            <w:r w:rsidR="003B0777">
              <w:rPr>
                <w:rFonts w:ascii="Arial" w:hAnsi="Arial" w:cs="Arial"/>
                <w:color w:val="FF0000"/>
                <w:sz w:val="24"/>
                <w:szCs w:val="24"/>
              </w:rPr>
              <w:t>whole script confusables</w:t>
            </w:r>
            <w:r w:rsidR="003B0777" w:rsidRPr="003B0777">
              <w:rPr>
                <w:rFonts w:ascii="Arial" w:hAnsi="Arial" w:cs="Arial"/>
                <w:color w:val="FF0000"/>
                <w:sz w:val="24"/>
                <w:szCs w:val="24"/>
              </w:rPr>
              <w:t xml:space="preserve">.  </w:t>
            </w:r>
            <w:r w:rsidR="003B0777">
              <w:rPr>
                <w:rFonts w:ascii="Arial" w:hAnsi="Arial" w:cs="Arial"/>
                <w:color w:val="FF0000"/>
                <w:sz w:val="24"/>
                <w:szCs w:val="24"/>
              </w:rPr>
              <w:t xml:space="preserve">The Guidelines are intended for mitigating the end user confusion.  Having many IDN tables provides option to the end-user.  As the user </w:t>
            </w:r>
            <w:proofErr w:type="gramStart"/>
            <w:r w:rsidR="003B0777">
              <w:rPr>
                <w:rFonts w:ascii="Arial" w:hAnsi="Arial" w:cs="Arial"/>
                <w:color w:val="FF0000"/>
                <w:sz w:val="24"/>
                <w:szCs w:val="24"/>
              </w:rPr>
              <w:t>has to</w:t>
            </w:r>
            <w:proofErr w:type="gramEnd"/>
            <w:r w:rsidR="003B0777">
              <w:rPr>
                <w:rFonts w:ascii="Arial" w:hAnsi="Arial" w:cs="Arial"/>
                <w:color w:val="FF0000"/>
                <w:sz w:val="24"/>
                <w:szCs w:val="24"/>
              </w:rPr>
              <w:t xml:space="preserve"> deal with one of these IDN tables during registration and only the registered domain names afterwards, though many IDN tables may have management issues on the registry side, it does not impact the end user as much.  The WG group </w:t>
            </w:r>
            <w:r w:rsidR="006F1E20">
              <w:rPr>
                <w:rFonts w:ascii="Arial" w:hAnsi="Arial" w:cs="Arial"/>
                <w:color w:val="FF0000"/>
                <w:sz w:val="24"/>
                <w:szCs w:val="24"/>
              </w:rPr>
              <w:t>agrees with other</w:t>
            </w:r>
            <w:r w:rsidR="003B0777">
              <w:rPr>
                <w:rFonts w:ascii="Arial" w:hAnsi="Arial" w:cs="Arial"/>
                <w:color w:val="FF0000"/>
                <w:sz w:val="24"/>
                <w:szCs w:val="24"/>
              </w:rPr>
              <w:t xml:space="preserve"> issues raised and has included guidelines for addressing each on, with guideline(s) for managing whole-script confusables and harmonizing variant labels across all IDN tables from the same script being offered.  </w:t>
            </w:r>
            <w:r w:rsidR="007544E0">
              <w:rPr>
                <w:rFonts w:ascii="Arial" w:hAnsi="Arial" w:cs="Arial"/>
                <w:color w:val="FF0000"/>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E32DD7" w:rsidRDefault="007544E0" w:rsidP="0084745E">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E32DD7">
              <w:rPr>
                <w:rFonts w:ascii="Arial" w:hAnsi="Arial" w:cs="Arial"/>
                <w:color w:val="FF0000"/>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lastRenderedPageBreak/>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65F8F741" w:rsidR="0045234E" w:rsidRDefault="0045234E" w:rsidP="00D2056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08665F">
              <w:rPr>
                <w:rFonts w:ascii="Arial" w:hAnsi="Arial" w:cs="Arial"/>
                <w:color w:val="FF0000"/>
                <w:sz w:val="24"/>
                <w:szCs w:val="24"/>
              </w:rPr>
              <w:t>Continue to discuss…</w:t>
            </w:r>
            <w:bookmarkStart w:id="0" w:name="_GoBack"/>
            <w:bookmarkEnd w:id="0"/>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26B8BAC7"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7E21A65" w14:textId="70ED47CE" w:rsidR="00D20562" w:rsidRDefault="00D20562" w:rsidP="00D20562">
            <w:pPr>
              <w:spacing w:after="0" w:line="240" w:lineRule="auto"/>
              <w:rPr>
                <w:rFonts w:ascii="Arial" w:hAnsi="Arial" w:cs="Arial"/>
                <w:sz w:val="24"/>
                <w:szCs w:val="24"/>
              </w:rPr>
            </w:pPr>
          </w:p>
          <w:p w14:paraId="59E8ADB5" w14:textId="2B04A347"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4EC75123" w14:textId="1F6D2D9E" w:rsidR="00D20562" w:rsidRDefault="00D20562" w:rsidP="00D20562">
            <w:pPr>
              <w:spacing w:after="0" w:line="240" w:lineRule="auto"/>
              <w:rPr>
                <w:rFonts w:ascii="Arial" w:hAnsi="Arial" w:cs="Arial"/>
                <w:sz w:val="24"/>
                <w:szCs w:val="24"/>
              </w:rPr>
            </w:pPr>
          </w:p>
          <w:p w14:paraId="2A9C63DE" w14:textId="0BAF5BD9"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6163455C" w14:textId="4F12D382" w:rsidR="006A46C9" w:rsidRDefault="006A46C9" w:rsidP="006A46C9">
            <w:pPr>
              <w:spacing w:after="0" w:line="240" w:lineRule="auto"/>
              <w:rPr>
                <w:rFonts w:ascii="Arial" w:hAnsi="Arial" w:cs="Arial"/>
                <w:sz w:val="24"/>
                <w:szCs w:val="24"/>
              </w:rPr>
            </w:pPr>
          </w:p>
          <w:p w14:paraId="20490D87" w14:textId="77FC20B1"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t xml:space="preserve">NCSG1.  For the first comment regarding Section 1.2, NCSG notes that IDNWG says that it I </w:t>
            </w:r>
            <w:proofErr w:type="gramStart"/>
            <w:r>
              <w:rPr>
                <w:rFonts w:ascii="Arial" w:hAnsi="Arial" w:cs="Arial"/>
                <w:sz w:val="24"/>
                <w:szCs w:val="24"/>
              </w:rPr>
              <w:t>is</w:t>
            </w:r>
            <w:proofErr w:type="gramEnd"/>
            <w:r>
              <w:rPr>
                <w:rFonts w:ascii="Arial" w:hAnsi="Arial" w:cs="Arial"/>
                <w:sz w:val="24"/>
                <w:szCs w:val="24"/>
              </w:rPr>
              <w:t xml:space="preserve"> beyond the scope of the guidelines and raises how ICANN organization is planning to address the case.</w:t>
            </w:r>
          </w:p>
          <w:p w14:paraId="520A4495" w14:textId="77777777" w:rsidR="006E146D" w:rsidRDefault="006E146D" w:rsidP="00583E76">
            <w:pPr>
              <w:spacing w:after="0" w:line="240" w:lineRule="auto"/>
              <w:rPr>
                <w:rFonts w:ascii="Arial" w:hAnsi="Arial" w:cs="Arial"/>
                <w:sz w:val="24"/>
                <w:szCs w:val="24"/>
              </w:rPr>
            </w:pPr>
          </w:p>
          <w:p w14:paraId="0CDF656B" w14:textId="68A17DFD"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8E4174E" w:rsidR="006E146D" w:rsidRDefault="006E146D" w:rsidP="00583E76">
            <w:pPr>
              <w:spacing w:after="0" w:line="240" w:lineRule="auto"/>
              <w:rPr>
                <w:rFonts w:ascii="Arial" w:hAnsi="Arial" w:cs="Arial"/>
                <w:sz w:val="24"/>
                <w:szCs w:val="24"/>
              </w:rPr>
            </w:pP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p w14:paraId="7F7AED86" w14:textId="1CC04756" w:rsidR="0068443E" w:rsidRDefault="0068443E" w:rsidP="00000794">
      <w:pPr>
        <w:spacing w:after="0" w:line="240" w:lineRule="auto"/>
        <w:outlineLvl w:val="0"/>
        <w:rPr>
          <w:rFonts w:ascii="Arial" w:eastAsia="Times New Roman" w:hAnsi="Arial" w:cs="Arial"/>
          <w:bCs/>
          <w:color w:val="000000"/>
          <w:kern w:val="36"/>
          <w:sz w:val="24"/>
          <w:szCs w:val="24"/>
        </w:rPr>
      </w:pPr>
    </w:p>
    <w:p w14:paraId="177D6698" w14:textId="196398D9" w:rsidR="009119ED" w:rsidRPr="009119ED" w:rsidRDefault="009119ED" w:rsidP="00000794">
      <w:pPr>
        <w:spacing w:after="0" w:line="240" w:lineRule="auto"/>
        <w:outlineLvl w:val="0"/>
        <w:rPr>
          <w:rFonts w:ascii="Arial" w:eastAsia="Times New Roman" w:hAnsi="Arial" w:cs="Arial"/>
          <w:b/>
          <w:color w:val="000000"/>
          <w:kern w:val="36"/>
          <w:sz w:val="24"/>
          <w:szCs w:val="24"/>
        </w:rPr>
      </w:pPr>
      <w:r w:rsidRPr="009119ED">
        <w:rPr>
          <w:rFonts w:ascii="Arial" w:eastAsia="Times New Roman" w:hAnsi="Arial" w:cs="Arial"/>
          <w:b/>
          <w:color w:val="000000"/>
          <w:kern w:val="36"/>
          <w:sz w:val="24"/>
          <w:szCs w:val="24"/>
        </w:rPr>
        <w:t>Feedback from BIWG</w:t>
      </w:r>
    </w:p>
    <w:p w14:paraId="4DF8F967" w14:textId="77777777" w:rsidR="009119ED" w:rsidRDefault="009119ED" w:rsidP="00000794">
      <w:pPr>
        <w:spacing w:after="0" w:line="240" w:lineRule="auto"/>
        <w:outlineLvl w:val="0"/>
        <w:rPr>
          <w:rFonts w:ascii="Arial" w:eastAsia="Times New Roman" w:hAnsi="Arial" w:cs="Arial"/>
          <w:bCs/>
          <w:color w:val="000000"/>
          <w:kern w:val="36"/>
          <w:sz w:val="24"/>
          <w:szCs w:val="24"/>
        </w:rPr>
      </w:pPr>
    </w:p>
    <w:p w14:paraId="5E806400" w14:textId="77777777" w:rsidR="0068443E" w:rsidRDefault="0068443E" w:rsidP="0068443E">
      <w:r>
        <w:t>The Draft of IDN Guidelines for Second Public Comment was presented to Board IDN WG (BIWG) during their online meeting on 20 November 2017.  In addition to the wider discussion, the BIWG had the following feedback on some of the specific guidelines.</w:t>
      </w:r>
    </w:p>
    <w:p w14:paraId="7E892D16" w14:textId="77777777" w:rsidR="0068443E" w:rsidRDefault="0068443E" w:rsidP="0068443E"/>
    <w:p w14:paraId="6F93A411" w14:textId="77777777" w:rsidR="0068443E" w:rsidRDefault="0068443E" w:rsidP="0068443E">
      <w:r w:rsidRPr="0067412C">
        <w:rPr>
          <w:b/>
          <w:bCs/>
        </w:rPr>
        <w:t>Guideline 7.</w:t>
      </w:r>
      <w:r>
        <w:t xml:space="preserve">  </w:t>
      </w:r>
      <w:r w:rsidRPr="009E0172">
        <w:t xml:space="preserve">On Guideline 7, included from the previous version, BIWG noted that there has been </w:t>
      </w:r>
      <w:r>
        <w:t>insufficient</w:t>
      </w:r>
      <w:r w:rsidRPr="009E0172">
        <w:t xml:space="preserve"> collaboration in the area by the community</w:t>
      </w:r>
      <w:r>
        <w:t>,</w:t>
      </w:r>
      <w:r w:rsidRPr="009E0172">
        <w:t xml:space="preserve"> as</w:t>
      </w:r>
      <w:r>
        <w:t xml:space="preserve"> has been</w:t>
      </w:r>
      <w:r w:rsidRPr="009E0172">
        <w:t xml:space="preserve"> asked by this guideline.  Given the history, it was questione</w:t>
      </w:r>
      <w:r>
        <w:t>d if the potential of such collaboration in the future – and if it is not anticipated, whether this guideline be included.</w:t>
      </w:r>
    </w:p>
    <w:p w14:paraId="0E0A22C7" w14:textId="77777777" w:rsidR="0068443E" w:rsidRDefault="0068443E" w:rsidP="0068443E"/>
    <w:p w14:paraId="35E4F6D9" w14:textId="77777777" w:rsidR="0068443E" w:rsidRDefault="0068443E" w:rsidP="0068443E">
      <w:r w:rsidRPr="0067412C">
        <w:rPr>
          <w:b/>
          <w:bCs/>
        </w:rPr>
        <w:t>Guidelines 6 and 10.</w:t>
      </w:r>
      <w:r>
        <w:t xml:space="preserve">  </w:t>
      </w:r>
      <w:r w:rsidRPr="000E69A3">
        <w:t>BIWG inquired about how the IANA repository could be kept consistent with the IDN policies published at the registry website?  BIWG noted that there are discrepancies in some cases</w:t>
      </w:r>
      <w:r>
        <w:t>.</w:t>
      </w:r>
    </w:p>
    <w:p w14:paraId="2BDEB268" w14:textId="77777777" w:rsidR="0068443E" w:rsidRDefault="0068443E" w:rsidP="0068443E"/>
    <w:p w14:paraId="196F15E0" w14:textId="77777777" w:rsidR="0068443E" w:rsidRDefault="0068443E" w:rsidP="0068443E">
      <w:r w:rsidRPr="0067412C">
        <w:rPr>
          <w:b/>
          <w:bCs/>
        </w:rPr>
        <w:t xml:space="preserve">Guideline 12.  </w:t>
      </w:r>
      <w:r>
        <w:t xml:space="preserve">BIWG noted that </w:t>
      </w:r>
      <w:r w:rsidRPr="000E69A3">
        <w:t xml:space="preserve">SSAC has raised that </w:t>
      </w:r>
      <w:r>
        <w:t>active variant labels</w:t>
      </w:r>
      <w:r w:rsidRPr="000E69A3">
        <w:t xml:space="preserve"> may result in a combinatorial explosion and that could cause a stability and user confusion problem on the Internet, which directly links to the mission of ICANN of safeguarding security and stability</w:t>
      </w:r>
      <w:r>
        <w:t xml:space="preserve"> of the DNS</w:t>
      </w:r>
      <w:r w:rsidRPr="000E69A3">
        <w:t>.</w:t>
      </w:r>
      <w:r>
        <w:t xml:space="preserve">  Therefore, </w:t>
      </w:r>
      <w:r w:rsidRPr="000E69A3">
        <w:t xml:space="preserve">BIWG </w:t>
      </w:r>
      <w:r>
        <w:t>asked</w:t>
      </w:r>
      <w:r w:rsidRPr="000E69A3">
        <w:t xml:space="preserve"> </w:t>
      </w:r>
      <w:r>
        <w:t>that</w:t>
      </w:r>
      <w:r w:rsidRPr="000E69A3">
        <w:t xml:space="preserve"> it should be clarified whether automatic activation is a compliance function of ICANN or totally left to the discretion of the registry.  </w:t>
      </w:r>
    </w:p>
    <w:p w14:paraId="55A700E6" w14:textId="77777777" w:rsidR="0068443E" w:rsidRDefault="0068443E" w:rsidP="0068443E"/>
    <w:p w14:paraId="02DA5F2F" w14:textId="77777777" w:rsidR="0068443E" w:rsidRDefault="0068443E" w:rsidP="0068443E">
      <w:r w:rsidRPr="0067412C">
        <w:rPr>
          <w:b/>
          <w:bCs/>
        </w:rPr>
        <w:t>Guidelines 15 and 16.</w:t>
      </w:r>
      <w:r>
        <w:t xml:space="preserve">  </w:t>
      </w:r>
      <w:r w:rsidRPr="004B4B17">
        <w:t xml:space="preserve">BIWG </w:t>
      </w:r>
      <w:r>
        <w:t xml:space="preserve">noted the risk of script-mixing and </w:t>
      </w:r>
      <w:r w:rsidRPr="004B4B17">
        <w:t xml:space="preserve">suggested that </w:t>
      </w:r>
      <w:r>
        <w:t>the</w:t>
      </w:r>
      <w:r w:rsidRPr="004B4B17">
        <w:t xml:space="preserve"> guideline</w:t>
      </w:r>
      <w:r>
        <w:t>s</w:t>
      </w:r>
      <w:r w:rsidRPr="004B4B17">
        <w:t xml:space="preserve"> should include </w:t>
      </w:r>
      <w:r>
        <w:t xml:space="preserve">information on when and </w:t>
      </w:r>
      <w:r w:rsidRPr="004B4B17">
        <w:t>how a registry could get this exception</w:t>
      </w:r>
      <w:r>
        <w:t xml:space="preserve"> for mixing scripts</w:t>
      </w:r>
      <w:r w:rsidRPr="004B4B17">
        <w:t xml:space="preserve">, and try to keep a high bar.  </w:t>
      </w:r>
      <w:r>
        <w:t>For example, t</w:t>
      </w:r>
      <w:r w:rsidRPr="004B4B17">
        <w:t xml:space="preserve">his could be done by listing the orthographies for which script mixing is allowed.  </w:t>
      </w:r>
    </w:p>
    <w:p w14:paraId="0E824992" w14:textId="77777777" w:rsidR="0068443E" w:rsidRDefault="0068443E" w:rsidP="0068443E"/>
    <w:p w14:paraId="374D220F" w14:textId="77777777" w:rsidR="0068443E" w:rsidRDefault="0068443E" w:rsidP="0068443E"/>
    <w:p w14:paraId="18448A6F" w14:textId="77777777" w:rsidR="009119ED" w:rsidRPr="001049E0" w:rsidRDefault="009119ED" w:rsidP="009119ED">
      <w:pPr>
        <w:rPr>
          <w:b/>
          <w:bCs/>
          <w:sz w:val="32"/>
          <w:szCs w:val="32"/>
        </w:rPr>
      </w:pPr>
      <w:r>
        <w:rPr>
          <w:b/>
          <w:bCs/>
          <w:sz w:val="32"/>
          <w:szCs w:val="32"/>
        </w:rPr>
        <w:t xml:space="preserve">Feedback from </w:t>
      </w:r>
      <w:r w:rsidRPr="001049E0">
        <w:rPr>
          <w:b/>
          <w:bCs/>
          <w:sz w:val="32"/>
          <w:szCs w:val="32"/>
        </w:rPr>
        <w:t xml:space="preserve">IDN Implementation Guidelines Session </w:t>
      </w:r>
    </w:p>
    <w:p w14:paraId="187F7614" w14:textId="77777777" w:rsidR="009119ED" w:rsidRDefault="009119ED" w:rsidP="009119ED">
      <w:pPr>
        <w:rPr>
          <w:b/>
          <w:bCs/>
          <w:sz w:val="24"/>
          <w:szCs w:val="24"/>
        </w:rPr>
      </w:pPr>
      <w:r>
        <w:rPr>
          <w:b/>
          <w:bCs/>
          <w:sz w:val="24"/>
          <w:szCs w:val="24"/>
        </w:rPr>
        <w:t>ICANN60</w:t>
      </w:r>
      <w:r w:rsidRPr="001049E0">
        <w:rPr>
          <w:b/>
          <w:bCs/>
          <w:sz w:val="24"/>
          <w:szCs w:val="24"/>
        </w:rPr>
        <w:t>, Abu Dhabi</w:t>
      </w:r>
    </w:p>
    <w:p w14:paraId="6CE1A81E" w14:textId="77777777" w:rsidR="009119ED" w:rsidRPr="001049E0" w:rsidRDefault="009119ED" w:rsidP="009119ED">
      <w:pPr>
        <w:rPr>
          <w:b/>
          <w:bCs/>
          <w:sz w:val="24"/>
          <w:szCs w:val="24"/>
        </w:rPr>
      </w:pPr>
      <w:r>
        <w:rPr>
          <w:b/>
          <w:bCs/>
          <w:sz w:val="24"/>
          <w:szCs w:val="24"/>
        </w:rPr>
        <w:t>29 October 2017</w:t>
      </w:r>
    </w:p>
    <w:p w14:paraId="27FB7259" w14:textId="77777777" w:rsidR="009119ED" w:rsidRDefault="009119ED" w:rsidP="009119ED"/>
    <w:p w14:paraId="745E8616" w14:textId="77777777" w:rsidR="009119ED" w:rsidRDefault="009119ED" w:rsidP="009119ED">
      <w:r>
        <w:lastRenderedPageBreak/>
        <w:t xml:space="preserve">The context of the IDN Guidelines was presented for </w:t>
      </w:r>
      <w:proofErr w:type="spellStart"/>
      <w:r>
        <w:t>gTLDs</w:t>
      </w:r>
      <w:proofErr w:type="spellEnd"/>
      <w:r>
        <w:t xml:space="preserve"> and ccTLDs.  In </w:t>
      </w:r>
      <w:proofErr w:type="gramStart"/>
      <w:r>
        <w:t>addition</w:t>
      </w:r>
      <w:proofErr w:type="gramEnd"/>
      <w:r>
        <w:t xml:space="preserve"> the background of development of the current draft of the guidelines was also shared, before the individual guidelines were presented.  The following comments were received during the presentation of the guidelines.</w:t>
      </w:r>
    </w:p>
    <w:p w14:paraId="694AFE50" w14:textId="77777777" w:rsidR="009119ED" w:rsidRDefault="009119ED" w:rsidP="009119ED"/>
    <w:p w14:paraId="7D0B3ADF" w14:textId="77777777" w:rsidR="009119ED" w:rsidRDefault="009119ED" w:rsidP="009119ED">
      <w:r>
        <w:t xml:space="preserve">Guidelines for Transition from IDNA2003 to IDNA2008 were presented.  </w:t>
      </w:r>
    </w:p>
    <w:p w14:paraId="32DE67DC" w14:textId="77777777" w:rsidR="009119ED" w:rsidRDefault="009119ED" w:rsidP="009119ED">
      <w:r w:rsidRPr="00BB10E8">
        <w:rPr>
          <w:b/>
          <w:bCs/>
        </w:rPr>
        <w:t>General.</w:t>
      </w:r>
      <w:r>
        <w:t xml:space="preserve"> It was noted by a participant that RFC 2119 language is not used anymore.  IDNGWG explained that it was a conscious choice based on feedback from the previous round of public comment – IAB had commented that the RFC language is not applicable to this kind of document.  However, similar level of wording is incorporated in the guidelines.</w:t>
      </w:r>
    </w:p>
    <w:p w14:paraId="19433DAA" w14:textId="77777777" w:rsidR="009119ED" w:rsidRDefault="009119ED" w:rsidP="009119ED">
      <w:r w:rsidRPr="005C3CBF">
        <w:rPr>
          <w:b/>
          <w:bCs/>
        </w:rPr>
        <w:t>Guideline 6.</w:t>
      </w:r>
      <w:r>
        <w:t xml:space="preserve">  It was asked to clarify the exception clause (b).  The WG members explained that established IDN tables need not be converted.  The new IDN tables will take effect after </w:t>
      </w:r>
      <w:r w:rsidRPr="00495508">
        <w:rPr>
          <w:highlight w:val="yellow"/>
        </w:rPr>
        <w:t>X</w:t>
      </w:r>
      <w:r>
        <w:t xml:space="preserve"> months – IDNGWG is asking for feedback on the value of X.  It was also noted by a participant that the current IDN tables are underspecified.  IDNGWG member shared that the earlier formats are text based so there is no clear way to specify contextual rules.  </w:t>
      </w:r>
    </w:p>
    <w:p w14:paraId="43A154F6" w14:textId="77777777" w:rsidR="009119ED" w:rsidRDefault="009119ED" w:rsidP="009119ED">
      <w:r>
        <w:t>IDNGWG also clarified that the new format is needed for new IDN tables – there was feedback from RySG that there is no need to retrospectively update them.  A new implementation of and IDN table, either in a new TLD or as an additional IDN table in an existing TLD, will require the LGR format.  IDNGWG members discussed this interpretation.  They discussed that the term “registry” is being used synonymously with “TLD” which may cause confusion in interpretation.  The intention has been that there will be no retrospective implementation of the IDN tables for a TLD.  A TLD reusing an existing IDN table, or updating an existing one, will need to do so in the new LGR format.  However, the IDNGWG decided to clarify the wording internally.</w:t>
      </w:r>
    </w:p>
    <w:p w14:paraId="1F452FAB" w14:textId="77777777" w:rsidR="009119ED" w:rsidRDefault="009119ED" w:rsidP="009119ED">
      <w:r>
        <w:t xml:space="preserve">Community also noted that there is need for compliance checking for implementations of IDN tables and practices.  ICANN org responded that for </w:t>
      </w:r>
      <w:proofErr w:type="spellStart"/>
      <w:r>
        <w:t>gTLDs</w:t>
      </w:r>
      <w:proofErr w:type="spellEnd"/>
      <w:r>
        <w:t xml:space="preserve"> there are mechanism to check compliance, however, it would be still useful to get further suggestions from the community.  IDNGWG noted that this discussion is out of IDNGWG’s scope.</w:t>
      </w:r>
    </w:p>
    <w:p w14:paraId="3C4285D8" w14:textId="77777777" w:rsidR="009119ED" w:rsidRDefault="009119ED" w:rsidP="009119ED">
      <w:r>
        <w:t>In response to another question, the IDNGWG clarified that it is referring to the format and not the content when it references the LGR.</w:t>
      </w:r>
    </w:p>
    <w:p w14:paraId="5F157753" w14:textId="77777777" w:rsidR="009119ED" w:rsidRDefault="009119ED" w:rsidP="009119ED">
      <w:r w:rsidRPr="00B36471">
        <w:rPr>
          <w:b/>
          <w:bCs/>
        </w:rPr>
        <w:t>Guideline 11.</w:t>
      </w:r>
      <w:r>
        <w:t xml:space="preserve">  It was suggested that the wording be more specific to say that “IDN Variant Labels generated by an IDN table </w:t>
      </w:r>
      <w:r w:rsidRPr="006C000B">
        <w:rPr>
          <w:u w:val="single"/>
        </w:rPr>
        <w:t>under the same TLD</w:t>
      </w:r>
      <w:r w:rsidRPr="006C000B">
        <w:t xml:space="preserve"> </w:t>
      </w:r>
      <w:r>
        <w:t xml:space="preserve">must be …”.  </w:t>
      </w:r>
    </w:p>
    <w:p w14:paraId="558F8C69" w14:textId="77777777" w:rsidR="009119ED" w:rsidRDefault="009119ED" w:rsidP="009119ED">
      <w:r w:rsidRPr="00B36471">
        <w:rPr>
          <w:b/>
          <w:bCs/>
        </w:rPr>
        <w:t>Guideline 12.</w:t>
      </w:r>
      <w:r>
        <w:t xml:space="preserve">  A participant suggested to be clearer that automatic activation is limited to allocatable variants.  Point (iii) may be insufficient for this purpose.</w:t>
      </w:r>
    </w:p>
    <w:p w14:paraId="7F0A6923" w14:textId="77777777" w:rsidR="009119ED" w:rsidRDefault="009119ED" w:rsidP="009119ED">
      <w:r w:rsidRPr="00B36471">
        <w:rPr>
          <w:b/>
          <w:bCs/>
        </w:rPr>
        <w:t xml:space="preserve">Guideline 13.  </w:t>
      </w:r>
      <w:r>
        <w:t xml:space="preserve">Based on a query on variant labels for geographical names, the IDNGWG mentioned that the current work is focused on the linguistic conventions and visual similarity and the response to the query may not be in the scope of the WG.  </w:t>
      </w:r>
    </w:p>
    <w:p w14:paraId="4D70717B" w14:textId="77777777" w:rsidR="009119ED" w:rsidRDefault="009119ED" w:rsidP="009119ED">
      <w:r w:rsidRPr="00AA73E1">
        <w:rPr>
          <w:b/>
          <w:bCs/>
        </w:rPr>
        <w:t xml:space="preserve">Guideline 14.  </w:t>
      </w:r>
      <w:r>
        <w:t xml:space="preserve">A community member asked why the guideline is limited to homoglyphs as diacritics can also cause confusion.  IDNGWG member responded that the guideline is calling to look at confusion in general and it will </w:t>
      </w:r>
      <w:r>
        <w:lastRenderedPageBreak/>
        <w:t xml:space="preserve">review the title which is limited to “homoglyphs”.  However, another community member also noted that the similarity is a slippery slope.  </w:t>
      </w:r>
    </w:p>
    <w:p w14:paraId="6DBE48A2" w14:textId="77777777" w:rsidR="009119ED" w:rsidRPr="00AA73E1" w:rsidRDefault="009119ED" w:rsidP="009119ED"/>
    <w:p w14:paraId="37F55D99" w14:textId="77777777" w:rsidR="009119ED" w:rsidRDefault="009119ED" w:rsidP="009119ED"/>
    <w:p w14:paraId="5B147C0A" w14:textId="77777777" w:rsidR="009119ED" w:rsidRDefault="009119ED" w:rsidP="009119ED"/>
    <w:p w14:paraId="3BE77415" w14:textId="77777777" w:rsidR="009119ED" w:rsidRDefault="009119ED" w:rsidP="009119ED"/>
    <w:p w14:paraId="395D2B69" w14:textId="77777777" w:rsidR="009119ED" w:rsidRDefault="009119ED" w:rsidP="009119ED">
      <w:r>
        <w:t xml:space="preserve"> </w:t>
      </w:r>
    </w:p>
    <w:p w14:paraId="4657368F" w14:textId="77777777" w:rsidR="009119ED" w:rsidRDefault="009119ED" w:rsidP="009119ED"/>
    <w:p w14:paraId="1AD4D681" w14:textId="77777777" w:rsidR="009119ED" w:rsidRDefault="009119ED" w:rsidP="009119ED"/>
    <w:p w14:paraId="7235E26F" w14:textId="77777777" w:rsidR="009119ED" w:rsidRPr="001049E0" w:rsidRDefault="009119ED" w:rsidP="009119ED"/>
    <w:p w14:paraId="252076E3" w14:textId="77777777" w:rsidR="0068443E" w:rsidRDefault="0068443E" w:rsidP="0068443E"/>
    <w:p w14:paraId="697DA958" w14:textId="77777777" w:rsidR="0068443E" w:rsidRDefault="0068443E" w:rsidP="0068443E"/>
    <w:p w14:paraId="14D68EBB" w14:textId="77777777" w:rsidR="0068443E" w:rsidRDefault="0068443E" w:rsidP="0068443E"/>
    <w:p w14:paraId="062E55C8" w14:textId="77777777" w:rsidR="0068443E" w:rsidRPr="009E0172" w:rsidRDefault="0068443E" w:rsidP="0068443E">
      <w:r>
        <w:t xml:space="preserve"> </w:t>
      </w:r>
    </w:p>
    <w:p w14:paraId="541FC52C" w14:textId="77777777" w:rsidR="0068443E" w:rsidRPr="0068443E" w:rsidRDefault="0068443E" w:rsidP="00000794">
      <w:pPr>
        <w:spacing w:after="0" w:line="240" w:lineRule="auto"/>
        <w:outlineLvl w:val="0"/>
        <w:rPr>
          <w:rFonts w:ascii="Arial" w:eastAsia="Times New Roman" w:hAnsi="Arial" w:cs="Arial"/>
          <w:b/>
          <w:color w:val="000000"/>
          <w:kern w:val="36"/>
          <w:sz w:val="24"/>
          <w:szCs w:val="24"/>
        </w:rPr>
      </w:pPr>
    </w:p>
    <w:sectPr w:rsidR="0068443E" w:rsidRPr="006844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EA5A2" w14:textId="77777777" w:rsidR="00A8085C" w:rsidRDefault="00A8085C" w:rsidP="000B0A3E">
      <w:pPr>
        <w:spacing w:after="0" w:line="240" w:lineRule="auto"/>
      </w:pPr>
      <w:r>
        <w:separator/>
      </w:r>
    </w:p>
  </w:endnote>
  <w:endnote w:type="continuationSeparator" w:id="0">
    <w:p w14:paraId="2ED6A873" w14:textId="77777777" w:rsidR="00A8085C" w:rsidRDefault="00A8085C"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211BE70D"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08665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7F17" w14:textId="77777777" w:rsidR="00A8085C" w:rsidRDefault="00A8085C" w:rsidP="000B0A3E">
      <w:pPr>
        <w:spacing w:after="0" w:line="240" w:lineRule="auto"/>
      </w:pPr>
      <w:r>
        <w:separator/>
      </w:r>
    </w:p>
  </w:footnote>
  <w:footnote w:type="continuationSeparator" w:id="0">
    <w:p w14:paraId="7E6BA305" w14:textId="77777777" w:rsidR="00A8085C" w:rsidRDefault="00A8085C"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665F"/>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66D90"/>
    <w:rsid w:val="00271870"/>
    <w:rsid w:val="00273C18"/>
    <w:rsid w:val="00274AA5"/>
    <w:rsid w:val="002812F7"/>
    <w:rsid w:val="002B2AC6"/>
    <w:rsid w:val="002B3746"/>
    <w:rsid w:val="002B4013"/>
    <w:rsid w:val="002C55F7"/>
    <w:rsid w:val="002D79E4"/>
    <w:rsid w:val="002E1643"/>
    <w:rsid w:val="00316515"/>
    <w:rsid w:val="003268C9"/>
    <w:rsid w:val="00343BA0"/>
    <w:rsid w:val="00382095"/>
    <w:rsid w:val="00383FAF"/>
    <w:rsid w:val="003912F9"/>
    <w:rsid w:val="003A2BE4"/>
    <w:rsid w:val="003B0777"/>
    <w:rsid w:val="003B53AE"/>
    <w:rsid w:val="003F3CB6"/>
    <w:rsid w:val="0040527B"/>
    <w:rsid w:val="0045234E"/>
    <w:rsid w:val="004729B5"/>
    <w:rsid w:val="00474B23"/>
    <w:rsid w:val="00480C2D"/>
    <w:rsid w:val="00490F90"/>
    <w:rsid w:val="00492003"/>
    <w:rsid w:val="004A3A2D"/>
    <w:rsid w:val="004D63E1"/>
    <w:rsid w:val="005177A5"/>
    <w:rsid w:val="00530A3E"/>
    <w:rsid w:val="00533D8D"/>
    <w:rsid w:val="005626D3"/>
    <w:rsid w:val="00574C2D"/>
    <w:rsid w:val="00583E76"/>
    <w:rsid w:val="005B27C5"/>
    <w:rsid w:val="005B6C0C"/>
    <w:rsid w:val="005C57DD"/>
    <w:rsid w:val="00624EC4"/>
    <w:rsid w:val="00632A0D"/>
    <w:rsid w:val="00637F46"/>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B4D42"/>
    <w:rsid w:val="007D22D2"/>
    <w:rsid w:val="007E38F1"/>
    <w:rsid w:val="00844A35"/>
    <w:rsid w:val="0084745E"/>
    <w:rsid w:val="0085680C"/>
    <w:rsid w:val="00865F10"/>
    <w:rsid w:val="00866DA2"/>
    <w:rsid w:val="00884892"/>
    <w:rsid w:val="008913C7"/>
    <w:rsid w:val="008928EA"/>
    <w:rsid w:val="00897AC2"/>
    <w:rsid w:val="008A2C5A"/>
    <w:rsid w:val="008B5CFA"/>
    <w:rsid w:val="008E0D87"/>
    <w:rsid w:val="008E5B2E"/>
    <w:rsid w:val="00906662"/>
    <w:rsid w:val="009119ED"/>
    <w:rsid w:val="00923A03"/>
    <w:rsid w:val="00930D05"/>
    <w:rsid w:val="00956585"/>
    <w:rsid w:val="00965A62"/>
    <w:rsid w:val="009672F9"/>
    <w:rsid w:val="009737BB"/>
    <w:rsid w:val="009A1F33"/>
    <w:rsid w:val="009A45D7"/>
    <w:rsid w:val="009B470E"/>
    <w:rsid w:val="009C3F64"/>
    <w:rsid w:val="009C49B0"/>
    <w:rsid w:val="009C54F9"/>
    <w:rsid w:val="009C5957"/>
    <w:rsid w:val="009E2D56"/>
    <w:rsid w:val="00A07281"/>
    <w:rsid w:val="00A153A8"/>
    <w:rsid w:val="00A261A4"/>
    <w:rsid w:val="00A322F4"/>
    <w:rsid w:val="00A325EB"/>
    <w:rsid w:val="00A3332C"/>
    <w:rsid w:val="00A34D7D"/>
    <w:rsid w:val="00A47CD8"/>
    <w:rsid w:val="00A719C5"/>
    <w:rsid w:val="00A8085C"/>
    <w:rsid w:val="00A81DC2"/>
    <w:rsid w:val="00A868A2"/>
    <w:rsid w:val="00A901C6"/>
    <w:rsid w:val="00A914AC"/>
    <w:rsid w:val="00AA5DA0"/>
    <w:rsid w:val="00AB21D5"/>
    <w:rsid w:val="00AC1EDD"/>
    <w:rsid w:val="00AC7932"/>
    <w:rsid w:val="00AD6209"/>
    <w:rsid w:val="00AF12C5"/>
    <w:rsid w:val="00AF313C"/>
    <w:rsid w:val="00AF3489"/>
    <w:rsid w:val="00B02059"/>
    <w:rsid w:val="00B33617"/>
    <w:rsid w:val="00B61957"/>
    <w:rsid w:val="00B71358"/>
    <w:rsid w:val="00B76406"/>
    <w:rsid w:val="00BA2D1B"/>
    <w:rsid w:val="00BB7BBF"/>
    <w:rsid w:val="00C05CCC"/>
    <w:rsid w:val="00C10F6D"/>
    <w:rsid w:val="00C117A7"/>
    <w:rsid w:val="00C17515"/>
    <w:rsid w:val="00C3106C"/>
    <w:rsid w:val="00C36D7A"/>
    <w:rsid w:val="00C44A48"/>
    <w:rsid w:val="00C50C0E"/>
    <w:rsid w:val="00C5746A"/>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B6F"/>
    <w:rsid w:val="00DF6A8E"/>
    <w:rsid w:val="00E24562"/>
    <w:rsid w:val="00E32DD7"/>
    <w:rsid w:val="00E517D4"/>
    <w:rsid w:val="00E771AA"/>
    <w:rsid w:val="00E778F1"/>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13</cp:revision>
  <cp:lastPrinted>2017-04-19T21:20:00Z</cp:lastPrinted>
  <dcterms:created xsi:type="dcterms:W3CDTF">2018-01-22T17:36:00Z</dcterms:created>
  <dcterms:modified xsi:type="dcterms:W3CDTF">2018-02-07T09:22:00Z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