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rPr>
        <w:id w:val="-88853429"/>
        <w:docPartObj>
          <w:docPartGallery w:val="Cover Pages"/>
          <w:docPartUnique/>
        </w:docPartObj>
      </w:sdtPr>
      <w:sdtContent>
        <w:p w14:paraId="79DA5CC8" w14:textId="77777777" w:rsidR="00C61D59" w:rsidRPr="00C61D59" w:rsidRDefault="00C61D59" w:rsidP="00C471F6">
          <w:pPr>
            <w:pStyle w:val="FooterSpacer"/>
          </w:pPr>
          <w:r w:rsidRPr="00C61D59">
            <w:rPr>
              <w:noProof/>
            </w:rPr>
            <w:drawing>
              <wp:anchor distT="0" distB="0" distL="114300" distR="114300" simplePos="0" relativeHeight="251659264" behindDoc="1" locked="1" layoutInCell="1" allowOverlap="1" wp14:anchorId="50BBA912" wp14:editId="4A51FAF8">
                <wp:simplePos x="0" y="0"/>
                <wp:positionH relativeFrom="page">
                  <wp:align>center</wp:align>
                </wp:positionH>
                <wp:positionV relativeFrom="page">
                  <wp:align>top</wp:align>
                </wp:positionV>
                <wp:extent cx="7772400" cy="10058400"/>
                <wp:effectExtent l="0" t="0" r="0" b="0"/>
                <wp:wrapNone/>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tbl>
          <w:tblPr>
            <w:tblW w:w="9010" w:type="dxa"/>
            <w:tblInd w:w="900" w:type="dxa"/>
            <w:tblLayout w:type="fixed"/>
            <w:tblCellMar>
              <w:left w:w="0" w:type="dxa"/>
              <w:right w:w="0" w:type="dxa"/>
            </w:tblCellMar>
            <w:tblLook w:val="00A0" w:firstRow="1" w:lastRow="0" w:firstColumn="1" w:lastColumn="0" w:noHBand="0" w:noVBand="0"/>
          </w:tblPr>
          <w:tblGrid>
            <w:gridCol w:w="9010"/>
          </w:tblGrid>
          <w:tr w:rsidR="00C61D59" w:rsidRPr="00953D53" w14:paraId="5D96E485" w14:textId="77777777" w:rsidTr="00C471F6">
            <w:trPr>
              <w:trHeight w:val="6597"/>
            </w:trPr>
            <w:tc>
              <w:tcPr>
                <w:tcW w:w="9010" w:type="dxa"/>
                <w:vAlign w:val="bottom"/>
              </w:tcPr>
              <w:sdt>
                <w:sdtPr>
                  <w:alias w:val="Title"/>
                  <w:tag w:val=""/>
                  <w:id w:val="-1517847566"/>
                  <w:placeholder>
                    <w:docPart w:val="F60817133927A7449E0AE0737D87A158"/>
                  </w:placeholder>
                  <w:dataBinding w:prefixMappings="xmlns:ns0='http://purl.org/dc/elements/1.1/' xmlns:ns1='http://schemas.openxmlformats.org/package/2006/metadata/core-properties' " w:xpath="/ns1:coreProperties[1]/ns0:title[1]" w:storeItemID="{6C3C8BC8-F283-45AE-878A-BAB7291924A1}"/>
                  <w:text w:multiLine="1"/>
                </w:sdtPr>
                <w:sdtContent>
                  <w:p w14:paraId="49264E4E" w14:textId="46F2EC31" w:rsidR="00C61D59" w:rsidRPr="00C61D59" w:rsidRDefault="003F1C8B" w:rsidP="00C61D59">
                    <w:pPr>
                      <w:pStyle w:val="CoverTitlewhite1"/>
                    </w:pPr>
                    <w:r>
                      <w:t>Second IANA Naming Function Review</w:t>
                    </w:r>
                  </w:p>
                </w:sdtContent>
              </w:sdt>
            </w:tc>
          </w:tr>
          <w:tr w:rsidR="00C61D59" w:rsidRPr="00953D53" w14:paraId="5352C6DD" w14:textId="77777777" w:rsidTr="00C471F6">
            <w:trPr>
              <w:trHeight w:hRule="exact" w:val="432"/>
            </w:trPr>
            <w:tc>
              <w:tcPr>
                <w:tcW w:w="9010" w:type="dxa"/>
              </w:tcPr>
              <w:p w14:paraId="00C9A886" w14:textId="77777777" w:rsidR="00C61D59" w:rsidRPr="00C61D59" w:rsidRDefault="00C61D59" w:rsidP="00C61D59">
                <w:pPr>
                  <w:pStyle w:val="CoverSubtitleswhite1"/>
                </w:pPr>
              </w:p>
            </w:tc>
          </w:tr>
          <w:tr w:rsidR="00C61D59" w:rsidRPr="00953D53" w14:paraId="1144454E" w14:textId="77777777" w:rsidTr="00C471F6">
            <w:trPr>
              <w:trHeight w:hRule="exact" w:val="1620"/>
            </w:trPr>
            <w:sdt>
              <w:sdtPr>
                <w:alias w:val="Subject"/>
                <w:tag w:val=""/>
                <w:id w:val="1064141461"/>
                <w:placeholder>
                  <w:docPart w:val="547340EB508EF742B705D8501315E777"/>
                </w:placeholder>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29A3F03E" w14:textId="32013703" w:rsidR="00C61D59" w:rsidRPr="00C61D59" w:rsidRDefault="003F1C8B" w:rsidP="00C61D59">
                    <w:pPr>
                      <w:pStyle w:val="CoverSubtitleswhite1"/>
                    </w:pPr>
                    <w:r>
                      <w:t>DRAFT Report for Public Review</w:t>
                    </w:r>
                  </w:p>
                </w:tc>
              </w:sdtContent>
            </w:sdt>
          </w:tr>
          <w:tr w:rsidR="00C61D59" w:rsidRPr="00953D53" w14:paraId="03DD4EE0" w14:textId="77777777" w:rsidTr="00C471F6">
            <w:sdt>
              <w:sdtPr>
                <w:id w:val="-329606871"/>
                <w:placeholder>
                  <w:docPart w:val="1E6216608AC212419747881D5800F2B4"/>
                </w:placeholder>
                <w:text w:multiLine="1"/>
              </w:sdtPr>
              <w:sdtContent>
                <w:tc>
                  <w:tcPr>
                    <w:tcW w:w="9010" w:type="dxa"/>
                  </w:tcPr>
                  <w:p w14:paraId="03237F75" w14:textId="75F7BE6E" w:rsidR="00C61D59" w:rsidRPr="00C61D59" w:rsidRDefault="003F1C8B" w:rsidP="00C61D59">
                    <w:pPr>
                      <w:pStyle w:val="CoverSubtitleswhite1"/>
                    </w:pPr>
                    <w:r>
                      <w:t>Second IANA Naming Function Review Team</w:t>
                    </w:r>
                  </w:p>
                </w:tc>
              </w:sdtContent>
            </w:sdt>
          </w:tr>
          <w:tr w:rsidR="00C61D59" w:rsidRPr="00EC67C6" w14:paraId="74E59773" w14:textId="77777777" w:rsidTr="00C471F6">
            <w:sdt>
              <w:sdtPr>
                <w:rPr>
                  <w:color w:val="FF0000"/>
                </w:rPr>
                <w:alias w:val="Publish Date"/>
                <w:tag w:val=""/>
                <w:id w:val="292571794"/>
                <w:dataBinding w:prefixMappings="xmlns:ns0='http://schemas.microsoft.com/office/2006/coverPageProps' " w:xpath="/ns0:CoverPageProperties[1]/ns0:PublishDate[1]" w:storeItemID="{55AF091B-3C7A-41E3-B477-F2FDAA23CFDA}"/>
                <w:date w:fullDate="2025-02-01T00:00:00Z">
                  <w:dateFormat w:val="d MMMM yyyy"/>
                  <w:lid w:val="en-US"/>
                  <w:storeMappedDataAs w:val="dateTime"/>
                  <w:calendar w:val="gregorian"/>
                </w:date>
              </w:sdtPr>
              <w:sdtContent>
                <w:tc>
                  <w:tcPr>
                    <w:tcW w:w="9010" w:type="dxa"/>
                  </w:tcPr>
                  <w:p w14:paraId="5C2790A9" w14:textId="3819479E" w:rsidR="00C61D59" w:rsidRPr="00C61D59" w:rsidRDefault="003F1C8B" w:rsidP="00C61D59">
                    <w:pPr>
                      <w:pStyle w:val="CoverSubtitleswhite1"/>
                    </w:pPr>
                    <w:r w:rsidRPr="003F1C8B">
                      <w:rPr>
                        <w:color w:val="FF0000"/>
                      </w:rPr>
                      <w:t>XX February 2025</w:t>
                    </w:r>
                  </w:p>
                </w:tc>
              </w:sdtContent>
            </w:sdt>
          </w:tr>
          <w:tr w:rsidR="00C61D59" w:rsidRPr="00953D53" w14:paraId="649D021F" w14:textId="77777777" w:rsidTr="00C471F6">
            <w:trPr>
              <w:trHeight w:val="1872"/>
            </w:trPr>
            <w:tc>
              <w:tcPr>
                <w:tcW w:w="9010" w:type="dxa"/>
              </w:tcPr>
              <w:p w14:paraId="26F01D33" w14:textId="77777777" w:rsidR="00C61D59" w:rsidRPr="00C61D59" w:rsidRDefault="00C61D59" w:rsidP="00C61D59">
                <w:pPr>
                  <w:pStyle w:val="CoverSubtitleswhite1"/>
                </w:pPr>
              </w:p>
            </w:tc>
          </w:tr>
        </w:tbl>
        <w:p w14:paraId="76673BDF" w14:textId="77777777" w:rsidR="00C61D59" w:rsidRPr="00C61D59" w:rsidRDefault="00C61D59" w:rsidP="00C471F6">
          <w:pPr>
            <w:pStyle w:val="LeftParagraph"/>
          </w:pPr>
          <w:r w:rsidRPr="00C61D59">
            <w:br w:type="page"/>
          </w:r>
        </w:p>
      </w:sdtContent>
    </w:sdt>
    <w:sdt>
      <w:sdtPr>
        <w:id w:val="-1207866603"/>
        <w:docPartObj>
          <w:docPartGallery w:val="Table of Contents"/>
          <w:docPartUnique/>
        </w:docPartObj>
      </w:sdtPr>
      <w:sdtEndPr>
        <w:rPr>
          <w:rFonts w:asciiTheme="minorHAnsi" w:eastAsiaTheme="minorHAnsi" w:hAnsiTheme="minorHAnsi" w:cstheme="minorBidi"/>
          <w:caps w:val="0"/>
          <w:noProof/>
          <w:color w:val="auto"/>
          <w:sz w:val="22"/>
          <w:szCs w:val="22"/>
        </w:rPr>
      </w:sdtEndPr>
      <w:sdtContent>
        <w:p w14:paraId="17360942" w14:textId="1E7DD280" w:rsidR="003F1C8B" w:rsidRDefault="003F1C8B">
          <w:pPr>
            <w:pStyle w:val="TOCHeading"/>
          </w:pPr>
          <w:r>
            <w:t>Table of Contents</w:t>
          </w:r>
        </w:p>
        <w:p w14:paraId="4A737427" w14:textId="14B40D85" w:rsidR="003F1C8B"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\o "1-2" \h \z \u </w:instrText>
          </w:r>
          <w:r>
            <w:rPr>
              <w:i w:val="0"/>
              <w:iCs w:val="0"/>
            </w:rPr>
            <w:fldChar w:fldCharType="separate"/>
          </w:r>
          <w:hyperlink w:anchor="_Toc191310511" w:history="1">
            <w:r w:rsidRPr="00356A93">
              <w:rPr>
                <w:rStyle w:val="Hyperlink"/>
                <w:noProof/>
              </w:rPr>
              <w:t>1</w:t>
            </w:r>
            <w:r>
              <w:rPr>
                <w:rFonts w:eastAsiaTheme="minorEastAsia" w:cstheme="minorBidi"/>
                <w:b w:val="0"/>
                <w:bCs w:val="0"/>
                <w:i w:val="0"/>
                <w:iCs w:val="0"/>
                <w:noProof/>
                <w:kern w:val="2"/>
                <w14:ligatures w14:val="standardContextual"/>
              </w:rPr>
              <w:tab/>
            </w:r>
            <w:r w:rsidRPr="00356A93">
              <w:rPr>
                <w:rStyle w:val="Hyperlink"/>
                <w:noProof/>
              </w:rPr>
              <w:t>Executive Summary</w:t>
            </w:r>
            <w:r>
              <w:rPr>
                <w:noProof/>
                <w:webHidden/>
              </w:rPr>
              <w:tab/>
            </w:r>
            <w:r>
              <w:rPr>
                <w:noProof/>
                <w:webHidden/>
              </w:rPr>
              <w:fldChar w:fldCharType="begin"/>
            </w:r>
            <w:r>
              <w:rPr>
                <w:noProof/>
                <w:webHidden/>
              </w:rPr>
              <w:instrText xml:space="preserve"> PAGEREF _Toc191310511 \h </w:instrText>
            </w:r>
            <w:r>
              <w:rPr>
                <w:noProof/>
                <w:webHidden/>
              </w:rPr>
            </w:r>
            <w:r>
              <w:rPr>
                <w:noProof/>
                <w:webHidden/>
              </w:rPr>
              <w:fldChar w:fldCharType="separate"/>
            </w:r>
            <w:r>
              <w:rPr>
                <w:noProof/>
                <w:webHidden/>
              </w:rPr>
              <w:t>3</w:t>
            </w:r>
            <w:r>
              <w:rPr>
                <w:noProof/>
                <w:webHidden/>
              </w:rPr>
              <w:fldChar w:fldCharType="end"/>
            </w:r>
          </w:hyperlink>
        </w:p>
        <w:p w14:paraId="4A3BE238" w14:textId="3F4F681C" w:rsidR="003F1C8B"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310512" w:history="1">
            <w:r w:rsidRPr="00356A93">
              <w:rPr>
                <w:rStyle w:val="Hyperlink"/>
                <w:noProof/>
              </w:rPr>
              <w:t>2</w:t>
            </w:r>
            <w:r>
              <w:rPr>
                <w:rFonts w:eastAsiaTheme="minorEastAsia" w:cstheme="minorBidi"/>
                <w:b w:val="0"/>
                <w:bCs w:val="0"/>
                <w:i w:val="0"/>
                <w:iCs w:val="0"/>
                <w:noProof/>
                <w:kern w:val="2"/>
                <w14:ligatures w14:val="standardContextual"/>
              </w:rPr>
              <w:tab/>
            </w:r>
            <w:r w:rsidRPr="00356A93">
              <w:rPr>
                <w:rStyle w:val="Hyperlink"/>
                <w:noProof/>
              </w:rPr>
              <w:t>Part 1: Findings and Recommendations</w:t>
            </w:r>
            <w:r>
              <w:rPr>
                <w:noProof/>
                <w:webHidden/>
              </w:rPr>
              <w:tab/>
            </w:r>
            <w:r>
              <w:rPr>
                <w:noProof/>
                <w:webHidden/>
              </w:rPr>
              <w:fldChar w:fldCharType="begin"/>
            </w:r>
            <w:r>
              <w:rPr>
                <w:noProof/>
                <w:webHidden/>
              </w:rPr>
              <w:instrText xml:space="preserve"> PAGEREF _Toc191310512 \h </w:instrText>
            </w:r>
            <w:r>
              <w:rPr>
                <w:noProof/>
                <w:webHidden/>
              </w:rPr>
            </w:r>
            <w:r>
              <w:rPr>
                <w:noProof/>
                <w:webHidden/>
              </w:rPr>
              <w:fldChar w:fldCharType="separate"/>
            </w:r>
            <w:r>
              <w:rPr>
                <w:noProof/>
                <w:webHidden/>
              </w:rPr>
              <w:t>4</w:t>
            </w:r>
            <w:r>
              <w:rPr>
                <w:noProof/>
                <w:webHidden/>
              </w:rPr>
              <w:fldChar w:fldCharType="end"/>
            </w:r>
          </w:hyperlink>
        </w:p>
        <w:p w14:paraId="76626751" w14:textId="415544C4"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13" w:history="1">
            <w:r w:rsidRPr="00356A93">
              <w:rPr>
                <w:rStyle w:val="Hyperlink"/>
                <w:noProof/>
              </w:rPr>
              <w:t>2.1</w:t>
            </w:r>
            <w:r>
              <w:rPr>
                <w:rFonts w:eastAsiaTheme="minorEastAsia" w:cstheme="minorBidi"/>
                <w:b w:val="0"/>
                <w:bCs w:val="0"/>
                <w:noProof/>
                <w:kern w:val="2"/>
                <w:sz w:val="24"/>
                <w:szCs w:val="24"/>
                <w14:ligatures w14:val="standardContextual"/>
              </w:rPr>
              <w:tab/>
            </w:r>
            <w:r w:rsidRPr="00356A93">
              <w:rPr>
                <w:rStyle w:val="Hyperlink"/>
                <w:noProof/>
              </w:rPr>
              <w:t>IFRT2 Finding 1: DNSSEC Policy and Practice</w:t>
            </w:r>
            <w:r>
              <w:rPr>
                <w:noProof/>
                <w:webHidden/>
              </w:rPr>
              <w:tab/>
            </w:r>
            <w:r>
              <w:rPr>
                <w:noProof/>
                <w:webHidden/>
              </w:rPr>
              <w:fldChar w:fldCharType="begin"/>
            </w:r>
            <w:r>
              <w:rPr>
                <w:noProof/>
                <w:webHidden/>
              </w:rPr>
              <w:instrText xml:space="preserve"> PAGEREF _Toc191310513 \h </w:instrText>
            </w:r>
            <w:r>
              <w:rPr>
                <w:noProof/>
                <w:webHidden/>
              </w:rPr>
            </w:r>
            <w:r>
              <w:rPr>
                <w:noProof/>
                <w:webHidden/>
              </w:rPr>
              <w:fldChar w:fldCharType="separate"/>
            </w:r>
            <w:r>
              <w:rPr>
                <w:noProof/>
                <w:webHidden/>
              </w:rPr>
              <w:t>4</w:t>
            </w:r>
            <w:r>
              <w:rPr>
                <w:noProof/>
                <w:webHidden/>
              </w:rPr>
              <w:fldChar w:fldCharType="end"/>
            </w:r>
          </w:hyperlink>
        </w:p>
        <w:p w14:paraId="38227A9F" w14:textId="48FF3933"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14" w:history="1">
            <w:r w:rsidRPr="00356A93">
              <w:rPr>
                <w:rStyle w:val="Hyperlink"/>
                <w:noProof/>
              </w:rPr>
              <w:t>2.2</w:t>
            </w:r>
            <w:r>
              <w:rPr>
                <w:rFonts w:eastAsiaTheme="minorEastAsia" w:cstheme="minorBidi"/>
                <w:b w:val="0"/>
                <w:bCs w:val="0"/>
                <w:noProof/>
                <w:kern w:val="2"/>
                <w:sz w:val="24"/>
                <w:szCs w:val="24"/>
                <w14:ligatures w14:val="standardContextual"/>
              </w:rPr>
              <w:tab/>
            </w:r>
            <w:r w:rsidRPr="00356A93">
              <w:rPr>
                <w:rStyle w:val="Hyperlink"/>
                <w:noProof/>
              </w:rPr>
              <w:t>IFRT2 Finding 2: Contract Amendment Transparency</w:t>
            </w:r>
            <w:r>
              <w:rPr>
                <w:noProof/>
                <w:webHidden/>
              </w:rPr>
              <w:tab/>
            </w:r>
            <w:r>
              <w:rPr>
                <w:noProof/>
                <w:webHidden/>
              </w:rPr>
              <w:fldChar w:fldCharType="begin"/>
            </w:r>
            <w:r>
              <w:rPr>
                <w:noProof/>
                <w:webHidden/>
              </w:rPr>
              <w:instrText xml:space="preserve"> PAGEREF _Toc191310514 \h </w:instrText>
            </w:r>
            <w:r>
              <w:rPr>
                <w:noProof/>
                <w:webHidden/>
              </w:rPr>
            </w:r>
            <w:r>
              <w:rPr>
                <w:noProof/>
                <w:webHidden/>
              </w:rPr>
              <w:fldChar w:fldCharType="separate"/>
            </w:r>
            <w:r>
              <w:rPr>
                <w:noProof/>
                <w:webHidden/>
              </w:rPr>
              <w:t>5</w:t>
            </w:r>
            <w:r>
              <w:rPr>
                <w:noProof/>
                <w:webHidden/>
              </w:rPr>
              <w:fldChar w:fldCharType="end"/>
            </w:r>
          </w:hyperlink>
        </w:p>
        <w:p w14:paraId="1DC70AB1" w14:textId="10C05915"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15" w:history="1">
            <w:r w:rsidRPr="00356A93">
              <w:rPr>
                <w:rStyle w:val="Hyperlink"/>
                <w:noProof/>
              </w:rPr>
              <w:t>2.3</w:t>
            </w:r>
            <w:r>
              <w:rPr>
                <w:rFonts w:eastAsiaTheme="minorEastAsia" w:cstheme="minorBidi"/>
                <w:b w:val="0"/>
                <w:bCs w:val="0"/>
                <w:noProof/>
                <w:kern w:val="2"/>
                <w:sz w:val="24"/>
                <w:szCs w:val="24"/>
                <w14:ligatures w14:val="standardContextual"/>
              </w:rPr>
              <w:tab/>
            </w:r>
            <w:r w:rsidRPr="00356A93">
              <w:rPr>
                <w:rStyle w:val="Hyperlink"/>
                <w:noProof/>
              </w:rPr>
              <w:t>IFRT2 Finding 3: Frequency of Reviews</w:t>
            </w:r>
            <w:r>
              <w:rPr>
                <w:noProof/>
                <w:webHidden/>
              </w:rPr>
              <w:tab/>
            </w:r>
            <w:r>
              <w:rPr>
                <w:noProof/>
                <w:webHidden/>
              </w:rPr>
              <w:fldChar w:fldCharType="begin"/>
            </w:r>
            <w:r>
              <w:rPr>
                <w:noProof/>
                <w:webHidden/>
              </w:rPr>
              <w:instrText xml:space="preserve"> PAGEREF _Toc191310515 \h </w:instrText>
            </w:r>
            <w:r>
              <w:rPr>
                <w:noProof/>
                <w:webHidden/>
              </w:rPr>
            </w:r>
            <w:r>
              <w:rPr>
                <w:noProof/>
                <w:webHidden/>
              </w:rPr>
              <w:fldChar w:fldCharType="separate"/>
            </w:r>
            <w:r>
              <w:rPr>
                <w:noProof/>
                <w:webHidden/>
              </w:rPr>
              <w:t>5</w:t>
            </w:r>
            <w:r>
              <w:rPr>
                <w:noProof/>
                <w:webHidden/>
              </w:rPr>
              <w:fldChar w:fldCharType="end"/>
            </w:r>
          </w:hyperlink>
        </w:p>
        <w:p w14:paraId="77F1F579" w14:textId="3A945569"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16" w:history="1">
            <w:r w:rsidRPr="00356A93">
              <w:rPr>
                <w:rStyle w:val="Hyperlink"/>
                <w:noProof/>
              </w:rPr>
              <w:t>2.4</w:t>
            </w:r>
            <w:r>
              <w:rPr>
                <w:rFonts w:eastAsiaTheme="minorEastAsia" w:cstheme="minorBidi"/>
                <w:b w:val="0"/>
                <w:bCs w:val="0"/>
                <w:noProof/>
                <w:kern w:val="2"/>
                <w:sz w:val="24"/>
                <w:szCs w:val="24"/>
                <w14:ligatures w14:val="standardContextual"/>
              </w:rPr>
              <w:tab/>
            </w:r>
            <w:r w:rsidRPr="00356A93">
              <w:rPr>
                <w:rStyle w:val="Hyperlink"/>
                <w:noProof/>
              </w:rPr>
              <w:t>Incidental Findings</w:t>
            </w:r>
            <w:r>
              <w:rPr>
                <w:noProof/>
                <w:webHidden/>
              </w:rPr>
              <w:tab/>
            </w:r>
            <w:r>
              <w:rPr>
                <w:noProof/>
                <w:webHidden/>
              </w:rPr>
              <w:fldChar w:fldCharType="begin"/>
            </w:r>
            <w:r>
              <w:rPr>
                <w:noProof/>
                <w:webHidden/>
              </w:rPr>
              <w:instrText xml:space="preserve"> PAGEREF _Toc191310516 \h </w:instrText>
            </w:r>
            <w:r>
              <w:rPr>
                <w:noProof/>
                <w:webHidden/>
              </w:rPr>
            </w:r>
            <w:r>
              <w:rPr>
                <w:noProof/>
                <w:webHidden/>
              </w:rPr>
              <w:fldChar w:fldCharType="separate"/>
            </w:r>
            <w:r>
              <w:rPr>
                <w:noProof/>
                <w:webHidden/>
              </w:rPr>
              <w:t>6</w:t>
            </w:r>
            <w:r>
              <w:rPr>
                <w:noProof/>
                <w:webHidden/>
              </w:rPr>
              <w:fldChar w:fldCharType="end"/>
            </w:r>
          </w:hyperlink>
        </w:p>
        <w:p w14:paraId="1863269C" w14:textId="2EFA9755" w:rsidR="003F1C8B"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310517" w:history="1">
            <w:r w:rsidRPr="00356A93">
              <w:rPr>
                <w:rStyle w:val="Hyperlink"/>
                <w:noProof/>
              </w:rPr>
              <w:t>3</w:t>
            </w:r>
            <w:r>
              <w:rPr>
                <w:rFonts w:eastAsiaTheme="minorEastAsia" w:cstheme="minorBidi"/>
                <w:b w:val="0"/>
                <w:bCs w:val="0"/>
                <w:i w:val="0"/>
                <w:iCs w:val="0"/>
                <w:noProof/>
                <w:kern w:val="2"/>
                <w14:ligatures w14:val="standardContextual"/>
              </w:rPr>
              <w:tab/>
            </w:r>
            <w:r w:rsidRPr="00356A93">
              <w:rPr>
                <w:rStyle w:val="Hyperlink"/>
                <w:noProof/>
              </w:rPr>
              <w:t>Part 2: Background on the Review</w:t>
            </w:r>
            <w:r>
              <w:rPr>
                <w:noProof/>
                <w:webHidden/>
              </w:rPr>
              <w:tab/>
            </w:r>
            <w:r>
              <w:rPr>
                <w:noProof/>
                <w:webHidden/>
              </w:rPr>
              <w:fldChar w:fldCharType="begin"/>
            </w:r>
            <w:r>
              <w:rPr>
                <w:noProof/>
                <w:webHidden/>
              </w:rPr>
              <w:instrText xml:space="preserve"> PAGEREF _Toc191310517 \h </w:instrText>
            </w:r>
            <w:r>
              <w:rPr>
                <w:noProof/>
                <w:webHidden/>
              </w:rPr>
            </w:r>
            <w:r>
              <w:rPr>
                <w:noProof/>
                <w:webHidden/>
              </w:rPr>
              <w:fldChar w:fldCharType="separate"/>
            </w:r>
            <w:r>
              <w:rPr>
                <w:noProof/>
                <w:webHidden/>
              </w:rPr>
              <w:t>8</w:t>
            </w:r>
            <w:r>
              <w:rPr>
                <w:noProof/>
                <w:webHidden/>
              </w:rPr>
              <w:fldChar w:fldCharType="end"/>
            </w:r>
          </w:hyperlink>
        </w:p>
        <w:p w14:paraId="2ECCE7B2" w14:textId="1B26A642"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18" w:history="1">
            <w:r w:rsidRPr="00356A93">
              <w:rPr>
                <w:rStyle w:val="Hyperlink"/>
                <w:noProof/>
              </w:rPr>
              <w:t>3.1</w:t>
            </w:r>
            <w:r>
              <w:rPr>
                <w:rFonts w:eastAsiaTheme="minorEastAsia" w:cstheme="minorBidi"/>
                <w:b w:val="0"/>
                <w:bCs w:val="0"/>
                <w:noProof/>
                <w:kern w:val="2"/>
                <w:sz w:val="24"/>
                <w:szCs w:val="24"/>
                <w14:ligatures w14:val="standardContextual"/>
              </w:rPr>
              <w:tab/>
            </w:r>
            <w:r w:rsidRPr="00356A93">
              <w:rPr>
                <w:rStyle w:val="Hyperlink"/>
                <w:noProof/>
              </w:rPr>
              <w:t>​Introduction</w:t>
            </w:r>
            <w:r>
              <w:rPr>
                <w:noProof/>
                <w:webHidden/>
              </w:rPr>
              <w:tab/>
            </w:r>
            <w:r>
              <w:rPr>
                <w:noProof/>
                <w:webHidden/>
              </w:rPr>
              <w:fldChar w:fldCharType="begin"/>
            </w:r>
            <w:r>
              <w:rPr>
                <w:noProof/>
                <w:webHidden/>
              </w:rPr>
              <w:instrText xml:space="preserve"> PAGEREF _Toc191310518 \h </w:instrText>
            </w:r>
            <w:r>
              <w:rPr>
                <w:noProof/>
                <w:webHidden/>
              </w:rPr>
            </w:r>
            <w:r>
              <w:rPr>
                <w:noProof/>
                <w:webHidden/>
              </w:rPr>
              <w:fldChar w:fldCharType="separate"/>
            </w:r>
            <w:r>
              <w:rPr>
                <w:noProof/>
                <w:webHidden/>
              </w:rPr>
              <w:t>8</w:t>
            </w:r>
            <w:r>
              <w:rPr>
                <w:noProof/>
                <w:webHidden/>
              </w:rPr>
              <w:fldChar w:fldCharType="end"/>
            </w:r>
          </w:hyperlink>
        </w:p>
        <w:p w14:paraId="05E153E9" w14:textId="05486B87"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19" w:history="1">
            <w:r w:rsidRPr="00356A93">
              <w:rPr>
                <w:rStyle w:val="Hyperlink"/>
                <w:noProof/>
              </w:rPr>
              <w:t>3.2</w:t>
            </w:r>
            <w:r>
              <w:rPr>
                <w:rFonts w:eastAsiaTheme="minorEastAsia" w:cstheme="minorBidi"/>
                <w:b w:val="0"/>
                <w:bCs w:val="0"/>
                <w:noProof/>
                <w:kern w:val="2"/>
                <w:sz w:val="24"/>
                <w:szCs w:val="24"/>
                <w14:ligatures w14:val="standardContextual"/>
              </w:rPr>
              <w:tab/>
            </w:r>
            <w:r w:rsidRPr="00356A93">
              <w:rPr>
                <w:rStyle w:val="Hyperlink"/>
                <w:noProof/>
              </w:rPr>
              <w:t>Membership</w:t>
            </w:r>
            <w:r>
              <w:rPr>
                <w:noProof/>
                <w:webHidden/>
              </w:rPr>
              <w:tab/>
            </w:r>
            <w:r>
              <w:rPr>
                <w:noProof/>
                <w:webHidden/>
              </w:rPr>
              <w:fldChar w:fldCharType="begin"/>
            </w:r>
            <w:r>
              <w:rPr>
                <w:noProof/>
                <w:webHidden/>
              </w:rPr>
              <w:instrText xml:space="preserve"> PAGEREF _Toc191310519 \h </w:instrText>
            </w:r>
            <w:r>
              <w:rPr>
                <w:noProof/>
                <w:webHidden/>
              </w:rPr>
            </w:r>
            <w:r>
              <w:rPr>
                <w:noProof/>
                <w:webHidden/>
              </w:rPr>
              <w:fldChar w:fldCharType="separate"/>
            </w:r>
            <w:r>
              <w:rPr>
                <w:noProof/>
                <w:webHidden/>
              </w:rPr>
              <w:t>8</w:t>
            </w:r>
            <w:r>
              <w:rPr>
                <w:noProof/>
                <w:webHidden/>
              </w:rPr>
              <w:fldChar w:fldCharType="end"/>
            </w:r>
          </w:hyperlink>
        </w:p>
        <w:p w14:paraId="305CC69F" w14:textId="2ABB155A"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0" w:history="1">
            <w:r w:rsidRPr="00356A93">
              <w:rPr>
                <w:rStyle w:val="Hyperlink"/>
                <w:noProof/>
              </w:rPr>
              <w:t>3.3</w:t>
            </w:r>
            <w:r>
              <w:rPr>
                <w:rFonts w:eastAsiaTheme="minorEastAsia" w:cstheme="minorBidi"/>
                <w:b w:val="0"/>
                <w:bCs w:val="0"/>
                <w:noProof/>
                <w:kern w:val="2"/>
                <w:sz w:val="24"/>
                <w:szCs w:val="24"/>
                <w14:ligatures w14:val="standardContextual"/>
              </w:rPr>
              <w:tab/>
            </w:r>
            <w:r w:rsidRPr="00356A93">
              <w:rPr>
                <w:rStyle w:val="Hyperlink"/>
                <w:noProof/>
              </w:rPr>
              <w:t>Review Execution and Methodology</w:t>
            </w:r>
            <w:r>
              <w:rPr>
                <w:noProof/>
                <w:webHidden/>
              </w:rPr>
              <w:tab/>
            </w:r>
            <w:r>
              <w:rPr>
                <w:noProof/>
                <w:webHidden/>
              </w:rPr>
              <w:fldChar w:fldCharType="begin"/>
            </w:r>
            <w:r>
              <w:rPr>
                <w:noProof/>
                <w:webHidden/>
              </w:rPr>
              <w:instrText xml:space="preserve"> PAGEREF _Toc191310520 \h </w:instrText>
            </w:r>
            <w:r>
              <w:rPr>
                <w:noProof/>
                <w:webHidden/>
              </w:rPr>
            </w:r>
            <w:r>
              <w:rPr>
                <w:noProof/>
                <w:webHidden/>
              </w:rPr>
              <w:fldChar w:fldCharType="separate"/>
            </w:r>
            <w:r>
              <w:rPr>
                <w:noProof/>
                <w:webHidden/>
              </w:rPr>
              <w:t>10</w:t>
            </w:r>
            <w:r>
              <w:rPr>
                <w:noProof/>
                <w:webHidden/>
              </w:rPr>
              <w:fldChar w:fldCharType="end"/>
            </w:r>
          </w:hyperlink>
        </w:p>
        <w:p w14:paraId="723C8558" w14:textId="41C6CC89"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1" w:history="1">
            <w:r w:rsidRPr="00356A93">
              <w:rPr>
                <w:rStyle w:val="Hyperlink"/>
                <w:noProof/>
              </w:rPr>
              <w:t>3.4</w:t>
            </w:r>
            <w:r>
              <w:rPr>
                <w:rFonts w:eastAsiaTheme="minorEastAsia" w:cstheme="minorBidi"/>
                <w:b w:val="0"/>
                <w:bCs w:val="0"/>
                <w:noProof/>
                <w:kern w:val="2"/>
                <w:sz w:val="24"/>
                <w:szCs w:val="24"/>
                <w14:ligatures w14:val="standardContextual"/>
              </w:rPr>
              <w:tab/>
            </w:r>
            <w:r w:rsidRPr="00356A93">
              <w:rPr>
                <w:rStyle w:val="Hyperlink"/>
                <w:noProof/>
              </w:rPr>
              <w:t>The IFRT2 Work Methodology</w:t>
            </w:r>
            <w:r>
              <w:rPr>
                <w:noProof/>
                <w:webHidden/>
              </w:rPr>
              <w:tab/>
            </w:r>
            <w:r>
              <w:rPr>
                <w:noProof/>
                <w:webHidden/>
              </w:rPr>
              <w:fldChar w:fldCharType="begin"/>
            </w:r>
            <w:r>
              <w:rPr>
                <w:noProof/>
                <w:webHidden/>
              </w:rPr>
              <w:instrText xml:space="preserve"> PAGEREF _Toc191310521 \h </w:instrText>
            </w:r>
            <w:r>
              <w:rPr>
                <w:noProof/>
                <w:webHidden/>
              </w:rPr>
            </w:r>
            <w:r>
              <w:rPr>
                <w:noProof/>
                <w:webHidden/>
              </w:rPr>
              <w:fldChar w:fldCharType="separate"/>
            </w:r>
            <w:r>
              <w:rPr>
                <w:noProof/>
                <w:webHidden/>
              </w:rPr>
              <w:t>11</w:t>
            </w:r>
            <w:r>
              <w:rPr>
                <w:noProof/>
                <w:webHidden/>
              </w:rPr>
              <w:fldChar w:fldCharType="end"/>
            </w:r>
          </w:hyperlink>
        </w:p>
        <w:p w14:paraId="16D47B08" w14:textId="1AF31BDD"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2" w:history="1">
            <w:r w:rsidRPr="00356A93">
              <w:rPr>
                <w:rStyle w:val="Hyperlink"/>
                <w:noProof/>
              </w:rPr>
              <w:t>3.5</w:t>
            </w:r>
            <w:r>
              <w:rPr>
                <w:rFonts w:eastAsiaTheme="minorEastAsia" w:cstheme="minorBidi"/>
                <w:b w:val="0"/>
                <w:bCs w:val="0"/>
                <w:noProof/>
                <w:kern w:val="2"/>
                <w:sz w:val="24"/>
                <w:szCs w:val="24"/>
                <w14:ligatures w14:val="standardContextual"/>
              </w:rPr>
              <w:tab/>
            </w:r>
            <w:r w:rsidRPr="00356A93">
              <w:rPr>
                <w:rStyle w:val="Hyperlink"/>
                <w:noProof/>
              </w:rPr>
              <w:t>Decision-Making Methodologies</w:t>
            </w:r>
            <w:r>
              <w:rPr>
                <w:noProof/>
                <w:webHidden/>
              </w:rPr>
              <w:tab/>
            </w:r>
            <w:r>
              <w:rPr>
                <w:noProof/>
                <w:webHidden/>
              </w:rPr>
              <w:fldChar w:fldCharType="begin"/>
            </w:r>
            <w:r>
              <w:rPr>
                <w:noProof/>
                <w:webHidden/>
              </w:rPr>
              <w:instrText xml:space="preserve"> PAGEREF _Toc191310522 \h </w:instrText>
            </w:r>
            <w:r>
              <w:rPr>
                <w:noProof/>
                <w:webHidden/>
              </w:rPr>
            </w:r>
            <w:r>
              <w:rPr>
                <w:noProof/>
                <w:webHidden/>
              </w:rPr>
              <w:fldChar w:fldCharType="separate"/>
            </w:r>
            <w:r>
              <w:rPr>
                <w:noProof/>
                <w:webHidden/>
              </w:rPr>
              <w:t>12</w:t>
            </w:r>
            <w:r>
              <w:rPr>
                <w:noProof/>
                <w:webHidden/>
              </w:rPr>
              <w:fldChar w:fldCharType="end"/>
            </w:r>
          </w:hyperlink>
        </w:p>
        <w:p w14:paraId="70809155" w14:textId="0503FC91"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3" w:history="1">
            <w:r w:rsidRPr="00356A93">
              <w:rPr>
                <w:rStyle w:val="Hyperlink"/>
                <w:noProof/>
              </w:rPr>
              <w:t>3.6</w:t>
            </w:r>
            <w:r>
              <w:rPr>
                <w:rFonts w:eastAsiaTheme="minorEastAsia" w:cstheme="minorBidi"/>
                <w:b w:val="0"/>
                <w:bCs w:val="0"/>
                <w:noProof/>
                <w:kern w:val="2"/>
                <w:sz w:val="24"/>
                <w:szCs w:val="24"/>
                <w14:ligatures w14:val="standardContextual"/>
              </w:rPr>
              <w:tab/>
            </w:r>
            <w:r w:rsidRPr="00356A93">
              <w:rPr>
                <w:rStyle w:val="Hyperlink"/>
                <w:noProof/>
              </w:rPr>
              <w:t>Requirements for Recommendation Drafting</w:t>
            </w:r>
            <w:r>
              <w:rPr>
                <w:noProof/>
                <w:webHidden/>
              </w:rPr>
              <w:tab/>
            </w:r>
            <w:r>
              <w:rPr>
                <w:noProof/>
                <w:webHidden/>
              </w:rPr>
              <w:fldChar w:fldCharType="begin"/>
            </w:r>
            <w:r>
              <w:rPr>
                <w:noProof/>
                <w:webHidden/>
              </w:rPr>
              <w:instrText xml:space="preserve"> PAGEREF _Toc191310523 \h </w:instrText>
            </w:r>
            <w:r>
              <w:rPr>
                <w:noProof/>
                <w:webHidden/>
              </w:rPr>
            </w:r>
            <w:r>
              <w:rPr>
                <w:noProof/>
                <w:webHidden/>
              </w:rPr>
              <w:fldChar w:fldCharType="separate"/>
            </w:r>
            <w:r>
              <w:rPr>
                <w:noProof/>
                <w:webHidden/>
              </w:rPr>
              <w:t>13</w:t>
            </w:r>
            <w:r>
              <w:rPr>
                <w:noProof/>
                <w:webHidden/>
              </w:rPr>
              <w:fldChar w:fldCharType="end"/>
            </w:r>
          </w:hyperlink>
        </w:p>
        <w:p w14:paraId="0F546943" w14:textId="23F910BD" w:rsidR="003F1C8B"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310524" w:history="1">
            <w:r w:rsidRPr="00356A93">
              <w:rPr>
                <w:rStyle w:val="Hyperlink"/>
                <w:noProof/>
              </w:rPr>
              <w:t>4</w:t>
            </w:r>
            <w:r>
              <w:rPr>
                <w:rFonts w:eastAsiaTheme="minorEastAsia" w:cstheme="minorBidi"/>
                <w:b w:val="0"/>
                <w:bCs w:val="0"/>
                <w:i w:val="0"/>
                <w:iCs w:val="0"/>
                <w:noProof/>
                <w:kern w:val="2"/>
                <w14:ligatures w14:val="standardContextual"/>
              </w:rPr>
              <w:tab/>
            </w:r>
            <w:r w:rsidRPr="00356A93">
              <w:rPr>
                <w:rStyle w:val="Hyperlink"/>
                <w:noProof/>
              </w:rPr>
              <w:t>Scope and Review Findings</w:t>
            </w:r>
            <w:r>
              <w:rPr>
                <w:noProof/>
                <w:webHidden/>
              </w:rPr>
              <w:tab/>
            </w:r>
            <w:r>
              <w:rPr>
                <w:noProof/>
                <w:webHidden/>
              </w:rPr>
              <w:fldChar w:fldCharType="begin"/>
            </w:r>
            <w:r>
              <w:rPr>
                <w:noProof/>
                <w:webHidden/>
              </w:rPr>
              <w:instrText xml:space="preserve"> PAGEREF _Toc191310524 \h </w:instrText>
            </w:r>
            <w:r>
              <w:rPr>
                <w:noProof/>
                <w:webHidden/>
              </w:rPr>
            </w:r>
            <w:r>
              <w:rPr>
                <w:noProof/>
                <w:webHidden/>
              </w:rPr>
              <w:fldChar w:fldCharType="separate"/>
            </w:r>
            <w:r>
              <w:rPr>
                <w:noProof/>
                <w:webHidden/>
              </w:rPr>
              <w:t>14</w:t>
            </w:r>
            <w:r>
              <w:rPr>
                <w:noProof/>
                <w:webHidden/>
              </w:rPr>
              <w:fldChar w:fldCharType="end"/>
            </w:r>
          </w:hyperlink>
        </w:p>
        <w:p w14:paraId="3456DAB9" w14:textId="7844317D"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5" w:history="1">
            <w:r w:rsidRPr="00356A93">
              <w:rPr>
                <w:rStyle w:val="Hyperlink"/>
                <w:noProof/>
              </w:rPr>
              <w:t>4.1</w:t>
            </w:r>
            <w:r>
              <w:rPr>
                <w:rFonts w:eastAsiaTheme="minorEastAsia" w:cstheme="minorBidi"/>
                <w:b w:val="0"/>
                <w:bCs w:val="0"/>
                <w:noProof/>
                <w:kern w:val="2"/>
                <w:sz w:val="24"/>
                <w:szCs w:val="24"/>
                <w14:ligatures w14:val="standardContextual"/>
              </w:rPr>
              <w:tab/>
            </w:r>
            <w:r w:rsidRPr="00356A93">
              <w:rPr>
                <w:rStyle w:val="Hyperlink"/>
                <w:noProof/>
              </w:rPr>
              <w:t>ICANN Bylaws 18.3.(a)</w:t>
            </w:r>
            <w:r>
              <w:rPr>
                <w:noProof/>
                <w:webHidden/>
              </w:rPr>
              <w:tab/>
            </w:r>
            <w:r>
              <w:rPr>
                <w:noProof/>
                <w:webHidden/>
              </w:rPr>
              <w:fldChar w:fldCharType="begin"/>
            </w:r>
            <w:r>
              <w:rPr>
                <w:noProof/>
                <w:webHidden/>
              </w:rPr>
              <w:instrText xml:space="preserve"> PAGEREF _Toc191310525 \h </w:instrText>
            </w:r>
            <w:r>
              <w:rPr>
                <w:noProof/>
                <w:webHidden/>
              </w:rPr>
            </w:r>
            <w:r>
              <w:rPr>
                <w:noProof/>
                <w:webHidden/>
              </w:rPr>
              <w:fldChar w:fldCharType="separate"/>
            </w:r>
            <w:r>
              <w:rPr>
                <w:noProof/>
                <w:webHidden/>
              </w:rPr>
              <w:t>14</w:t>
            </w:r>
            <w:r>
              <w:rPr>
                <w:noProof/>
                <w:webHidden/>
              </w:rPr>
              <w:fldChar w:fldCharType="end"/>
            </w:r>
          </w:hyperlink>
        </w:p>
        <w:p w14:paraId="0311CB92" w14:textId="24FAA0CC"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6" w:history="1">
            <w:r w:rsidRPr="00356A93">
              <w:rPr>
                <w:rStyle w:val="Hyperlink"/>
                <w:noProof/>
              </w:rPr>
              <w:t>4.2</w:t>
            </w:r>
            <w:r>
              <w:rPr>
                <w:rFonts w:eastAsiaTheme="minorEastAsia" w:cstheme="minorBidi"/>
                <w:b w:val="0"/>
                <w:bCs w:val="0"/>
                <w:noProof/>
                <w:kern w:val="2"/>
                <w:sz w:val="24"/>
                <w:szCs w:val="24"/>
                <w14:ligatures w14:val="standardContextual"/>
              </w:rPr>
              <w:tab/>
            </w:r>
            <w:r w:rsidRPr="00356A93">
              <w:rPr>
                <w:rStyle w:val="Hyperlink"/>
                <w:noProof/>
              </w:rPr>
              <w:t>ICANN Bylaws 18.3.(b)</w:t>
            </w:r>
            <w:r>
              <w:rPr>
                <w:noProof/>
                <w:webHidden/>
              </w:rPr>
              <w:tab/>
            </w:r>
            <w:r>
              <w:rPr>
                <w:noProof/>
                <w:webHidden/>
              </w:rPr>
              <w:fldChar w:fldCharType="begin"/>
            </w:r>
            <w:r>
              <w:rPr>
                <w:noProof/>
                <w:webHidden/>
              </w:rPr>
              <w:instrText xml:space="preserve"> PAGEREF _Toc191310526 \h </w:instrText>
            </w:r>
            <w:r>
              <w:rPr>
                <w:noProof/>
                <w:webHidden/>
              </w:rPr>
            </w:r>
            <w:r>
              <w:rPr>
                <w:noProof/>
                <w:webHidden/>
              </w:rPr>
              <w:fldChar w:fldCharType="separate"/>
            </w:r>
            <w:r>
              <w:rPr>
                <w:noProof/>
                <w:webHidden/>
              </w:rPr>
              <w:t>14</w:t>
            </w:r>
            <w:r>
              <w:rPr>
                <w:noProof/>
                <w:webHidden/>
              </w:rPr>
              <w:fldChar w:fldCharType="end"/>
            </w:r>
          </w:hyperlink>
        </w:p>
        <w:p w14:paraId="5CBB43C7" w14:textId="49E62038"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7" w:history="1">
            <w:r w:rsidRPr="00356A93">
              <w:rPr>
                <w:rStyle w:val="Hyperlink"/>
                <w:noProof/>
              </w:rPr>
              <w:t>4.3</w:t>
            </w:r>
            <w:r>
              <w:rPr>
                <w:rFonts w:eastAsiaTheme="minorEastAsia" w:cstheme="minorBidi"/>
                <w:b w:val="0"/>
                <w:bCs w:val="0"/>
                <w:noProof/>
                <w:kern w:val="2"/>
                <w:sz w:val="24"/>
                <w:szCs w:val="24"/>
                <w14:ligatures w14:val="standardContextual"/>
              </w:rPr>
              <w:tab/>
            </w:r>
            <w:r w:rsidRPr="00356A93">
              <w:rPr>
                <w:rStyle w:val="Hyperlink"/>
                <w:noProof/>
              </w:rPr>
              <w:t>ICANN Bylaws 18.3.(c)</w:t>
            </w:r>
            <w:r>
              <w:rPr>
                <w:noProof/>
                <w:webHidden/>
              </w:rPr>
              <w:tab/>
            </w:r>
            <w:r>
              <w:rPr>
                <w:noProof/>
                <w:webHidden/>
              </w:rPr>
              <w:fldChar w:fldCharType="begin"/>
            </w:r>
            <w:r>
              <w:rPr>
                <w:noProof/>
                <w:webHidden/>
              </w:rPr>
              <w:instrText xml:space="preserve"> PAGEREF _Toc191310527 \h </w:instrText>
            </w:r>
            <w:r>
              <w:rPr>
                <w:noProof/>
                <w:webHidden/>
              </w:rPr>
            </w:r>
            <w:r>
              <w:rPr>
                <w:noProof/>
                <w:webHidden/>
              </w:rPr>
              <w:fldChar w:fldCharType="separate"/>
            </w:r>
            <w:r>
              <w:rPr>
                <w:noProof/>
                <w:webHidden/>
              </w:rPr>
              <w:t>15</w:t>
            </w:r>
            <w:r>
              <w:rPr>
                <w:noProof/>
                <w:webHidden/>
              </w:rPr>
              <w:fldChar w:fldCharType="end"/>
            </w:r>
          </w:hyperlink>
        </w:p>
        <w:p w14:paraId="17241BCA" w14:textId="7A3E6288"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8" w:history="1">
            <w:r w:rsidRPr="00356A93">
              <w:rPr>
                <w:rStyle w:val="Hyperlink"/>
                <w:noProof/>
              </w:rPr>
              <w:t>4.4</w:t>
            </w:r>
            <w:r>
              <w:rPr>
                <w:rFonts w:eastAsiaTheme="minorEastAsia" w:cstheme="minorBidi"/>
                <w:b w:val="0"/>
                <w:bCs w:val="0"/>
                <w:noProof/>
                <w:kern w:val="2"/>
                <w:sz w:val="24"/>
                <w:szCs w:val="24"/>
                <w14:ligatures w14:val="standardContextual"/>
              </w:rPr>
              <w:tab/>
            </w:r>
            <w:r w:rsidRPr="00356A93">
              <w:rPr>
                <w:rStyle w:val="Hyperlink"/>
                <w:noProof/>
              </w:rPr>
              <w:t>ICANN Bylaws 18.3.(d)</w:t>
            </w:r>
            <w:r>
              <w:rPr>
                <w:noProof/>
                <w:webHidden/>
              </w:rPr>
              <w:tab/>
            </w:r>
            <w:r>
              <w:rPr>
                <w:noProof/>
                <w:webHidden/>
              </w:rPr>
              <w:fldChar w:fldCharType="begin"/>
            </w:r>
            <w:r>
              <w:rPr>
                <w:noProof/>
                <w:webHidden/>
              </w:rPr>
              <w:instrText xml:space="preserve"> PAGEREF _Toc191310528 \h </w:instrText>
            </w:r>
            <w:r>
              <w:rPr>
                <w:noProof/>
                <w:webHidden/>
              </w:rPr>
            </w:r>
            <w:r>
              <w:rPr>
                <w:noProof/>
                <w:webHidden/>
              </w:rPr>
              <w:fldChar w:fldCharType="separate"/>
            </w:r>
            <w:r>
              <w:rPr>
                <w:noProof/>
                <w:webHidden/>
              </w:rPr>
              <w:t>15</w:t>
            </w:r>
            <w:r>
              <w:rPr>
                <w:noProof/>
                <w:webHidden/>
              </w:rPr>
              <w:fldChar w:fldCharType="end"/>
            </w:r>
          </w:hyperlink>
        </w:p>
        <w:p w14:paraId="5F4ACD7A" w14:textId="46A10801"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29" w:history="1">
            <w:r w:rsidRPr="00356A93">
              <w:rPr>
                <w:rStyle w:val="Hyperlink"/>
                <w:noProof/>
              </w:rPr>
              <w:t>4.5</w:t>
            </w:r>
            <w:r>
              <w:rPr>
                <w:rFonts w:eastAsiaTheme="minorEastAsia" w:cstheme="minorBidi"/>
                <w:b w:val="0"/>
                <w:bCs w:val="0"/>
                <w:noProof/>
                <w:kern w:val="2"/>
                <w:sz w:val="24"/>
                <w:szCs w:val="24"/>
                <w14:ligatures w14:val="standardContextual"/>
              </w:rPr>
              <w:tab/>
            </w:r>
            <w:r w:rsidRPr="00356A93">
              <w:rPr>
                <w:rStyle w:val="Hyperlink"/>
                <w:noProof/>
              </w:rPr>
              <w:t>ICANN Bylaws 18.3.(e)</w:t>
            </w:r>
            <w:r>
              <w:rPr>
                <w:noProof/>
                <w:webHidden/>
              </w:rPr>
              <w:tab/>
            </w:r>
            <w:r>
              <w:rPr>
                <w:noProof/>
                <w:webHidden/>
              </w:rPr>
              <w:fldChar w:fldCharType="begin"/>
            </w:r>
            <w:r>
              <w:rPr>
                <w:noProof/>
                <w:webHidden/>
              </w:rPr>
              <w:instrText xml:space="preserve"> PAGEREF _Toc191310529 \h </w:instrText>
            </w:r>
            <w:r>
              <w:rPr>
                <w:noProof/>
                <w:webHidden/>
              </w:rPr>
            </w:r>
            <w:r>
              <w:rPr>
                <w:noProof/>
                <w:webHidden/>
              </w:rPr>
              <w:fldChar w:fldCharType="separate"/>
            </w:r>
            <w:r>
              <w:rPr>
                <w:noProof/>
                <w:webHidden/>
              </w:rPr>
              <w:t>16</w:t>
            </w:r>
            <w:r>
              <w:rPr>
                <w:noProof/>
                <w:webHidden/>
              </w:rPr>
              <w:fldChar w:fldCharType="end"/>
            </w:r>
          </w:hyperlink>
        </w:p>
        <w:p w14:paraId="53B9AAE5" w14:textId="60FD5D95"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0" w:history="1">
            <w:r w:rsidRPr="00356A93">
              <w:rPr>
                <w:rStyle w:val="Hyperlink"/>
                <w:noProof/>
              </w:rPr>
              <w:t>4.6</w:t>
            </w:r>
            <w:r>
              <w:rPr>
                <w:rFonts w:eastAsiaTheme="minorEastAsia" w:cstheme="minorBidi"/>
                <w:b w:val="0"/>
                <w:bCs w:val="0"/>
                <w:noProof/>
                <w:kern w:val="2"/>
                <w:sz w:val="24"/>
                <w:szCs w:val="24"/>
                <w14:ligatures w14:val="standardContextual"/>
              </w:rPr>
              <w:tab/>
            </w:r>
            <w:r w:rsidRPr="00356A93">
              <w:rPr>
                <w:rStyle w:val="Hyperlink"/>
                <w:noProof/>
              </w:rPr>
              <w:t>ICANN Bylaws 18.3.(f)</w:t>
            </w:r>
            <w:r>
              <w:rPr>
                <w:noProof/>
                <w:webHidden/>
              </w:rPr>
              <w:tab/>
            </w:r>
            <w:r>
              <w:rPr>
                <w:noProof/>
                <w:webHidden/>
              </w:rPr>
              <w:fldChar w:fldCharType="begin"/>
            </w:r>
            <w:r>
              <w:rPr>
                <w:noProof/>
                <w:webHidden/>
              </w:rPr>
              <w:instrText xml:space="preserve"> PAGEREF _Toc191310530 \h </w:instrText>
            </w:r>
            <w:r>
              <w:rPr>
                <w:noProof/>
                <w:webHidden/>
              </w:rPr>
            </w:r>
            <w:r>
              <w:rPr>
                <w:noProof/>
                <w:webHidden/>
              </w:rPr>
              <w:fldChar w:fldCharType="separate"/>
            </w:r>
            <w:r>
              <w:rPr>
                <w:noProof/>
                <w:webHidden/>
              </w:rPr>
              <w:t>16</w:t>
            </w:r>
            <w:r>
              <w:rPr>
                <w:noProof/>
                <w:webHidden/>
              </w:rPr>
              <w:fldChar w:fldCharType="end"/>
            </w:r>
          </w:hyperlink>
        </w:p>
        <w:p w14:paraId="14DDEA69" w14:textId="399D3402"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1" w:history="1">
            <w:r w:rsidRPr="00356A93">
              <w:rPr>
                <w:rStyle w:val="Hyperlink"/>
                <w:noProof/>
              </w:rPr>
              <w:t>4.7</w:t>
            </w:r>
            <w:r>
              <w:rPr>
                <w:rFonts w:eastAsiaTheme="minorEastAsia" w:cstheme="minorBidi"/>
                <w:b w:val="0"/>
                <w:bCs w:val="0"/>
                <w:noProof/>
                <w:kern w:val="2"/>
                <w:sz w:val="24"/>
                <w:szCs w:val="24"/>
                <w14:ligatures w14:val="standardContextual"/>
              </w:rPr>
              <w:tab/>
            </w:r>
            <w:r w:rsidRPr="00356A93">
              <w:rPr>
                <w:rStyle w:val="Hyperlink"/>
                <w:noProof/>
              </w:rPr>
              <w:t>ICANN Bylaws 18.3.(g)</w:t>
            </w:r>
            <w:r>
              <w:rPr>
                <w:noProof/>
                <w:webHidden/>
              </w:rPr>
              <w:tab/>
            </w:r>
            <w:r>
              <w:rPr>
                <w:noProof/>
                <w:webHidden/>
              </w:rPr>
              <w:fldChar w:fldCharType="begin"/>
            </w:r>
            <w:r>
              <w:rPr>
                <w:noProof/>
                <w:webHidden/>
              </w:rPr>
              <w:instrText xml:space="preserve"> PAGEREF _Toc191310531 \h </w:instrText>
            </w:r>
            <w:r>
              <w:rPr>
                <w:noProof/>
                <w:webHidden/>
              </w:rPr>
            </w:r>
            <w:r>
              <w:rPr>
                <w:noProof/>
                <w:webHidden/>
              </w:rPr>
              <w:fldChar w:fldCharType="separate"/>
            </w:r>
            <w:r>
              <w:rPr>
                <w:noProof/>
                <w:webHidden/>
              </w:rPr>
              <w:t>17</w:t>
            </w:r>
            <w:r>
              <w:rPr>
                <w:noProof/>
                <w:webHidden/>
              </w:rPr>
              <w:fldChar w:fldCharType="end"/>
            </w:r>
          </w:hyperlink>
        </w:p>
        <w:p w14:paraId="2076821B" w14:textId="3EEA2822"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2" w:history="1">
            <w:r w:rsidRPr="00356A93">
              <w:rPr>
                <w:rStyle w:val="Hyperlink"/>
                <w:noProof/>
              </w:rPr>
              <w:t>4.8</w:t>
            </w:r>
            <w:r>
              <w:rPr>
                <w:rFonts w:eastAsiaTheme="minorEastAsia" w:cstheme="minorBidi"/>
                <w:b w:val="0"/>
                <w:bCs w:val="0"/>
                <w:noProof/>
                <w:kern w:val="2"/>
                <w:sz w:val="24"/>
                <w:szCs w:val="24"/>
                <w14:ligatures w14:val="standardContextual"/>
              </w:rPr>
              <w:tab/>
            </w:r>
            <w:r w:rsidRPr="00356A93">
              <w:rPr>
                <w:rStyle w:val="Hyperlink"/>
                <w:noProof/>
              </w:rPr>
              <w:t>ICANN Bylaws 18.3.(h)</w:t>
            </w:r>
            <w:r>
              <w:rPr>
                <w:noProof/>
                <w:webHidden/>
              </w:rPr>
              <w:tab/>
            </w:r>
            <w:r>
              <w:rPr>
                <w:noProof/>
                <w:webHidden/>
              </w:rPr>
              <w:fldChar w:fldCharType="begin"/>
            </w:r>
            <w:r>
              <w:rPr>
                <w:noProof/>
                <w:webHidden/>
              </w:rPr>
              <w:instrText xml:space="preserve"> PAGEREF _Toc191310532 \h </w:instrText>
            </w:r>
            <w:r>
              <w:rPr>
                <w:noProof/>
                <w:webHidden/>
              </w:rPr>
            </w:r>
            <w:r>
              <w:rPr>
                <w:noProof/>
                <w:webHidden/>
              </w:rPr>
              <w:fldChar w:fldCharType="separate"/>
            </w:r>
            <w:r>
              <w:rPr>
                <w:noProof/>
                <w:webHidden/>
              </w:rPr>
              <w:t>17</w:t>
            </w:r>
            <w:r>
              <w:rPr>
                <w:noProof/>
                <w:webHidden/>
              </w:rPr>
              <w:fldChar w:fldCharType="end"/>
            </w:r>
          </w:hyperlink>
        </w:p>
        <w:p w14:paraId="7D6A15FA" w14:textId="49FE3166"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3" w:history="1">
            <w:r w:rsidRPr="00356A93">
              <w:rPr>
                <w:rStyle w:val="Hyperlink"/>
                <w:noProof/>
              </w:rPr>
              <w:t>4.9</w:t>
            </w:r>
            <w:r>
              <w:rPr>
                <w:rFonts w:eastAsiaTheme="minorEastAsia" w:cstheme="minorBidi"/>
                <w:b w:val="0"/>
                <w:bCs w:val="0"/>
                <w:noProof/>
                <w:kern w:val="2"/>
                <w:sz w:val="24"/>
                <w:szCs w:val="24"/>
                <w14:ligatures w14:val="standardContextual"/>
              </w:rPr>
              <w:tab/>
            </w:r>
            <w:r w:rsidRPr="00356A93">
              <w:rPr>
                <w:rStyle w:val="Hyperlink"/>
                <w:noProof/>
              </w:rPr>
              <w:t>ICANN Bylaws 18.3.(i)</w:t>
            </w:r>
            <w:r>
              <w:rPr>
                <w:noProof/>
                <w:webHidden/>
              </w:rPr>
              <w:tab/>
            </w:r>
            <w:r>
              <w:rPr>
                <w:noProof/>
                <w:webHidden/>
              </w:rPr>
              <w:fldChar w:fldCharType="begin"/>
            </w:r>
            <w:r>
              <w:rPr>
                <w:noProof/>
                <w:webHidden/>
              </w:rPr>
              <w:instrText xml:space="preserve"> PAGEREF _Toc191310533 \h </w:instrText>
            </w:r>
            <w:r>
              <w:rPr>
                <w:noProof/>
                <w:webHidden/>
              </w:rPr>
            </w:r>
            <w:r>
              <w:rPr>
                <w:noProof/>
                <w:webHidden/>
              </w:rPr>
              <w:fldChar w:fldCharType="separate"/>
            </w:r>
            <w:r>
              <w:rPr>
                <w:noProof/>
                <w:webHidden/>
              </w:rPr>
              <w:t>18</w:t>
            </w:r>
            <w:r>
              <w:rPr>
                <w:noProof/>
                <w:webHidden/>
              </w:rPr>
              <w:fldChar w:fldCharType="end"/>
            </w:r>
          </w:hyperlink>
        </w:p>
        <w:p w14:paraId="69DA25A8" w14:textId="050ED6F1"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4" w:history="1">
            <w:r w:rsidRPr="00356A93">
              <w:rPr>
                <w:rStyle w:val="Hyperlink"/>
                <w:noProof/>
              </w:rPr>
              <w:t>4.10</w:t>
            </w:r>
            <w:r>
              <w:rPr>
                <w:rFonts w:eastAsiaTheme="minorEastAsia" w:cstheme="minorBidi"/>
                <w:b w:val="0"/>
                <w:bCs w:val="0"/>
                <w:noProof/>
                <w:kern w:val="2"/>
                <w:sz w:val="24"/>
                <w:szCs w:val="24"/>
                <w14:ligatures w14:val="standardContextual"/>
              </w:rPr>
              <w:tab/>
            </w:r>
            <w:r w:rsidRPr="00356A93">
              <w:rPr>
                <w:rStyle w:val="Hyperlink"/>
                <w:noProof/>
              </w:rPr>
              <w:t>ICANN Bylaws 18.3.(j)</w:t>
            </w:r>
            <w:r>
              <w:rPr>
                <w:noProof/>
                <w:webHidden/>
              </w:rPr>
              <w:tab/>
            </w:r>
            <w:r>
              <w:rPr>
                <w:noProof/>
                <w:webHidden/>
              </w:rPr>
              <w:fldChar w:fldCharType="begin"/>
            </w:r>
            <w:r>
              <w:rPr>
                <w:noProof/>
                <w:webHidden/>
              </w:rPr>
              <w:instrText xml:space="preserve"> PAGEREF _Toc191310534 \h </w:instrText>
            </w:r>
            <w:r>
              <w:rPr>
                <w:noProof/>
                <w:webHidden/>
              </w:rPr>
            </w:r>
            <w:r>
              <w:rPr>
                <w:noProof/>
                <w:webHidden/>
              </w:rPr>
              <w:fldChar w:fldCharType="separate"/>
            </w:r>
            <w:r>
              <w:rPr>
                <w:noProof/>
                <w:webHidden/>
              </w:rPr>
              <w:t>18</w:t>
            </w:r>
            <w:r>
              <w:rPr>
                <w:noProof/>
                <w:webHidden/>
              </w:rPr>
              <w:fldChar w:fldCharType="end"/>
            </w:r>
          </w:hyperlink>
        </w:p>
        <w:p w14:paraId="70E39863" w14:textId="2BBD06A9"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5" w:history="1">
            <w:r w:rsidRPr="00356A93">
              <w:rPr>
                <w:rStyle w:val="Hyperlink"/>
                <w:noProof/>
              </w:rPr>
              <w:t>4.11</w:t>
            </w:r>
            <w:r>
              <w:rPr>
                <w:rFonts w:eastAsiaTheme="minorEastAsia" w:cstheme="minorBidi"/>
                <w:b w:val="0"/>
                <w:bCs w:val="0"/>
                <w:noProof/>
                <w:kern w:val="2"/>
                <w:sz w:val="24"/>
                <w:szCs w:val="24"/>
                <w14:ligatures w14:val="standardContextual"/>
              </w:rPr>
              <w:tab/>
            </w:r>
            <w:r w:rsidRPr="00356A93">
              <w:rPr>
                <w:rStyle w:val="Hyperlink"/>
                <w:noProof/>
              </w:rPr>
              <w:t>ICANN Bylaws 18.3.(k)</w:t>
            </w:r>
            <w:r>
              <w:rPr>
                <w:noProof/>
                <w:webHidden/>
              </w:rPr>
              <w:tab/>
            </w:r>
            <w:r>
              <w:rPr>
                <w:noProof/>
                <w:webHidden/>
              </w:rPr>
              <w:fldChar w:fldCharType="begin"/>
            </w:r>
            <w:r>
              <w:rPr>
                <w:noProof/>
                <w:webHidden/>
              </w:rPr>
              <w:instrText xml:space="preserve"> PAGEREF _Toc191310535 \h </w:instrText>
            </w:r>
            <w:r>
              <w:rPr>
                <w:noProof/>
                <w:webHidden/>
              </w:rPr>
            </w:r>
            <w:r>
              <w:rPr>
                <w:noProof/>
                <w:webHidden/>
              </w:rPr>
              <w:fldChar w:fldCharType="separate"/>
            </w:r>
            <w:r>
              <w:rPr>
                <w:noProof/>
                <w:webHidden/>
              </w:rPr>
              <w:t>18</w:t>
            </w:r>
            <w:r>
              <w:rPr>
                <w:noProof/>
                <w:webHidden/>
              </w:rPr>
              <w:fldChar w:fldCharType="end"/>
            </w:r>
          </w:hyperlink>
        </w:p>
        <w:p w14:paraId="6659FF8E" w14:textId="47D9D954" w:rsidR="003F1C8B"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310536" w:history="1">
            <w:r w:rsidRPr="00356A93">
              <w:rPr>
                <w:rStyle w:val="Hyperlink"/>
                <w:noProof/>
              </w:rPr>
              <w:t>5</w:t>
            </w:r>
            <w:r>
              <w:rPr>
                <w:rFonts w:eastAsiaTheme="minorEastAsia" w:cstheme="minorBidi"/>
                <w:b w:val="0"/>
                <w:bCs w:val="0"/>
                <w:i w:val="0"/>
                <w:iCs w:val="0"/>
                <w:noProof/>
                <w:kern w:val="2"/>
                <w14:ligatures w14:val="standardContextual"/>
              </w:rPr>
              <w:tab/>
            </w:r>
            <w:r w:rsidRPr="00356A93">
              <w:rPr>
                <w:rStyle w:val="Hyperlink"/>
                <w:noProof/>
              </w:rPr>
              <w:t>Appendices</w:t>
            </w:r>
            <w:r>
              <w:rPr>
                <w:noProof/>
                <w:webHidden/>
              </w:rPr>
              <w:tab/>
            </w:r>
            <w:r>
              <w:rPr>
                <w:noProof/>
                <w:webHidden/>
              </w:rPr>
              <w:fldChar w:fldCharType="begin"/>
            </w:r>
            <w:r>
              <w:rPr>
                <w:noProof/>
                <w:webHidden/>
              </w:rPr>
              <w:instrText xml:space="preserve"> PAGEREF _Toc191310536 \h </w:instrText>
            </w:r>
            <w:r>
              <w:rPr>
                <w:noProof/>
                <w:webHidden/>
              </w:rPr>
            </w:r>
            <w:r>
              <w:rPr>
                <w:noProof/>
                <w:webHidden/>
              </w:rPr>
              <w:fldChar w:fldCharType="separate"/>
            </w:r>
            <w:r>
              <w:rPr>
                <w:noProof/>
                <w:webHidden/>
              </w:rPr>
              <w:t>20</w:t>
            </w:r>
            <w:r>
              <w:rPr>
                <w:noProof/>
                <w:webHidden/>
              </w:rPr>
              <w:fldChar w:fldCharType="end"/>
            </w:r>
          </w:hyperlink>
        </w:p>
        <w:p w14:paraId="25ADD283" w14:textId="20A30B14"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7" w:history="1">
            <w:r w:rsidRPr="00356A93">
              <w:rPr>
                <w:rStyle w:val="Hyperlink"/>
                <w:noProof/>
              </w:rPr>
              <w:t>5.1</w:t>
            </w:r>
            <w:r>
              <w:rPr>
                <w:rFonts w:eastAsiaTheme="minorEastAsia" w:cstheme="minorBidi"/>
                <w:b w:val="0"/>
                <w:bCs w:val="0"/>
                <w:noProof/>
                <w:kern w:val="2"/>
                <w:sz w:val="24"/>
                <w:szCs w:val="24"/>
                <w14:ligatures w14:val="standardContextual"/>
              </w:rPr>
              <w:tab/>
            </w:r>
            <w:r w:rsidRPr="00356A93">
              <w:rPr>
                <w:rStyle w:val="Hyperlink"/>
                <w:noProof/>
              </w:rPr>
              <w:t>Appendix A: Definitions</w:t>
            </w:r>
            <w:r>
              <w:rPr>
                <w:noProof/>
                <w:webHidden/>
              </w:rPr>
              <w:tab/>
            </w:r>
            <w:r>
              <w:rPr>
                <w:noProof/>
                <w:webHidden/>
              </w:rPr>
              <w:fldChar w:fldCharType="begin"/>
            </w:r>
            <w:r>
              <w:rPr>
                <w:noProof/>
                <w:webHidden/>
              </w:rPr>
              <w:instrText xml:space="preserve"> PAGEREF _Toc191310537 \h </w:instrText>
            </w:r>
            <w:r>
              <w:rPr>
                <w:noProof/>
                <w:webHidden/>
              </w:rPr>
            </w:r>
            <w:r>
              <w:rPr>
                <w:noProof/>
                <w:webHidden/>
              </w:rPr>
              <w:fldChar w:fldCharType="separate"/>
            </w:r>
            <w:r>
              <w:rPr>
                <w:noProof/>
                <w:webHidden/>
              </w:rPr>
              <w:t>20</w:t>
            </w:r>
            <w:r>
              <w:rPr>
                <w:noProof/>
                <w:webHidden/>
              </w:rPr>
              <w:fldChar w:fldCharType="end"/>
            </w:r>
          </w:hyperlink>
        </w:p>
        <w:p w14:paraId="1871C2F5" w14:textId="700889C2"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8" w:history="1">
            <w:r w:rsidRPr="00356A93">
              <w:rPr>
                <w:rStyle w:val="Hyperlink"/>
                <w:noProof/>
              </w:rPr>
              <w:t>5.2</w:t>
            </w:r>
            <w:r>
              <w:rPr>
                <w:rFonts w:eastAsiaTheme="minorEastAsia" w:cstheme="minorBidi"/>
                <w:b w:val="0"/>
                <w:bCs w:val="0"/>
                <w:noProof/>
                <w:kern w:val="2"/>
                <w:sz w:val="24"/>
                <w:szCs w:val="24"/>
                <w14:ligatures w14:val="standardContextual"/>
              </w:rPr>
              <w:tab/>
            </w:r>
            <w:r w:rsidRPr="00356A93">
              <w:rPr>
                <w:rStyle w:val="Hyperlink"/>
                <w:noProof/>
              </w:rPr>
              <w:t>Appendix B: Contract Revisions and Findings</w:t>
            </w:r>
            <w:r>
              <w:rPr>
                <w:noProof/>
                <w:webHidden/>
              </w:rPr>
              <w:tab/>
            </w:r>
            <w:r>
              <w:rPr>
                <w:noProof/>
                <w:webHidden/>
              </w:rPr>
              <w:fldChar w:fldCharType="begin"/>
            </w:r>
            <w:r>
              <w:rPr>
                <w:noProof/>
                <w:webHidden/>
              </w:rPr>
              <w:instrText xml:space="preserve"> PAGEREF _Toc191310538 \h </w:instrText>
            </w:r>
            <w:r>
              <w:rPr>
                <w:noProof/>
                <w:webHidden/>
              </w:rPr>
            </w:r>
            <w:r>
              <w:rPr>
                <w:noProof/>
                <w:webHidden/>
              </w:rPr>
              <w:fldChar w:fldCharType="separate"/>
            </w:r>
            <w:r>
              <w:rPr>
                <w:noProof/>
                <w:webHidden/>
              </w:rPr>
              <w:t>26</w:t>
            </w:r>
            <w:r>
              <w:rPr>
                <w:noProof/>
                <w:webHidden/>
              </w:rPr>
              <w:fldChar w:fldCharType="end"/>
            </w:r>
          </w:hyperlink>
        </w:p>
        <w:p w14:paraId="5F5102E6" w14:textId="171F20D3"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39" w:history="1">
            <w:r w:rsidRPr="00356A93">
              <w:rPr>
                <w:rStyle w:val="Hyperlink"/>
                <w:noProof/>
              </w:rPr>
              <w:t>5.4</w:t>
            </w:r>
            <w:r>
              <w:rPr>
                <w:rFonts w:eastAsiaTheme="minorEastAsia" w:cstheme="minorBidi"/>
                <w:b w:val="0"/>
                <w:bCs w:val="0"/>
                <w:noProof/>
                <w:kern w:val="2"/>
                <w:sz w:val="24"/>
                <w:szCs w:val="24"/>
                <w14:ligatures w14:val="standardContextual"/>
              </w:rPr>
              <w:tab/>
            </w:r>
            <w:r w:rsidRPr="00356A93">
              <w:rPr>
                <w:rStyle w:val="Hyperlink"/>
                <w:noProof/>
              </w:rPr>
              <w:t>Appendix C: Fact Sheets</w:t>
            </w:r>
            <w:r>
              <w:rPr>
                <w:noProof/>
                <w:webHidden/>
              </w:rPr>
              <w:tab/>
            </w:r>
            <w:r>
              <w:rPr>
                <w:noProof/>
                <w:webHidden/>
              </w:rPr>
              <w:fldChar w:fldCharType="begin"/>
            </w:r>
            <w:r>
              <w:rPr>
                <w:noProof/>
                <w:webHidden/>
              </w:rPr>
              <w:instrText xml:space="preserve"> PAGEREF _Toc191310539 \h </w:instrText>
            </w:r>
            <w:r>
              <w:rPr>
                <w:noProof/>
                <w:webHidden/>
              </w:rPr>
            </w:r>
            <w:r>
              <w:rPr>
                <w:noProof/>
                <w:webHidden/>
              </w:rPr>
              <w:fldChar w:fldCharType="separate"/>
            </w:r>
            <w:r>
              <w:rPr>
                <w:noProof/>
                <w:webHidden/>
              </w:rPr>
              <w:t>39</w:t>
            </w:r>
            <w:r>
              <w:rPr>
                <w:noProof/>
                <w:webHidden/>
              </w:rPr>
              <w:fldChar w:fldCharType="end"/>
            </w:r>
          </w:hyperlink>
        </w:p>
        <w:p w14:paraId="41E91FD9" w14:textId="6C660119"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40" w:history="1">
            <w:r w:rsidRPr="00356A93">
              <w:rPr>
                <w:rStyle w:val="Hyperlink"/>
                <w:noProof/>
              </w:rPr>
              <w:t>5.6</w:t>
            </w:r>
            <w:r>
              <w:rPr>
                <w:rFonts w:eastAsiaTheme="minorEastAsia" w:cstheme="minorBidi"/>
                <w:b w:val="0"/>
                <w:bCs w:val="0"/>
                <w:noProof/>
                <w:kern w:val="2"/>
                <w:sz w:val="24"/>
                <w:szCs w:val="24"/>
                <w14:ligatures w14:val="standardContextual"/>
              </w:rPr>
              <w:tab/>
            </w:r>
            <w:r w:rsidRPr="00356A93">
              <w:rPr>
                <w:rStyle w:val="Hyperlink"/>
                <w:noProof/>
              </w:rPr>
              <w:t>Appendix D: Workplan</w:t>
            </w:r>
            <w:r>
              <w:rPr>
                <w:noProof/>
                <w:webHidden/>
              </w:rPr>
              <w:tab/>
            </w:r>
            <w:r>
              <w:rPr>
                <w:noProof/>
                <w:webHidden/>
              </w:rPr>
              <w:fldChar w:fldCharType="begin"/>
            </w:r>
            <w:r>
              <w:rPr>
                <w:noProof/>
                <w:webHidden/>
              </w:rPr>
              <w:instrText xml:space="preserve"> PAGEREF _Toc191310540 \h </w:instrText>
            </w:r>
            <w:r>
              <w:rPr>
                <w:noProof/>
                <w:webHidden/>
              </w:rPr>
            </w:r>
            <w:r>
              <w:rPr>
                <w:noProof/>
                <w:webHidden/>
              </w:rPr>
              <w:fldChar w:fldCharType="separate"/>
            </w:r>
            <w:r>
              <w:rPr>
                <w:noProof/>
                <w:webHidden/>
              </w:rPr>
              <w:t>40</w:t>
            </w:r>
            <w:r>
              <w:rPr>
                <w:noProof/>
                <w:webHidden/>
              </w:rPr>
              <w:fldChar w:fldCharType="end"/>
            </w:r>
          </w:hyperlink>
        </w:p>
        <w:p w14:paraId="2777B00F" w14:textId="3F82AAB4" w:rsidR="003F1C8B" w:rsidRDefault="003F1C8B">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310541" w:history="1">
            <w:r w:rsidRPr="00356A93">
              <w:rPr>
                <w:rStyle w:val="Hyperlink"/>
                <w:noProof/>
              </w:rPr>
              <w:t>5.8</w:t>
            </w:r>
            <w:r>
              <w:rPr>
                <w:rFonts w:eastAsiaTheme="minorEastAsia" w:cstheme="minorBidi"/>
                <w:b w:val="0"/>
                <w:bCs w:val="0"/>
                <w:noProof/>
                <w:kern w:val="2"/>
                <w:sz w:val="24"/>
                <w:szCs w:val="24"/>
                <w14:ligatures w14:val="standardContextual"/>
              </w:rPr>
              <w:tab/>
            </w:r>
            <w:r w:rsidRPr="00356A93">
              <w:rPr>
                <w:rStyle w:val="Hyperlink"/>
                <w:noProof/>
              </w:rPr>
              <w:t>Appendix E: Comments Received on the IFRT2’s Initial Report</w:t>
            </w:r>
            <w:r>
              <w:rPr>
                <w:noProof/>
                <w:webHidden/>
              </w:rPr>
              <w:tab/>
            </w:r>
            <w:r>
              <w:rPr>
                <w:noProof/>
                <w:webHidden/>
              </w:rPr>
              <w:fldChar w:fldCharType="begin"/>
            </w:r>
            <w:r>
              <w:rPr>
                <w:noProof/>
                <w:webHidden/>
              </w:rPr>
              <w:instrText xml:space="preserve"> PAGEREF _Toc191310541 \h </w:instrText>
            </w:r>
            <w:r>
              <w:rPr>
                <w:noProof/>
                <w:webHidden/>
              </w:rPr>
            </w:r>
            <w:r>
              <w:rPr>
                <w:noProof/>
                <w:webHidden/>
              </w:rPr>
              <w:fldChar w:fldCharType="separate"/>
            </w:r>
            <w:r>
              <w:rPr>
                <w:noProof/>
                <w:webHidden/>
              </w:rPr>
              <w:t>41</w:t>
            </w:r>
            <w:r>
              <w:rPr>
                <w:noProof/>
                <w:webHidden/>
              </w:rPr>
              <w:fldChar w:fldCharType="end"/>
            </w:r>
          </w:hyperlink>
        </w:p>
        <w:p w14:paraId="0F0DE872" w14:textId="35A9FC54" w:rsidR="003F1C8B" w:rsidRDefault="003F1C8B">
          <w:r>
            <w:rPr>
              <w:rFonts w:cstheme="minorHAnsi"/>
              <w:i/>
              <w:iCs/>
              <w:sz w:val="24"/>
              <w:szCs w:val="24"/>
            </w:rPr>
            <w:fldChar w:fldCharType="end"/>
          </w:r>
        </w:p>
      </w:sdtContent>
    </w:sdt>
    <w:p w14:paraId="0D46208F" w14:textId="77777777" w:rsidR="00366720" w:rsidRDefault="00366720" w:rsidP="003A77BA">
      <w:pPr>
        <w:pStyle w:val="LeftParagraph"/>
      </w:pPr>
      <w:r>
        <w:br w:type="page"/>
      </w:r>
    </w:p>
    <w:p w14:paraId="77104F9C" w14:textId="77777777" w:rsidR="003F1C8B" w:rsidRPr="003F1C8B" w:rsidRDefault="003F1C8B" w:rsidP="003F1C8B">
      <w:pPr>
        <w:pStyle w:val="Heading1"/>
      </w:pPr>
      <w:bookmarkStart w:id="0" w:name="_Toc191310511"/>
      <w:r w:rsidRPr="003F1C8B">
        <w:lastRenderedPageBreak/>
        <w:t>Executive Summary</w:t>
      </w:r>
      <w:bookmarkEnd w:id="0"/>
    </w:p>
    <w:p w14:paraId="47CB0A22" w14:textId="77777777" w:rsidR="003F1C8B" w:rsidRDefault="003F1C8B" w:rsidP="003F1C8B"/>
    <w:p w14:paraId="53509AEF" w14:textId="77777777" w:rsidR="003F1C8B" w:rsidRDefault="003F1C8B" w:rsidP="003F1C8B">
      <w:pPr>
        <w:pBdr>
          <w:top w:val="nil"/>
          <w:left w:val="nil"/>
          <w:bottom w:val="nil"/>
          <w:right w:val="nil"/>
          <w:between w:val="nil"/>
        </w:pBdr>
      </w:pPr>
      <w:r>
        <w:t>This report presents the Second IANA Naming Function Review Team's (IFRT2) findings, analysis, issues, and recommendations, as directed and in compliance with ICANN Bylaws,</w:t>
      </w:r>
      <w:r>
        <w:rPr>
          <w:vertAlign w:val="superscript"/>
        </w:rPr>
        <w:footnoteReference w:id="1"/>
      </w:r>
      <w:r>
        <w:t xml:space="preserve"> Article 18: IANA Naming Function Reviews. </w:t>
      </w:r>
    </w:p>
    <w:p w14:paraId="5654A1D5" w14:textId="77777777" w:rsidR="003F1C8B" w:rsidRDefault="003F1C8B" w:rsidP="003F1C8B">
      <w:pPr>
        <w:pBdr>
          <w:top w:val="nil"/>
          <w:left w:val="nil"/>
          <w:bottom w:val="nil"/>
          <w:right w:val="nil"/>
          <w:between w:val="nil"/>
        </w:pBdr>
      </w:pPr>
    </w:p>
    <w:p w14:paraId="07D14E83" w14:textId="77777777" w:rsidR="003F1C8B" w:rsidRDefault="003F1C8B" w:rsidP="003F1C8B">
      <w:pPr>
        <w:pBdr>
          <w:top w:val="nil"/>
          <w:left w:val="nil"/>
          <w:bottom w:val="nil"/>
          <w:right w:val="nil"/>
          <w:between w:val="nil"/>
        </w:pBdr>
      </w:pPr>
      <w:r>
        <w:t xml:space="preserve">In evaluating the performance of Public Technical Identifiers (PTI), the IFRT2 has found that PTI operates reliably, efficiently, and serves the needs of IANA Naming Function customers. The IFRT2 has found no areas of performance deficiency or major opportunities for operational improvement. The recommendations presented herein serve to further clarify the contract, enhance transparency of information, and optimize future review processes. </w:t>
      </w:r>
    </w:p>
    <w:p w14:paraId="03BD9ACF" w14:textId="77777777" w:rsidR="003F1C8B" w:rsidRDefault="003F1C8B" w:rsidP="003F1C8B">
      <w:pPr>
        <w:pBdr>
          <w:top w:val="nil"/>
          <w:left w:val="nil"/>
          <w:bottom w:val="nil"/>
          <w:right w:val="nil"/>
          <w:between w:val="nil"/>
        </w:pBdr>
      </w:pPr>
    </w:p>
    <w:p w14:paraId="1BE8B8EA" w14:textId="77777777" w:rsidR="003F1C8B" w:rsidRDefault="003F1C8B" w:rsidP="003F1C8B">
      <w:pPr>
        <w:pBdr>
          <w:top w:val="nil"/>
          <w:left w:val="nil"/>
          <w:bottom w:val="nil"/>
          <w:right w:val="nil"/>
          <w:between w:val="nil"/>
        </w:pBdr>
      </w:pPr>
      <w:r>
        <w:t>The IFRT2 also presents a set of “Incidental Findings,” which are observations that could be addressed at an appropriate time, but which do not rise to the level of recommendation.</w:t>
      </w:r>
    </w:p>
    <w:p w14:paraId="4A0AA7F3" w14:textId="77777777" w:rsidR="003F1C8B" w:rsidRDefault="003F1C8B" w:rsidP="003F1C8B">
      <w:pPr>
        <w:pBdr>
          <w:top w:val="nil"/>
          <w:left w:val="nil"/>
          <w:bottom w:val="nil"/>
          <w:right w:val="nil"/>
          <w:between w:val="nil"/>
        </w:pBdr>
      </w:pPr>
    </w:p>
    <w:p w14:paraId="15D9DEEF" w14:textId="77777777" w:rsidR="003F1C8B" w:rsidRDefault="003F1C8B" w:rsidP="003F1C8B">
      <w:pPr>
        <w:pBdr>
          <w:top w:val="nil"/>
          <w:left w:val="nil"/>
          <w:bottom w:val="nil"/>
          <w:right w:val="nil"/>
          <w:between w:val="nil"/>
        </w:pBdr>
      </w:pPr>
      <w:r>
        <w:t xml:space="preserve">This report reflects the consensus of the full review team. </w:t>
      </w:r>
    </w:p>
    <w:p w14:paraId="624A3F81" w14:textId="77777777" w:rsidR="003F1C8B" w:rsidRDefault="003F1C8B" w:rsidP="003F1C8B">
      <w:pPr>
        <w:pBdr>
          <w:top w:val="nil"/>
          <w:left w:val="nil"/>
          <w:bottom w:val="nil"/>
          <w:right w:val="nil"/>
          <w:between w:val="nil"/>
        </w:pBdr>
      </w:pPr>
    </w:p>
    <w:p w14:paraId="5573190B" w14:textId="77777777" w:rsidR="003F1C8B" w:rsidRDefault="003F1C8B" w:rsidP="003F1C8B">
      <w:pPr>
        <w:pBdr>
          <w:top w:val="nil"/>
          <w:left w:val="nil"/>
          <w:bottom w:val="nil"/>
          <w:right w:val="nil"/>
          <w:between w:val="nil"/>
        </w:pBdr>
      </w:pPr>
      <w:r>
        <w:t>The IFRT2 would like to thank the staff of both PTI and ICANN for their support and dedication throughout the process of this review.</w:t>
      </w:r>
    </w:p>
    <w:p w14:paraId="3B94AB64" w14:textId="77777777" w:rsidR="003F1C8B" w:rsidRDefault="003F1C8B" w:rsidP="003F1C8B">
      <w:pPr>
        <w:rPr>
          <w:color w:val="FF0000"/>
          <w:sz w:val="27"/>
          <w:szCs w:val="27"/>
        </w:rPr>
      </w:pPr>
    </w:p>
    <w:p w14:paraId="517FE07C" w14:textId="77777777" w:rsidR="003F1C8B" w:rsidRDefault="003F1C8B" w:rsidP="003F1C8B"/>
    <w:p w14:paraId="31D3E7FD" w14:textId="77777777" w:rsidR="003F1C8B" w:rsidRDefault="003F1C8B" w:rsidP="003F1C8B">
      <w:pPr>
        <w:rPr>
          <w:b/>
          <w:sz w:val="44"/>
          <w:szCs w:val="44"/>
        </w:rPr>
      </w:pPr>
      <w:r>
        <w:br w:type="page"/>
      </w:r>
    </w:p>
    <w:p w14:paraId="2977A0D0" w14:textId="77777777" w:rsidR="003F1C8B" w:rsidRPr="003F1C8B" w:rsidRDefault="003F1C8B" w:rsidP="003F1C8B">
      <w:pPr>
        <w:pStyle w:val="Heading1"/>
      </w:pPr>
      <w:bookmarkStart w:id="1" w:name="_heading=h.30j0zll" w:colFirst="0" w:colLast="0"/>
      <w:bookmarkStart w:id="2" w:name="_Toc191310512"/>
      <w:bookmarkEnd w:id="1"/>
      <w:r w:rsidRPr="003F1C8B">
        <w:lastRenderedPageBreak/>
        <w:t>Part 1: Findings and Recommendations</w:t>
      </w:r>
      <w:bookmarkEnd w:id="2"/>
    </w:p>
    <w:p w14:paraId="6D612579" w14:textId="77777777" w:rsidR="003F1C8B" w:rsidRDefault="003F1C8B" w:rsidP="003F1C8B">
      <w:pPr>
        <w:pBdr>
          <w:top w:val="nil"/>
          <w:left w:val="nil"/>
          <w:bottom w:val="nil"/>
          <w:right w:val="nil"/>
          <w:between w:val="nil"/>
        </w:pBdr>
      </w:pPr>
    </w:p>
    <w:p w14:paraId="42E791F6" w14:textId="77777777" w:rsidR="003F1C8B" w:rsidRDefault="003F1C8B" w:rsidP="003F1C8B">
      <w:pPr>
        <w:ind w:left="720"/>
      </w:pPr>
    </w:p>
    <w:p w14:paraId="48D75FB6" w14:textId="77777777" w:rsidR="003F1C8B" w:rsidRPr="003F1C8B" w:rsidRDefault="003F1C8B" w:rsidP="003F1C8B">
      <w:pPr>
        <w:pStyle w:val="Heading2"/>
      </w:pPr>
      <w:bookmarkStart w:id="3" w:name="_heading=h.yajm06kfgad8" w:colFirst="0" w:colLast="0"/>
      <w:bookmarkStart w:id="4" w:name="_Toc191310513"/>
      <w:bookmarkEnd w:id="3"/>
      <w:r w:rsidRPr="003F1C8B">
        <w:t>IFRT2 Finding 1: DNSSEC Policy and Practice</w:t>
      </w:r>
      <w:bookmarkEnd w:id="4"/>
    </w:p>
    <w:p w14:paraId="097F9EB0" w14:textId="77777777" w:rsidR="003F1C8B" w:rsidRDefault="003F1C8B" w:rsidP="003F1C8B"/>
    <w:p w14:paraId="7FF78A0B" w14:textId="77777777" w:rsidR="003F1C8B" w:rsidRDefault="003F1C8B" w:rsidP="003F1C8B">
      <w:r>
        <w:t xml:space="preserve">Contractual Reference: </w:t>
      </w:r>
      <w:hyperlink r:id="rId10">
        <w:r>
          <w:rPr>
            <w:color w:val="1D98D3"/>
            <w:u w:val="single"/>
          </w:rPr>
          <w:t>IANA Naming Function Contract</w:t>
        </w:r>
      </w:hyperlink>
      <w:r>
        <w:t xml:space="preserve">, </w:t>
      </w:r>
      <w:r>
        <w:rPr>
          <w:highlight w:val="white"/>
        </w:rPr>
        <w:t>Annex A, 4 (</w:t>
      </w:r>
      <w:proofErr w:type="spellStart"/>
      <w:r>
        <w:rPr>
          <w:highlight w:val="white"/>
        </w:rPr>
        <w:t>i</w:t>
      </w:r>
      <w:proofErr w:type="spellEnd"/>
      <w:r>
        <w:rPr>
          <w:highlight w:val="white"/>
        </w:rPr>
        <w:t xml:space="preserve">) (1) </w:t>
      </w:r>
    </w:p>
    <w:p w14:paraId="5677CC78" w14:textId="77777777" w:rsidR="003F1C8B" w:rsidRDefault="003F1C8B" w:rsidP="003F1C8B"/>
    <w:p w14:paraId="1368F7B0" w14:textId="5CAB50D3" w:rsidR="003F1C8B" w:rsidRDefault="003F1C8B" w:rsidP="003F1C8B">
      <w:r>
        <w:t>The IFRT2 identified that specific DNSSEC policy details are referred to in the contract. Given that these policy details are maintained elsewhere and are frequently updated in line with best practices, inclusion in the contract creates a risk that the contract will not always reflect the latest and most effective policy. This section of the contract also does not reflect who or what is the authoritative voice for what is the best practice in relation to DNSSEC. The review team was also not able to identify an authoritative source (or sources) for reference in Recommendation 2 below, although the Base Registry Agreement may offer a useful reference.</w:t>
      </w:r>
      <w:r>
        <w:rPr>
          <w:vertAlign w:val="superscript"/>
        </w:rPr>
        <w:footnoteReference w:id="2"/>
      </w:r>
      <w:bookmarkStart w:id="5" w:name="_heading=h.58s27ykq2onw" w:colFirst="0" w:colLast="0"/>
      <w:bookmarkEnd w:id="5"/>
    </w:p>
    <w:p w14:paraId="05748FB1" w14:textId="77777777" w:rsidR="003F1C8B" w:rsidRPr="003F1C8B" w:rsidRDefault="003F1C8B" w:rsidP="003F1C8B"/>
    <w:p w14:paraId="3CF2D828" w14:textId="77777777" w:rsidR="003F1C8B" w:rsidRDefault="003F1C8B" w:rsidP="003F1C8B">
      <w:pPr>
        <w:pStyle w:val="Heading3"/>
      </w:pPr>
      <w:bookmarkStart w:id="6" w:name="_heading=h.58krxmuib3v7" w:colFirst="0" w:colLast="0"/>
      <w:bookmarkEnd w:id="6"/>
      <w:r>
        <w:t>Recommendation 1</w:t>
      </w:r>
    </w:p>
    <w:p w14:paraId="4B5B395E" w14:textId="77777777" w:rsidR="003F1C8B" w:rsidRDefault="003F1C8B" w:rsidP="003F1C8B"/>
    <w:p w14:paraId="05B4A5E4" w14:textId="77777777" w:rsidR="003F1C8B" w:rsidRDefault="003F1C8B" w:rsidP="003F1C8B">
      <w:pPr>
        <w:widowControl w:val="0"/>
        <w:spacing w:line="276" w:lineRule="auto"/>
      </w:pPr>
      <w:r>
        <w:t xml:space="preserve">Recommendation ID: </w:t>
      </w:r>
      <w:r>
        <w:rPr>
          <w:b/>
        </w:rPr>
        <w:t>IFRT2-2025-Rec1</w:t>
      </w:r>
    </w:p>
    <w:p w14:paraId="7E4CCE07" w14:textId="77777777" w:rsidR="003F1C8B" w:rsidRDefault="003F1C8B" w:rsidP="003F1C8B">
      <w:pPr>
        <w:widowControl w:val="0"/>
        <w:spacing w:line="276" w:lineRule="auto"/>
        <w:rPr>
          <w:highlight w:val="white"/>
        </w:rPr>
      </w:pPr>
    </w:p>
    <w:p w14:paraId="6388D734" w14:textId="77777777" w:rsidR="003F1C8B" w:rsidRDefault="003F1C8B" w:rsidP="003F1C8B">
      <w:pPr>
        <w:widowControl w:val="0"/>
        <w:spacing w:line="276" w:lineRule="auto"/>
        <w:rPr>
          <w:highlight w:val="white"/>
        </w:rPr>
      </w:pPr>
      <w:r>
        <w:rPr>
          <w:highlight w:val="white"/>
        </w:rPr>
        <w:t>The IFRT2 recommends removing the policy details from the IANA Naming Function contract (see Annex A, 4 (</w:t>
      </w:r>
      <w:proofErr w:type="spellStart"/>
      <w:r>
        <w:rPr>
          <w:highlight w:val="white"/>
        </w:rPr>
        <w:t>i</w:t>
      </w:r>
      <w:proofErr w:type="spellEnd"/>
      <w:r>
        <w:rPr>
          <w:highlight w:val="white"/>
        </w:rPr>
        <w:t xml:space="preserve">) (1)). </w:t>
      </w:r>
    </w:p>
    <w:p w14:paraId="13B4DF0D" w14:textId="77777777" w:rsidR="003F1C8B" w:rsidRDefault="003F1C8B" w:rsidP="003F1C8B">
      <w:pPr>
        <w:widowControl w:val="0"/>
        <w:spacing w:line="276" w:lineRule="auto"/>
        <w:rPr>
          <w:highlight w:val="white"/>
        </w:rPr>
      </w:pPr>
    </w:p>
    <w:p w14:paraId="1CDDC48D" w14:textId="77777777" w:rsidR="003F1C8B" w:rsidRDefault="003F1C8B" w:rsidP="003F1C8B">
      <w:r>
        <w:t xml:space="preserve">Evaluation Criteria: </w:t>
      </w:r>
    </w:p>
    <w:p w14:paraId="02CA0C00" w14:textId="77777777" w:rsidR="003F1C8B" w:rsidRDefault="003F1C8B" w:rsidP="003F1C8B">
      <w:pPr>
        <w:pStyle w:val="ListParagraph"/>
        <w:numPr>
          <w:ilvl w:val="0"/>
          <w:numId w:val="31"/>
        </w:numPr>
      </w:pPr>
      <w:r>
        <w:t>The IANA Naming Function Contract removes references to specific DNSSEC policy details.</w:t>
      </w:r>
    </w:p>
    <w:p w14:paraId="1C3B0703" w14:textId="77777777" w:rsidR="003F1C8B" w:rsidRDefault="003F1C8B" w:rsidP="003F1C8B">
      <w:pPr>
        <w:widowControl w:val="0"/>
        <w:spacing w:line="276" w:lineRule="auto"/>
        <w:rPr>
          <w:highlight w:val="white"/>
        </w:rPr>
      </w:pPr>
    </w:p>
    <w:p w14:paraId="1F88BB9C" w14:textId="77777777" w:rsidR="003F1C8B" w:rsidRDefault="003F1C8B" w:rsidP="003F1C8B">
      <w:r>
        <w:t xml:space="preserve">Expected Due Date: ICANN Board Recommendation Approval plus </w:t>
      </w:r>
      <w:r>
        <w:rPr>
          <w:highlight w:val="yellow"/>
        </w:rPr>
        <w:t>365 days</w:t>
      </w:r>
      <w:r>
        <w:t>.</w:t>
      </w:r>
    </w:p>
    <w:p w14:paraId="5B921F05" w14:textId="77777777" w:rsidR="003F1C8B" w:rsidRDefault="003F1C8B" w:rsidP="003F1C8B"/>
    <w:p w14:paraId="0FBCEA5F" w14:textId="77777777" w:rsidR="003F1C8B" w:rsidRDefault="003F1C8B" w:rsidP="003F1C8B">
      <w:pPr>
        <w:rPr>
          <w:highlight w:val="yellow"/>
        </w:rPr>
      </w:pPr>
      <w:r>
        <w:t xml:space="preserve">Priority: </w:t>
      </w:r>
      <w:r>
        <w:rPr>
          <w:highlight w:val="yellow"/>
        </w:rPr>
        <w:t>Low</w:t>
      </w:r>
    </w:p>
    <w:p w14:paraId="5D77F309" w14:textId="77777777" w:rsidR="003F1C8B" w:rsidRDefault="003F1C8B" w:rsidP="003F1C8B"/>
    <w:p w14:paraId="5DB386C5" w14:textId="77777777" w:rsidR="003F1C8B" w:rsidRDefault="003F1C8B" w:rsidP="003F1C8B">
      <w:pPr>
        <w:rPr>
          <w:i/>
        </w:rPr>
      </w:pPr>
      <w:r>
        <w:t xml:space="preserve">Status: </w:t>
      </w:r>
      <w:r>
        <w:rPr>
          <w:i/>
        </w:rPr>
        <w:t>To be updated following acceptance of the final IFRT2 report.</w:t>
      </w:r>
    </w:p>
    <w:p w14:paraId="4B461FFD" w14:textId="77777777" w:rsidR="003F1C8B" w:rsidRDefault="003F1C8B" w:rsidP="003F1C8B">
      <w:pPr>
        <w:rPr>
          <w:i/>
        </w:rPr>
      </w:pPr>
    </w:p>
    <w:p w14:paraId="5C460061" w14:textId="77777777" w:rsidR="003F1C8B" w:rsidRDefault="003F1C8B" w:rsidP="003F1C8B">
      <w:pPr>
        <w:pStyle w:val="Heading3"/>
        <w:rPr>
          <w:i/>
        </w:rPr>
      </w:pPr>
      <w:bookmarkStart w:id="7" w:name="_heading=h.5bb0v1o1xj31" w:colFirst="0" w:colLast="0"/>
      <w:bookmarkEnd w:id="7"/>
      <w:r>
        <w:t>Recommendation 2</w:t>
      </w:r>
    </w:p>
    <w:p w14:paraId="0489706B" w14:textId="77777777" w:rsidR="003F1C8B" w:rsidRDefault="003F1C8B" w:rsidP="003F1C8B"/>
    <w:p w14:paraId="27AA70EB" w14:textId="77777777" w:rsidR="003F1C8B" w:rsidRDefault="003F1C8B" w:rsidP="003F1C8B">
      <w:pPr>
        <w:widowControl w:val="0"/>
        <w:spacing w:line="276" w:lineRule="auto"/>
      </w:pPr>
      <w:r>
        <w:t xml:space="preserve">Recommendation ID: </w:t>
      </w:r>
      <w:r>
        <w:rPr>
          <w:b/>
        </w:rPr>
        <w:t>IFRT2-2025-Rec2</w:t>
      </w:r>
    </w:p>
    <w:p w14:paraId="50BABC1D" w14:textId="77777777" w:rsidR="003F1C8B" w:rsidRDefault="003F1C8B" w:rsidP="003F1C8B">
      <w:pPr>
        <w:widowControl w:val="0"/>
        <w:spacing w:line="276" w:lineRule="auto"/>
        <w:rPr>
          <w:highlight w:val="white"/>
        </w:rPr>
      </w:pPr>
    </w:p>
    <w:p w14:paraId="26CF8F16" w14:textId="77777777" w:rsidR="003F1C8B" w:rsidRDefault="003F1C8B" w:rsidP="003F1C8B">
      <w:pPr>
        <w:widowControl w:val="0"/>
        <w:spacing w:line="276" w:lineRule="auto"/>
        <w:rPr>
          <w:highlight w:val="white"/>
        </w:rPr>
      </w:pPr>
      <w:r>
        <w:rPr>
          <w:highlight w:val="white"/>
        </w:rPr>
        <w:t>The IFRT2 recommends identifying and pointing to the appropriate policy authority for DNSSEC in the IANA Naming Function contract (see Annex A, 4 (</w:t>
      </w:r>
      <w:proofErr w:type="spellStart"/>
      <w:r>
        <w:rPr>
          <w:highlight w:val="white"/>
        </w:rPr>
        <w:t>i</w:t>
      </w:r>
      <w:proofErr w:type="spellEnd"/>
      <w:r>
        <w:rPr>
          <w:highlight w:val="white"/>
        </w:rPr>
        <w:t xml:space="preserve">) (1)). </w:t>
      </w:r>
    </w:p>
    <w:p w14:paraId="03B0FDB6" w14:textId="77777777" w:rsidR="003F1C8B" w:rsidRDefault="003F1C8B" w:rsidP="003F1C8B">
      <w:pPr>
        <w:widowControl w:val="0"/>
        <w:spacing w:line="276" w:lineRule="auto"/>
        <w:rPr>
          <w:highlight w:val="white"/>
        </w:rPr>
      </w:pPr>
    </w:p>
    <w:p w14:paraId="3801E3DE" w14:textId="77777777" w:rsidR="003F1C8B" w:rsidRDefault="003F1C8B" w:rsidP="003F1C8B">
      <w:r>
        <w:t xml:space="preserve">Evaluation Criteria: </w:t>
      </w:r>
    </w:p>
    <w:p w14:paraId="3B8F90B1" w14:textId="77777777" w:rsidR="003F1C8B" w:rsidRDefault="003F1C8B" w:rsidP="003F1C8B">
      <w:pPr>
        <w:pStyle w:val="ListParagraph"/>
        <w:numPr>
          <w:ilvl w:val="0"/>
          <w:numId w:val="32"/>
        </w:numPr>
      </w:pPr>
      <w:r>
        <w:t>The IANA Naming Function Contract names the authoritative source for DNSSEC policy.</w:t>
      </w:r>
    </w:p>
    <w:p w14:paraId="0DAEB65D" w14:textId="77777777" w:rsidR="003F1C8B" w:rsidRDefault="003F1C8B" w:rsidP="003F1C8B">
      <w:pPr>
        <w:widowControl w:val="0"/>
        <w:spacing w:line="276" w:lineRule="auto"/>
        <w:rPr>
          <w:highlight w:val="white"/>
        </w:rPr>
      </w:pPr>
    </w:p>
    <w:p w14:paraId="0296BC05" w14:textId="77777777" w:rsidR="003F1C8B" w:rsidRDefault="003F1C8B" w:rsidP="003F1C8B">
      <w:r>
        <w:lastRenderedPageBreak/>
        <w:t xml:space="preserve">Expected Due Date: ICANN Board Recommendation Approval plus </w:t>
      </w:r>
      <w:r>
        <w:rPr>
          <w:highlight w:val="yellow"/>
        </w:rPr>
        <w:t>365 days</w:t>
      </w:r>
      <w:r>
        <w:t>.</w:t>
      </w:r>
    </w:p>
    <w:p w14:paraId="6BB7C210" w14:textId="77777777" w:rsidR="003F1C8B" w:rsidRDefault="003F1C8B" w:rsidP="003F1C8B"/>
    <w:p w14:paraId="039CCD24" w14:textId="77777777" w:rsidR="003F1C8B" w:rsidRDefault="003F1C8B" w:rsidP="003F1C8B">
      <w:pPr>
        <w:rPr>
          <w:highlight w:val="yellow"/>
        </w:rPr>
      </w:pPr>
      <w:r>
        <w:t xml:space="preserve">Priority: </w:t>
      </w:r>
      <w:r>
        <w:rPr>
          <w:highlight w:val="yellow"/>
        </w:rPr>
        <w:t>High</w:t>
      </w:r>
    </w:p>
    <w:p w14:paraId="317682B8" w14:textId="77777777" w:rsidR="003F1C8B" w:rsidRDefault="003F1C8B" w:rsidP="003F1C8B"/>
    <w:p w14:paraId="2A819FDE" w14:textId="77777777" w:rsidR="003F1C8B" w:rsidRDefault="003F1C8B" w:rsidP="003F1C8B">
      <w:pPr>
        <w:rPr>
          <w:i/>
        </w:rPr>
      </w:pPr>
      <w:r>
        <w:t xml:space="preserve">Status: </w:t>
      </w:r>
      <w:r>
        <w:rPr>
          <w:i/>
        </w:rPr>
        <w:t>To be updated following acceptance of the final IFRT2 report.</w:t>
      </w:r>
    </w:p>
    <w:p w14:paraId="49DEC504" w14:textId="77777777" w:rsidR="003F1C8B" w:rsidRDefault="003F1C8B" w:rsidP="003F1C8B"/>
    <w:p w14:paraId="0238FB3B" w14:textId="77777777" w:rsidR="003F1C8B" w:rsidRDefault="003F1C8B" w:rsidP="003F1C8B">
      <w:pPr>
        <w:rPr>
          <w:i/>
        </w:rPr>
      </w:pPr>
    </w:p>
    <w:p w14:paraId="5F0AB291" w14:textId="77777777" w:rsidR="003F1C8B" w:rsidRPr="003F1C8B" w:rsidRDefault="003F1C8B" w:rsidP="003F1C8B">
      <w:pPr>
        <w:pStyle w:val="Heading2"/>
      </w:pPr>
      <w:bookmarkStart w:id="8" w:name="_heading=h.qidlryqu9y9f" w:colFirst="0" w:colLast="0"/>
      <w:bookmarkStart w:id="9" w:name="_Toc191310514"/>
      <w:bookmarkEnd w:id="8"/>
      <w:r w:rsidRPr="003F1C8B">
        <w:t>IFRT2 Finding 2: Contract Amendment Transparency</w:t>
      </w:r>
      <w:bookmarkEnd w:id="9"/>
    </w:p>
    <w:p w14:paraId="38713DFE" w14:textId="77777777" w:rsidR="003F1C8B" w:rsidRDefault="003F1C8B" w:rsidP="003F1C8B"/>
    <w:p w14:paraId="6B641788" w14:textId="77777777" w:rsidR="003F1C8B" w:rsidRDefault="003F1C8B" w:rsidP="003F1C8B">
      <w:r>
        <w:t xml:space="preserve">Contractual Reference: </w:t>
      </w:r>
      <w:hyperlink r:id="rId11">
        <w:r>
          <w:rPr>
            <w:color w:val="1D98D3"/>
            <w:u w:val="single"/>
          </w:rPr>
          <w:t>IANA Naming Function Contract</w:t>
        </w:r>
      </w:hyperlink>
    </w:p>
    <w:p w14:paraId="79E7A993" w14:textId="77777777" w:rsidR="003F1C8B" w:rsidRDefault="003F1C8B" w:rsidP="003F1C8B"/>
    <w:p w14:paraId="47615F44" w14:textId="77777777" w:rsidR="003F1C8B" w:rsidRDefault="003F1C8B" w:rsidP="003F1C8B">
      <w:r>
        <w:t xml:space="preserve">In reviewing the IANA Naming Function Contract, the IFR2 Team gathered insights and findings that had already been addressed by amendments that were not immediately obvious or available to the team. </w:t>
      </w:r>
    </w:p>
    <w:p w14:paraId="7D909F12" w14:textId="77777777" w:rsidR="003F1C8B" w:rsidRDefault="003F1C8B" w:rsidP="003F1C8B"/>
    <w:p w14:paraId="303380E8" w14:textId="77777777" w:rsidR="003F1C8B" w:rsidRDefault="003F1C8B" w:rsidP="003F1C8B">
      <w:pPr>
        <w:pStyle w:val="Heading3"/>
      </w:pPr>
      <w:bookmarkStart w:id="10" w:name="_heading=h.ag3ztfh3di0f" w:colFirst="0" w:colLast="0"/>
      <w:bookmarkEnd w:id="10"/>
      <w:r>
        <w:t>Recommendation 3</w:t>
      </w:r>
    </w:p>
    <w:p w14:paraId="42E5186D" w14:textId="77777777" w:rsidR="003F1C8B" w:rsidRDefault="003F1C8B" w:rsidP="003F1C8B"/>
    <w:p w14:paraId="69E6E6C3" w14:textId="77777777" w:rsidR="003F1C8B" w:rsidRDefault="003F1C8B" w:rsidP="003F1C8B">
      <w:pPr>
        <w:widowControl w:val="0"/>
        <w:spacing w:line="276" w:lineRule="auto"/>
      </w:pPr>
      <w:r>
        <w:t xml:space="preserve">Recommendation ID: </w:t>
      </w:r>
      <w:r>
        <w:rPr>
          <w:b/>
        </w:rPr>
        <w:t>IFRT2-2025-Rec3</w:t>
      </w:r>
    </w:p>
    <w:p w14:paraId="5A2FA686" w14:textId="77777777" w:rsidR="003F1C8B" w:rsidRDefault="003F1C8B" w:rsidP="003F1C8B">
      <w:pPr>
        <w:widowControl w:val="0"/>
        <w:spacing w:line="276" w:lineRule="auto"/>
        <w:rPr>
          <w:highlight w:val="white"/>
        </w:rPr>
      </w:pPr>
    </w:p>
    <w:p w14:paraId="71143ACB" w14:textId="77777777" w:rsidR="003F1C8B" w:rsidRDefault="003F1C8B" w:rsidP="003F1C8B">
      <w:pPr>
        <w:widowControl w:val="0"/>
        <w:spacing w:line="276" w:lineRule="auto"/>
        <w:rPr>
          <w:highlight w:val="white"/>
        </w:rPr>
      </w:pPr>
      <w:r>
        <w:rPr>
          <w:highlight w:val="white"/>
        </w:rPr>
        <w:t xml:space="preserve">To improve transparency and to support the next IFRT, the IFRT2 recommends that the contract, as amended, is accessible. If this is not possible, the review team suggests providing a clear mapping of which lines have been amended to sit alongside the original contract. </w:t>
      </w:r>
    </w:p>
    <w:p w14:paraId="30206EF7" w14:textId="77777777" w:rsidR="003F1C8B" w:rsidRDefault="003F1C8B" w:rsidP="003F1C8B">
      <w:pPr>
        <w:widowControl w:val="0"/>
        <w:spacing w:line="276" w:lineRule="auto"/>
        <w:rPr>
          <w:highlight w:val="white"/>
        </w:rPr>
      </w:pPr>
    </w:p>
    <w:p w14:paraId="674DBEE3" w14:textId="77777777" w:rsidR="003F1C8B" w:rsidRDefault="003F1C8B" w:rsidP="003F1C8B">
      <w:r>
        <w:t xml:space="preserve">Evaluation Criteria: </w:t>
      </w:r>
    </w:p>
    <w:p w14:paraId="2CA0FD68" w14:textId="77777777" w:rsidR="003F1C8B" w:rsidRDefault="003F1C8B" w:rsidP="003F1C8B">
      <w:pPr>
        <w:numPr>
          <w:ilvl w:val="0"/>
          <w:numId w:val="29"/>
        </w:numPr>
      </w:pPr>
      <w:r>
        <w:t xml:space="preserve">Those accessing the IANA Naming Function Contract can identify where amendments have overridden the text, either from within the contract itself or on the page that houses the contract. </w:t>
      </w:r>
    </w:p>
    <w:p w14:paraId="37264AAF" w14:textId="77777777" w:rsidR="003F1C8B" w:rsidRDefault="003F1C8B" w:rsidP="003F1C8B">
      <w:pPr>
        <w:numPr>
          <w:ilvl w:val="0"/>
          <w:numId w:val="29"/>
        </w:numPr>
      </w:pPr>
      <w:r>
        <w:t>Those accessing the IANA Naming Function Contract can read the most recent amended version of the contract or navigate to it from the contract itself.</w:t>
      </w:r>
    </w:p>
    <w:p w14:paraId="530BF57D" w14:textId="77777777" w:rsidR="003F1C8B" w:rsidRDefault="003F1C8B" w:rsidP="003F1C8B">
      <w:pPr>
        <w:widowControl w:val="0"/>
        <w:spacing w:line="276" w:lineRule="auto"/>
        <w:rPr>
          <w:sz w:val="20"/>
          <w:szCs w:val="20"/>
          <w:highlight w:val="white"/>
        </w:rPr>
      </w:pPr>
    </w:p>
    <w:p w14:paraId="0CD5950E" w14:textId="77777777" w:rsidR="003F1C8B" w:rsidRDefault="003F1C8B" w:rsidP="003F1C8B">
      <w:r>
        <w:t xml:space="preserve">Expected Due Date: ICANN Board Recommendation Approval plus </w:t>
      </w:r>
      <w:r>
        <w:rPr>
          <w:highlight w:val="yellow"/>
        </w:rPr>
        <w:t>183 days</w:t>
      </w:r>
      <w:r>
        <w:t>.</w:t>
      </w:r>
    </w:p>
    <w:p w14:paraId="78C3E8FD" w14:textId="77777777" w:rsidR="003F1C8B" w:rsidRDefault="003F1C8B" w:rsidP="003F1C8B"/>
    <w:p w14:paraId="0ECE26E0" w14:textId="77777777" w:rsidR="003F1C8B" w:rsidRDefault="003F1C8B" w:rsidP="003F1C8B">
      <w:pPr>
        <w:rPr>
          <w:highlight w:val="yellow"/>
        </w:rPr>
      </w:pPr>
      <w:r>
        <w:t xml:space="preserve">Priority: </w:t>
      </w:r>
      <w:r>
        <w:rPr>
          <w:highlight w:val="yellow"/>
        </w:rPr>
        <w:t>Med</w:t>
      </w:r>
    </w:p>
    <w:p w14:paraId="15B627AF" w14:textId="77777777" w:rsidR="003F1C8B" w:rsidRDefault="003F1C8B" w:rsidP="003F1C8B"/>
    <w:p w14:paraId="081D22EB" w14:textId="77777777" w:rsidR="003F1C8B" w:rsidRDefault="003F1C8B" w:rsidP="003F1C8B">
      <w:pPr>
        <w:widowControl w:val="0"/>
        <w:spacing w:line="276" w:lineRule="auto"/>
        <w:rPr>
          <w:i/>
        </w:rPr>
      </w:pPr>
      <w:r>
        <w:t xml:space="preserve">Status: </w:t>
      </w:r>
      <w:r>
        <w:rPr>
          <w:i/>
        </w:rPr>
        <w:t>To be updated following acceptance of the final IFRT2 report.</w:t>
      </w:r>
    </w:p>
    <w:p w14:paraId="60D149A4" w14:textId="77777777" w:rsidR="003F1C8B" w:rsidRDefault="003F1C8B" w:rsidP="003F1C8B">
      <w:pPr>
        <w:rPr>
          <w:i/>
        </w:rPr>
      </w:pPr>
    </w:p>
    <w:p w14:paraId="5803023A" w14:textId="77777777" w:rsidR="003F1C8B" w:rsidRPr="003F1C8B" w:rsidRDefault="003F1C8B" w:rsidP="003F1C8B">
      <w:pPr>
        <w:pStyle w:val="Heading2"/>
      </w:pPr>
      <w:bookmarkStart w:id="11" w:name="_heading=h.oweqs4qacpvb" w:colFirst="0" w:colLast="0"/>
      <w:bookmarkStart w:id="12" w:name="_Toc191310515"/>
      <w:bookmarkEnd w:id="11"/>
      <w:r w:rsidRPr="003F1C8B">
        <w:t>IFRT2 Finding 3: Frequency of Reviews</w:t>
      </w:r>
      <w:bookmarkEnd w:id="12"/>
    </w:p>
    <w:p w14:paraId="06794942" w14:textId="77777777" w:rsidR="003F1C8B" w:rsidRDefault="003F1C8B" w:rsidP="003F1C8B"/>
    <w:p w14:paraId="75FC28D0" w14:textId="77777777" w:rsidR="003F1C8B" w:rsidRDefault="003F1C8B" w:rsidP="003F1C8B">
      <w:r>
        <w:t>ICANN Bylaws Reference: Section 18.2(b)</w:t>
      </w:r>
    </w:p>
    <w:p w14:paraId="65B6AA79" w14:textId="77777777" w:rsidR="003F1C8B" w:rsidRDefault="003F1C8B" w:rsidP="003F1C8B"/>
    <w:p w14:paraId="2BB6C7FD" w14:textId="77777777" w:rsidR="003F1C8B" w:rsidRDefault="003F1C8B" w:rsidP="003F1C8B">
      <w:r>
        <w:t xml:space="preserve">Following the first IFR report, the </w:t>
      </w:r>
      <w:proofErr w:type="spellStart"/>
      <w:r>
        <w:t>ccNSO</w:t>
      </w:r>
      <w:proofErr w:type="spellEnd"/>
      <w:r>
        <w:t xml:space="preserve"> council suggested amending the frequency of the IANA Naming Function Review (IFR). Currently the frequency is defined in section 18.2 (b) as: “once every five(5) years, measured from the date the previous IFRT for a Periodic IFR was convened.”</w:t>
      </w:r>
      <w:r>
        <w:rPr>
          <w:vertAlign w:val="superscript"/>
        </w:rPr>
        <w:footnoteReference w:id="3"/>
      </w:r>
      <w:r>
        <w:t xml:space="preserve"> Because periodic IFRs take approximately 12-18 months to complete and are then </w:t>
      </w:r>
      <w:r>
        <w:lastRenderedPageBreak/>
        <w:t xml:space="preserve">followed by implementation time, the </w:t>
      </w:r>
      <w:proofErr w:type="spellStart"/>
      <w:r>
        <w:t>ccNSO</w:t>
      </w:r>
      <w:proofErr w:type="spellEnd"/>
      <w:r>
        <w:t xml:space="preserve"> suggested that situations could arise in which a review begins without sufficient time to observe the impacts of prior changes. The review team notes that this observation proved accurate in the case of IFR2, which began with limited time after the recommendations of IFR1 were implemented. </w:t>
      </w:r>
    </w:p>
    <w:p w14:paraId="1E22FB32" w14:textId="77777777" w:rsidR="003F1C8B" w:rsidRDefault="003F1C8B" w:rsidP="003F1C8B"/>
    <w:p w14:paraId="3F0B6F2D" w14:textId="77777777" w:rsidR="003F1C8B" w:rsidRDefault="003F1C8B" w:rsidP="003F1C8B">
      <w:pPr>
        <w:pStyle w:val="Heading3"/>
      </w:pPr>
      <w:bookmarkStart w:id="13" w:name="_heading=h.ht5mlp8h0d0q" w:colFirst="0" w:colLast="0"/>
      <w:bookmarkEnd w:id="13"/>
      <w:r>
        <w:t>Recommendation 4</w:t>
      </w:r>
    </w:p>
    <w:p w14:paraId="34B4EC29" w14:textId="77777777" w:rsidR="003F1C8B" w:rsidRDefault="003F1C8B" w:rsidP="003F1C8B"/>
    <w:p w14:paraId="1BD4C06E" w14:textId="77777777" w:rsidR="003F1C8B" w:rsidRDefault="003F1C8B" w:rsidP="003F1C8B">
      <w:pPr>
        <w:widowControl w:val="0"/>
        <w:spacing w:line="276" w:lineRule="auto"/>
      </w:pPr>
      <w:r>
        <w:t xml:space="preserve">Recommendation ID: </w:t>
      </w:r>
      <w:r>
        <w:rPr>
          <w:b/>
        </w:rPr>
        <w:t>IFRT2-2025-Rec4</w:t>
      </w:r>
    </w:p>
    <w:p w14:paraId="4BE70624" w14:textId="77777777" w:rsidR="003F1C8B" w:rsidRDefault="003F1C8B" w:rsidP="003F1C8B">
      <w:pPr>
        <w:widowControl w:val="0"/>
        <w:spacing w:line="276" w:lineRule="auto"/>
        <w:rPr>
          <w:highlight w:val="white"/>
        </w:rPr>
      </w:pPr>
    </w:p>
    <w:p w14:paraId="78E3662C" w14:textId="77777777" w:rsidR="003F1C8B" w:rsidRDefault="003F1C8B" w:rsidP="003F1C8B">
      <w:pPr>
        <w:widowControl w:val="0"/>
        <w:spacing w:line="276" w:lineRule="auto"/>
        <w:rPr>
          <w:highlight w:val="white"/>
        </w:rPr>
      </w:pPr>
      <w:r>
        <w:rPr>
          <w:highlight w:val="white"/>
        </w:rPr>
        <w:t>The IFRT2 recommends amending ICANN Bylaws Section 18.2(b) to read “once every five (5) years, measured from the date that the most recent IFRT submits its Final Report to the ICANN Board of Directors.”</w:t>
      </w:r>
    </w:p>
    <w:p w14:paraId="46D390AF" w14:textId="77777777" w:rsidR="003F1C8B" w:rsidRDefault="003F1C8B" w:rsidP="003F1C8B">
      <w:pPr>
        <w:widowControl w:val="0"/>
        <w:spacing w:line="276" w:lineRule="auto"/>
        <w:rPr>
          <w:highlight w:val="white"/>
        </w:rPr>
      </w:pPr>
    </w:p>
    <w:p w14:paraId="3D62563A" w14:textId="77777777" w:rsidR="003F1C8B" w:rsidRDefault="003F1C8B" w:rsidP="003F1C8B">
      <w:r>
        <w:t xml:space="preserve">Evaluation Criteria: </w:t>
      </w:r>
    </w:p>
    <w:p w14:paraId="0092C1F2" w14:textId="77777777" w:rsidR="003F1C8B" w:rsidRDefault="003F1C8B" w:rsidP="003F1C8B">
      <w:pPr>
        <w:pStyle w:val="ListParagraph"/>
        <w:numPr>
          <w:ilvl w:val="0"/>
          <w:numId w:val="33"/>
        </w:numPr>
      </w:pPr>
      <w:r>
        <w:t>Amendment as described to ICANN Bylaws Section 18.2(b)</w:t>
      </w:r>
    </w:p>
    <w:p w14:paraId="19271059" w14:textId="77777777" w:rsidR="003F1C8B" w:rsidRDefault="003F1C8B" w:rsidP="003F1C8B">
      <w:pPr>
        <w:pStyle w:val="ListParagraph"/>
        <w:numPr>
          <w:ilvl w:val="0"/>
          <w:numId w:val="33"/>
        </w:numPr>
      </w:pPr>
      <w:r>
        <w:t>This change requires that those accountable for the timely completion of IFRs, the ICANN Board of Directors, ensure that procedural controls exist to mitigate the risk of stalled reviews.</w:t>
      </w:r>
    </w:p>
    <w:p w14:paraId="0AAAD8FD" w14:textId="77777777" w:rsidR="003F1C8B" w:rsidRDefault="003F1C8B" w:rsidP="003F1C8B">
      <w:pPr>
        <w:rPr>
          <w:highlight w:val="yellow"/>
        </w:rPr>
      </w:pPr>
    </w:p>
    <w:p w14:paraId="575318CB" w14:textId="77777777" w:rsidR="003F1C8B" w:rsidRDefault="003F1C8B" w:rsidP="003F1C8B">
      <w:r>
        <w:t xml:space="preserve">Expected Due Date: ICANN Board Recommendation Approval plus </w:t>
      </w:r>
      <w:r>
        <w:rPr>
          <w:highlight w:val="yellow"/>
        </w:rPr>
        <w:t>365 days</w:t>
      </w:r>
      <w:r>
        <w:t>.</w:t>
      </w:r>
    </w:p>
    <w:p w14:paraId="29EB12C1" w14:textId="77777777" w:rsidR="003F1C8B" w:rsidRDefault="003F1C8B" w:rsidP="003F1C8B"/>
    <w:p w14:paraId="3A3B40AB" w14:textId="77777777" w:rsidR="003F1C8B" w:rsidRDefault="003F1C8B" w:rsidP="003F1C8B">
      <w:pPr>
        <w:rPr>
          <w:highlight w:val="yellow"/>
        </w:rPr>
      </w:pPr>
      <w:r>
        <w:t xml:space="preserve">Priority: </w:t>
      </w:r>
      <w:r>
        <w:rPr>
          <w:highlight w:val="yellow"/>
        </w:rPr>
        <w:t>Med</w:t>
      </w:r>
    </w:p>
    <w:p w14:paraId="0E2CAFB3" w14:textId="77777777" w:rsidR="003F1C8B" w:rsidRDefault="003F1C8B" w:rsidP="003F1C8B"/>
    <w:p w14:paraId="635D15C1" w14:textId="77777777" w:rsidR="003F1C8B" w:rsidRDefault="003F1C8B" w:rsidP="003F1C8B">
      <w:pPr>
        <w:widowControl w:val="0"/>
        <w:spacing w:line="276" w:lineRule="auto"/>
        <w:rPr>
          <w:i/>
        </w:rPr>
      </w:pPr>
      <w:r>
        <w:t xml:space="preserve">Status: </w:t>
      </w:r>
      <w:r>
        <w:rPr>
          <w:i/>
        </w:rPr>
        <w:t>To be updated following acceptance of the final IFRT2 report.</w:t>
      </w:r>
    </w:p>
    <w:p w14:paraId="05188201" w14:textId="77777777" w:rsidR="003F1C8B" w:rsidRDefault="003F1C8B" w:rsidP="003F1C8B">
      <w:pPr>
        <w:rPr>
          <w:i/>
        </w:rPr>
      </w:pPr>
    </w:p>
    <w:p w14:paraId="184021A1" w14:textId="34718F25" w:rsidR="003F1C8B" w:rsidRPr="003F1C8B" w:rsidRDefault="003F1C8B" w:rsidP="003F1C8B">
      <w:pPr>
        <w:pStyle w:val="Heading2"/>
      </w:pPr>
      <w:bookmarkStart w:id="14" w:name="_heading=h.blasrc2di2s4" w:colFirst="0" w:colLast="0"/>
      <w:bookmarkStart w:id="15" w:name="_Toc191310516"/>
      <w:bookmarkEnd w:id="14"/>
      <w:r w:rsidRPr="003F1C8B">
        <w:t>Incidental Findings</w:t>
      </w:r>
      <w:bookmarkEnd w:id="15"/>
    </w:p>
    <w:p w14:paraId="6F56D8FB" w14:textId="77777777" w:rsidR="003F1C8B" w:rsidRDefault="003F1C8B" w:rsidP="003F1C8B"/>
    <w:p w14:paraId="71CEF790" w14:textId="77777777" w:rsidR="003F1C8B" w:rsidRDefault="003F1C8B" w:rsidP="003F1C8B">
      <w:r>
        <w:t xml:space="preserve">In its review, the IFRT2 identified </w:t>
      </w:r>
      <w:proofErr w:type="gramStart"/>
      <w:r>
        <w:t>a number of</w:t>
      </w:r>
      <w:proofErr w:type="gramEnd"/>
      <w:r>
        <w:t xml:space="preserve"> items deemed incidental, but worthy of note. They do not rise to the level of a formal </w:t>
      </w:r>
      <w:proofErr w:type="gramStart"/>
      <w:r>
        <w:t>recommendation,</w:t>
      </w:r>
      <w:proofErr w:type="gramEnd"/>
      <w:r>
        <w:t xml:space="preserve"> however they are included in this report for consideration. </w:t>
      </w:r>
    </w:p>
    <w:p w14:paraId="2BFC3C2F" w14:textId="77777777" w:rsidR="003F1C8B" w:rsidRDefault="003F1C8B" w:rsidP="003F1C8B"/>
    <w:p w14:paraId="069DAE12" w14:textId="77777777" w:rsidR="003F1C8B" w:rsidRDefault="003F1C8B" w:rsidP="003F1C8B">
      <w:pPr>
        <w:pStyle w:val="Heading3"/>
      </w:pPr>
      <w:bookmarkStart w:id="16" w:name="_heading=h.nlw3gxcqdc3y" w:colFirst="0" w:colLast="0"/>
      <w:bookmarkEnd w:id="16"/>
      <w:r>
        <w:t>Incidental Finding 1: Contract Revisions</w:t>
      </w:r>
    </w:p>
    <w:p w14:paraId="6A2B9797" w14:textId="77777777" w:rsidR="003F1C8B" w:rsidRDefault="003F1C8B" w:rsidP="003F1C8B"/>
    <w:p w14:paraId="25637EC2" w14:textId="77777777" w:rsidR="003F1C8B" w:rsidRDefault="003F1C8B" w:rsidP="003F1C8B">
      <w:r>
        <w:t xml:space="preserve">The IFRT2 conducted a detailed review of the IANA Naming Function Contract. The team identified </w:t>
      </w:r>
      <w:proofErr w:type="gramStart"/>
      <w:r>
        <w:t>a number of</w:t>
      </w:r>
      <w:proofErr w:type="gramEnd"/>
      <w:r>
        <w:t xml:space="preserve"> drafting improvements to the current contract. No one of these drafting improvements warranted a contract change itself. </w:t>
      </w:r>
      <w:proofErr w:type="gramStart"/>
      <w:r>
        <w:t>However</w:t>
      </w:r>
      <w:proofErr w:type="gramEnd"/>
      <w:r>
        <w:t xml:space="preserve"> the review team encourages ICANN and PTI staff to consider the items in </w:t>
      </w:r>
      <w:hyperlink w:anchor="_heading=h.1fob9te">
        <w:r>
          <w:rPr>
            <w:color w:val="1155CC"/>
            <w:u w:val="single"/>
          </w:rPr>
          <w:t>Appendix B</w:t>
        </w:r>
      </w:hyperlink>
      <w:r>
        <w:t xml:space="preserve"> when the contract drafting is next revised.</w:t>
      </w:r>
    </w:p>
    <w:p w14:paraId="75029876" w14:textId="77777777" w:rsidR="003F1C8B" w:rsidRDefault="003F1C8B" w:rsidP="003F1C8B">
      <w:pPr>
        <w:pStyle w:val="Heading3"/>
        <w:numPr>
          <w:ilvl w:val="0"/>
          <w:numId w:val="0"/>
        </w:numPr>
        <w:ind w:left="1260"/>
      </w:pPr>
      <w:bookmarkStart w:id="17" w:name="_heading=h.wx7ft7on0ebm" w:colFirst="0" w:colLast="0"/>
      <w:bookmarkEnd w:id="17"/>
    </w:p>
    <w:p w14:paraId="7F9FEBB6" w14:textId="77777777" w:rsidR="003F1C8B" w:rsidRDefault="003F1C8B" w:rsidP="003F1C8B">
      <w:pPr>
        <w:pStyle w:val="Heading3"/>
      </w:pPr>
      <w:bookmarkStart w:id="18" w:name="_heading=h.1h38v2j9j9z8" w:colFirst="0" w:colLast="0"/>
      <w:bookmarkEnd w:id="18"/>
      <w:r>
        <w:t>Incidental Finding 2: Transition Plan</w:t>
      </w:r>
    </w:p>
    <w:p w14:paraId="3522A745" w14:textId="77777777" w:rsidR="003F1C8B" w:rsidRDefault="003F1C8B" w:rsidP="003F1C8B"/>
    <w:p w14:paraId="0D77C92D" w14:textId="77777777" w:rsidR="003F1C8B" w:rsidRDefault="003F1C8B" w:rsidP="003F1C8B">
      <w:r>
        <w:t xml:space="preserve">Contractual Reference: </w:t>
      </w:r>
      <w:hyperlink r:id="rId12">
        <w:r>
          <w:rPr>
            <w:color w:val="1D98D3"/>
            <w:u w:val="single"/>
          </w:rPr>
          <w:t>IANA Naming Function Contract</w:t>
        </w:r>
      </w:hyperlink>
      <w:r>
        <w:t xml:space="preserve"> Article IX Section 9.3</w:t>
      </w:r>
    </w:p>
    <w:p w14:paraId="476D8549" w14:textId="77777777" w:rsidR="003F1C8B" w:rsidRDefault="003F1C8B" w:rsidP="003F1C8B"/>
    <w:p w14:paraId="4F9F155D" w14:textId="77777777" w:rsidR="003F1C8B" w:rsidRDefault="003F1C8B" w:rsidP="003F1C8B">
      <w:r>
        <w:t>The IFRT2 notes the requirement for a five (5) yearly review of the plan for transitioning the IANA Naming Function to a successor. Whereas that anniversary has not yet taken place at the time of this review, the review team notes that it would be helpful to ensure that this document is publicly available with a notation reflecting the date of the most recent review.</w:t>
      </w:r>
    </w:p>
    <w:p w14:paraId="25037471" w14:textId="77777777" w:rsidR="003F1C8B" w:rsidRDefault="003F1C8B" w:rsidP="003F1C8B"/>
    <w:p w14:paraId="1096DCDC" w14:textId="77777777" w:rsidR="003F1C8B" w:rsidRDefault="003F1C8B" w:rsidP="003F1C8B">
      <w:pPr>
        <w:pStyle w:val="Heading3"/>
      </w:pPr>
      <w:bookmarkStart w:id="19" w:name="_heading=h.utu1hruc7cnr" w:colFirst="0" w:colLast="0"/>
      <w:bookmarkEnd w:id="19"/>
      <w:r>
        <w:t>Incidental Finding 3: SLA Reporting</w:t>
      </w:r>
    </w:p>
    <w:p w14:paraId="06A3942E" w14:textId="77777777" w:rsidR="003F1C8B" w:rsidRDefault="003F1C8B" w:rsidP="003F1C8B"/>
    <w:p w14:paraId="4C785B49" w14:textId="77777777" w:rsidR="003F1C8B" w:rsidRDefault="003F1C8B" w:rsidP="003F1C8B">
      <w:r>
        <w:t>Upon review of PTI performance in relation to Service Level Agreements (SLAs), the review team noted that there were situations in which external factors - unrelated to PTI - can affect SLA achievement. The team noted repeated occurrences of apparent SLA violations that, in fact, were dependent on a customer system or process (and therefore not a violation). Given that this requires case-by-case review by those consuming the reports, the review team asks staff to consider whether there is an alternative way to identify and handle regular exceptions.</w:t>
      </w:r>
    </w:p>
    <w:p w14:paraId="4052F0A9" w14:textId="77777777" w:rsidR="003F1C8B" w:rsidRDefault="003F1C8B" w:rsidP="003F1C8B"/>
    <w:p w14:paraId="48E767E0" w14:textId="77777777" w:rsidR="003F1C8B" w:rsidRDefault="003F1C8B" w:rsidP="003F1C8B">
      <w:pPr>
        <w:pStyle w:val="Heading3"/>
      </w:pPr>
      <w:bookmarkStart w:id="20" w:name="_heading=h.6mat5pwgtcsz" w:colFirst="0" w:colLast="0"/>
      <w:bookmarkEnd w:id="20"/>
      <w:r>
        <w:t>Incidental Finding 4: Ombudsman</w:t>
      </w:r>
    </w:p>
    <w:p w14:paraId="7088C61A" w14:textId="77777777" w:rsidR="003F1C8B" w:rsidRDefault="003F1C8B" w:rsidP="003F1C8B"/>
    <w:p w14:paraId="4A24C975" w14:textId="77777777" w:rsidR="003F1C8B" w:rsidRDefault="003F1C8B" w:rsidP="003F1C8B">
      <w:r>
        <w:t xml:space="preserve">Article 8 of the contract includes a role for the ICANN Ombudsman </w:t>
      </w:r>
      <w:proofErr w:type="gramStart"/>
      <w:r>
        <w:t>in the event that</w:t>
      </w:r>
      <w:proofErr w:type="gramEnd"/>
      <w:r>
        <w:t xml:space="preserve"> a complaint is not resolved by the initial resolution process within the CSC, stating: “If the Complaint is still not resolved, the Complainant or the President of Contractor may escalate the matter in writing to ICANN’s Ombudsman.”</w:t>
      </w:r>
    </w:p>
    <w:p w14:paraId="00516AA5" w14:textId="77777777" w:rsidR="003F1C8B" w:rsidRDefault="003F1C8B" w:rsidP="003F1C8B"/>
    <w:p w14:paraId="4E74E6F3" w14:textId="77777777" w:rsidR="003F1C8B" w:rsidRDefault="003F1C8B" w:rsidP="003F1C8B">
      <w:r>
        <w:t>Since this dual pathway for complaints might result in confusion, the review team investigated the history of its role in the contract. The team found that, during transition of IANA functions from the National Telecommunications and Information Administration (NTIA) in 2016,</w:t>
      </w:r>
      <w:r>
        <w:rPr>
          <w:vertAlign w:val="superscript"/>
        </w:rPr>
        <w:footnoteReference w:id="4"/>
      </w:r>
      <w:r>
        <w:t xml:space="preserve"> the combination of new and existing complaint resolution processes was designed to ensure “adequate checks and balances to protect against capture.”</w:t>
      </w:r>
      <w:r>
        <w:rPr>
          <w:vertAlign w:val="superscript"/>
        </w:rPr>
        <w:footnoteReference w:id="5"/>
      </w:r>
      <w:r>
        <w:t xml:space="preserve"> </w:t>
      </w:r>
    </w:p>
    <w:p w14:paraId="75CCDC28" w14:textId="77777777" w:rsidR="003F1C8B" w:rsidRDefault="003F1C8B" w:rsidP="003F1C8B"/>
    <w:p w14:paraId="4F26D7A0" w14:textId="77777777" w:rsidR="003F1C8B" w:rsidRDefault="003F1C8B" w:rsidP="003F1C8B">
      <w:pPr>
        <w:rPr>
          <w:color w:val="000000"/>
        </w:rPr>
      </w:pPr>
      <w:r>
        <w:t>Given that no procedural problems have been identified and the important role that the ombuds plays in mitigating the risk of capture, the team does not recommend amending this part of the contract. However, subsequent Accountability and Transparency Reviews (ATRT) or those focused on the Office of the Ombuds may wish to explore this further.</w:t>
      </w:r>
      <w:r>
        <w:br w:type="page"/>
      </w:r>
    </w:p>
    <w:p w14:paraId="202B00F3" w14:textId="77777777" w:rsidR="003F1C8B" w:rsidRPr="003F1C8B" w:rsidRDefault="003F1C8B" w:rsidP="003F1C8B">
      <w:pPr>
        <w:pStyle w:val="Heading1"/>
      </w:pPr>
      <w:bookmarkStart w:id="21" w:name="_heading=h.tyjcwt" w:colFirst="0" w:colLast="0"/>
      <w:bookmarkStart w:id="22" w:name="_Toc191310517"/>
      <w:bookmarkEnd w:id="21"/>
      <w:r w:rsidRPr="003F1C8B">
        <w:lastRenderedPageBreak/>
        <w:t>Part 2: Background on the Review</w:t>
      </w:r>
      <w:bookmarkEnd w:id="22"/>
    </w:p>
    <w:p w14:paraId="2CD02C5E" w14:textId="77777777" w:rsidR="003F1C8B" w:rsidRDefault="003F1C8B" w:rsidP="003F1C8B">
      <w:pPr>
        <w:ind w:left="432"/>
      </w:pPr>
    </w:p>
    <w:p w14:paraId="4942CD91" w14:textId="77777777" w:rsidR="003F1C8B" w:rsidRPr="003F1C8B" w:rsidRDefault="003F1C8B" w:rsidP="003F1C8B">
      <w:pPr>
        <w:pStyle w:val="Heading2"/>
      </w:pPr>
      <w:bookmarkStart w:id="23" w:name="_heading=h.5x8gce10yzfo" w:colFirst="0" w:colLast="0"/>
      <w:bookmarkStart w:id="24" w:name="_Toc191310518"/>
      <w:bookmarkEnd w:id="23"/>
      <w:r w:rsidRPr="003F1C8B">
        <w:t>​Introduction</w:t>
      </w:r>
      <w:bookmarkEnd w:id="24"/>
    </w:p>
    <w:p w14:paraId="22D50F17" w14:textId="77777777" w:rsidR="003F1C8B" w:rsidRDefault="003F1C8B" w:rsidP="003F1C8B"/>
    <w:p w14:paraId="62B0AFE8" w14:textId="77777777" w:rsidR="003F1C8B" w:rsidRDefault="003F1C8B" w:rsidP="003F1C8B">
      <w:pPr>
        <w:pBdr>
          <w:top w:val="nil"/>
          <w:left w:val="nil"/>
          <w:bottom w:val="nil"/>
          <w:right w:val="nil"/>
          <w:between w:val="nil"/>
        </w:pBdr>
        <w:shd w:val="clear" w:color="auto" w:fill="FFFFFF"/>
      </w:pPr>
      <w:r>
        <w:t xml:space="preserve">The IFR is an accountability mechanism created as part of the ​IANA​ stewardship transition to ensure that Public Technical Identifiers (PTI) meets the needs and expectations of its naming customers. </w:t>
      </w:r>
    </w:p>
    <w:p w14:paraId="2F594D38" w14:textId="77777777" w:rsidR="003F1C8B" w:rsidRDefault="003F1C8B" w:rsidP="003F1C8B">
      <w:pPr>
        <w:pBdr>
          <w:top w:val="nil"/>
          <w:left w:val="nil"/>
          <w:bottom w:val="nil"/>
          <w:right w:val="nil"/>
          <w:between w:val="nil"/>
        </w:pBdr>
        <w:shd w:val="clear" w:color="auto" w:fill="FFFFFF"/>
      </w:pPr>
    </w:p>
    <w:p w14:paraId="0FF43371" w14:textId="77777777" w:rsidR="003F1C8B" w:rsidRDefault="003F1C8B" w:rsidP="003F1C8B">
      <w:r>
        <w:t>The second IFR was ​convened by the ICANN Board​ by resolution on 10 September 2023,</w:t>
      </w:r>
      <w:r>
        <w:rPr>
          <w:vertAlign w:val="superscript"/>
        </w:rPr>
        <w:footnoteReference w:id="6"/>
      </w:r>
      <w:r>
        <w:t xml:space="preserve"> in compliance with ​</w:t>
      </w:r>
      <w:hyperlink r:id="rId13" w:anchor="article18">
        <w:r>
          <w:rPr>
            <w:color w:val="1D98D3"/>
            <w:u w:val="single"/>
          </w:rPr>
          <w:t>Article 18</w:t>
        </w:r>
      </w:hyperlink>
      <w:r>
        <w:rPr>
          <w:color w:val="1D98D3"/>
          <w:u w:val="single"/>
        </w:rPr>
        <w:t>​</w:t>
      </w:r>
      <w:r>
        <w:t xml:space="preserve"> of the ​ICANN​ Bylaws which state:</w:t>
      </w:r>
    </w:p>
    <w:p w14:paraId="26661E37" w14:textId="77777777" w:rsidR="003F1C8B" w:rsidRDefault="003F1C8B" w:rsidP="003F1C8B"/>
    <w:p w14:paraId="36A1E53E" w14:textId="77777777" w:rsidR="003F1C8B" w:rsidRDefault="003F1C8B" w:rsidP="003F1C8B">
      <w:pPr>
        <w:ind w:left="720"/>
        <w:rPr>
          <w:i/>
          <w:highlight w:val="white"/>
        </w:rPr>
      </w:pPr>
      <w:r>
        <w:rPr>
          <w:i/>
          <w:highlight w:val="white"/>
        </w:rPr>
        <w:t>“The Board, or an appropriate committee thereof, shall cause periodic and/or special reviews (each such review, an "</w:t>
      </w:r>
      <w:r>
        <w:rPr>
          <w:b/>
          <w:i/>
          <w:highlight w:val="white"/>
        </w:rPr>
        <w:t>IFR</w:t>
      </w:r>
      <w:r>
        <w:rPr>
          <w:i/>
          <w:highlight w:val="white"/>
        </w:rPr>
        <w:t>") of PTI's performance of the IANA naming function against the contractual requirements set forth in the IANA Naming Function Contract and the IANA Naming Function SOW to be carried out by an IANA Function Review Team ("</w:t>
      </w:r>
      <w:r>
        <w:rPr>
          <w:b/>
          <w:i/>
          <w:highlight w:val="white"/>
        </w:rPr>
        <w:t>IFRT</w:t>
      </w:r>
      <w:r>
        <w:rPr>
          <w:i/>
          <w:highlight w:val="white"/>
        </w:rPr>
        <w:t>") established in accordance with </w:t>
      </w:r>
      <w:r>
        <w:rPr>
          <w:i/>
          <w:highlight w:val="white"/>
          <w:u w:val="single"/>
        </w:rPr>
        <w:t>Article 18</w:t>
      </w:r>
      <w:r>
        <w:rPr>
          <w:i/>
          <w:highlight w:val="white"/>
        </w:rPr>
        <w:t>.”</w:t>
      </w:r>
      <w:r>
        <w:rPr>
          <w:i/>
          <w:highlight w:val="white"/>
          <w:vertAlign w:val="superscript"/>
        </w:rPr>
        <w:footnoteReference w:id="7"/>
      </w:r>
    </w:p>
    <w:p w14:paraId="7BE45D60" w14:textId="77777777" w:rsidR="003F1C8B" w:rsidRDefault="003F1C8B" w:rsidP="003F1C8B">
      <w:pPr>
        <w:rPr>
          <w:i/>
          <w:highlight w:val="white"/>
          <w:u w:val="single"/>
        </w:rPr>
      </w:pPr>
    </w:p>
    <w:p w14:paraId="02DF34A0" w14:textId="77777777" w:rsidR="003F1C8B" w:rsidRDefault="003F1C8B" w:rsidP="003F1C8B">
      <w:pPr>
        <w:pBdr>
          <w:top w:val="nil"/>
          <w:left w:val="nil"/>
          <w:bottom w:val="nil"/>
          <w:right w:val="nil"/>
          <w:between w:val="nil"/>
        </w:pBdr>
      </w:pPr>
      <w:r>
        <w:t xml:space="preserve">The IFR2 began with a call for qualified volunteers to serve on the review team. Choosing from a pool of candidates seeking nominations, ICANN’s Supporting Organizations (SOs) and Advisory Committees (ACs) nominated a list of candidates to inform SO/AC Chairs' discussions and decisions as they assembled the composition of the review team. An ICANN Board member serves on the review team in a liaison capacity. </w:t>
      </w:r>
    </w:p>
    <w:p w14:paraId="47F27E45" w14:textId="77777777" w:rsidR="003F1C8B" w:rsidRDefault="003F1C8B" w:rsidP="003F1C8B">
      <w:pPr>
        <w:pBdr>
          <w:top w:val="nil"/>
          <w:left w:val="nil"/>
          <w:bottom w:val="nil"/>
          <w:right w:val="nil"/>
          <w:between w:val="nil"/>
        </w:pBdr>
      </w:pPr>
    </w:p>
    <w:p w14:paraId="3CE2F3FC" w14:textId="77777777" w:rsidR="003F1C8B" w:rsidRPr="003F1C8B" w:rsidRDefault="003F1C8B" w:rsidP="003F1C8B">
      <w:pPr>
        <w:pStyle w:val="Heading2"/>
      </w:pPr>
      <w:bookmarkStart w:id="25" w:name="_heading=h.qcfnm0r1759r" w:colFirst="0" w:colLast="0"/>
      <w:bookmarkStart w:id="26" w:name="_Toc191310519"/>
      <w:bookmarkEnd w:id="25"/>
      <w:r w:rsidRPr="003F1C8B">
        <w:t>Membership</w:t>
      </w:r>
      <w:bookmarkEnd w:id="26"/>
    </w:p>
    <w:p w14:paraId="69B6EFFF" w14:textId="77777777" w:rsidR="003F1C8B" w:rsidRDefault="003F1C8B" w:rsidP="003F1C8B">
      <w:pPr>
        <w:pBdr>
          <w:top w:val="nil"/>
          <w:left w:val="nil"/>
          <w:bottom w:val="nil"/>
          <w:right w:val="nil"/>
          <w:between w:val="nil"/>
        </w:pBdr>
      </w:pPr>
    </w:p>
    <w:p w14:paraId="2A220798" w14:textId="77777777" w:rsidR="003F1C8B" w:rsidRDefault="003F1C8B" w:rsidP="003F1C8B">
      <w:pPr>
        <w:pBdr>
          <w:top w:val="nil"/>
          <w:left w:val="nil"/>
          <w:bottom w:val="nil"/>
          <w:right w:val="nil"/>
          <w:between w:val="nil"/>
        </w:pBdr>
        <w:shd w:val="clear" w:color="auto" w:fill="FFFFFF"/>
      </w:pPr>
      <w:r>
        <w:t xml:space="preserve">As per the ICANN Bylaws, the review team was selected by ICANN’s SOs and ACs. The ​review team was assembled at ICANN 78 (Hamburg), in October 2023​, and began ​its work​. </w:t>
      </w:r>
    </w:p>
    <w:p w14:paraId="768A12A7" w14:textId="77777777" w:rsidR="003F1C8B" w:rsidRDefault="003F1C8B" w:rsidP="003F1C8B">
      <w:pPr>
        <w:pStyle w:val="Heading5"/>
        <w:spacing w:before="120"/>
      </w:pPr>
      <w:bookmarkStart w:id="27" w:name="_heading=h.r7ahf8duhjq1" w:colFirst="0" w:colLast="0"/>
      <w:bookmarkEnd w:id="27"/>
      <w:r>
        <w:br w:type="page"/>
      </w:r>
    </w:p>
    <w:p w14:paraId="29FA98F7" w14:textId="77777777" w:rsidR="003F1C8B" w:rsidRDefault="003F1C8B" w:rsidP="003F1C8B">
      <w:pPr>
        <w:pStyle w:val="Heading4"/>
        <w:numPr>
          <w:ilvl w:val="0"/>
          <w:numId w:val="0"/>
        </w:numPr>
        <w:rPr>
          <w:b/>
        </w:rPr>
      </w:pPr>
      <w:bookmarkStart w:id="28" w:name="_heading=h.aq0qyp1xtot3" w:colFirst="0" w:colLast="0"/>
      <w:bookmarkEnd w:id="28"/>
      <w:r>
        <w:lastRenderedPageBreak/>
        <w:t>Table 1: Members of the IFRT2 Team</w:t>
      </w:r>
    </w:p>
    <w:p w14:paraId="0DCAFECB" w14:textId="77777777" w:rsidR="003F1C8B" w:rsidRDefault="003F1C8B" w:rsidP="003F1C8B">
      <w:pPr>
        <w:spacing w:before="120"/>
        <w:rPr>
          <w:b/>
        </w:rPr>
      </w:pPr>
    </w:p>
    <w:sdt>
      <w:sdtPr>
        <w:tag w:val="goog_rdk_1"/>
        <w:id w:val="-639574517"/>
        <w:lock w:val="contentLocked"/>
      </w:sdtPr>
      <w:sdtContent>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3F1C8B" w14:paraId="650EE8B7" w14:textId="77777777" w:rsidTr="00774A44">
            <w:trPr>
              <w:cantSplit/>
            </w:trPr>
            <w:tc>
              <w:tcPr>
                <w:tcW w:w="3009" w:type="dxa"/>
                <w:tcBorders>
                  <w:bottom w:val="single" w:sz="8" w:space="0" w:color="FFFFFF"/>
                </w:tcBorders>
                <w:shd w:val="clear" w:color="auto" w:fill="073763"/>
                <w:tcMar>
                  <w:top w:w="100" w:type="dxa"/>
                  <w:left w:w="100" w:type="dxa"/>
                  <w:bottom w:w="100" w:type="dxa"/>
                  <w:right w:w="100" w:type="dxa"/>
                </w:tcMar>
              </w:tcPr>
              <w:p w14:paraId="3F9D7B07" w14:textId="77777777" w:rsidR="003F1C8B" w:rsidRDefault="003F1C8B" w:rsidP="00774A44">
                <w:pPr>
                  <w:widowControl w:val="0"/>
                  <w:pBdr>
                    <w:top w:val="nil"/>
                    <w:left w:val="nil"/>
                    <w:bottom w:val="nil"/>
                    <w:right w:val="nil"/>
                    <w:between w:val="nil"/>
                  </w:pBdr>
                  <w:rPr>
                    <w:b/>
                    <w:color w:val="FFFFFF"/>
                  </w:rPr>
                </w:pPr>
                <w:r>
                  <w:rPr>
                    <w:b/>
                    <w:color w:val="FFFFFF"/>
                  </w:rPr>
                  <w:t>Name</w:t>
                </w:r>
              </w:p>
            </w:tc>
            <w:tc>
              <w:tcPr>
                <w:tcW w:w="3009" w:type="dxa"/>
                <w:tcBorders>
                  <w:bottom w:val="single" w:sz="8" w:space="0" w:color="FFFFFF"/>
                </w:tcBorders>
                <w:shd w:val="clear" w:color="auto" w:fill="073763"/>
                <w:tcMar>
                  <w:top w:w="100" w:type="dxa"/>
                  <w:left w:w="100" w:type="dxa"/>
                  <w:bottom w:w="100" w:type="dxa"/>
                  <w:right w:w="100" w:type="dxa"/>
                </w:tcMar>
              </w:tcPr>
              <w:p w14:paraId="178587BF" w14:textId="77777777" w:rsidR="003F1C8B" w:rsidRDefault="003F1C8B" w:rsidP="00774A44">
                <w:pPr>
                  <w:widowControl w:val="0"/>
                  <w:pBdr>
                    <w:top w:val="nil"/>
                    <w:left w:val="nil"/>
                    <w:bottom w:val="nil"/>
                    <w:right w:val="nil"/>
                    <w:between w:val="nil"/>
                  </w:pBdr>
                  <w:rPr>
                    <w:b/>
                    <w:color w:val="FFFFFF"/>
                  </w:rPr>
                </w:pPr>
                <w:r>
                  <w:rPr>
                    <w:b/>
                    <w:color w:val="FFFFFF"/>
                  </w:rPr>
                  <w:t>Region</w:t>
                </w:r>
              </w:p>
            </w:tc>
            <w:tc>
              <w:tcPr>
                <w:tcW w:w="3009" w:type="dxa"/>
                <w:tcBorders>
                  <w:bottom w:val="single" w:sz="8" w:space="0" w:color="FFFFFF"/>
                </w:tcBorders>
                <w:shd w:val="clear" w:color="auto" w:fill="073763"/>
                <w:tcMar>
                  <w:top w:w="100" w:type="dxa"/>
                  <w:left w:w="100" w:type="dxa"/>
                  <w:bottom w:w="100" w:type="dxa"/>
                  <w:right w:w="100" w:type="dxa"/>
                </w:tcMar>
              </w:tcPr>
              <w:p w14:paraId="78B579CF" w14:textId="77777777" w:rsidR="003F1C8B" w:rsidRDefault="003F1C8B" w:rsidP="00774A44">
                <w:pPr>
                  <w:widowControl w:val="0"/>
                  <w:pBdr>
                    <w:top w:val="nil"/>
                    <w:left w:val="nil"/>
                    <w:bottom w:val="nil"/>
                    <w:right w:val="nil"/>
                    <w:between w:val="nil"/>
                  </w:pBdr>
                  <w:rPr>
                    <w:b/>
                    <w:color w:val="FFFFFF"/>
                  </w:rPr>
                </w:pPr>
                <w:r>
                  <w:rPr>
                    <w:b/>
                    <w:color w:val="FFFFFF"/>
                  </w:rPr>
                  <w:t>SO / AC Appointment</w:t>
                </w:r>
              </w:p>
            </w:tc>
          </w:tr>
          <w:tr w:rsidR="003F1C8B" w14:paraId="0D7A93D0"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802B1B0" w14:textId="77777777" w:rsidR="003F1C8B" w:rsidRDefault="003F1C8B" w:rsidP="00774A44">
                <w:pPr>
                  <w:widowControl w:val="0"/>
                  <w:pBdr>
                    <w:top w:val="nil"/>
                    <w:left w:val="nil"/>
                    <w:bottom w:val="nil"/>
                    <w:right w:val="nil"/>
                    <w:between w:val="nil"/>
                  </w:pBdr>
                </w:pPr>
                <w:r>
                  <w:t>Ashley Heineman</w:t>
                </w:r>
              </w:p>
              <w:p w14:paraId="6A67746B" w14:textId="77777777" w:rsidR="003F1C8B" w:rsidRDefault="003F1C8B" w:rsidP="00774A44">
                <w:pPr>
                  <w:widowControl w:val="0"/>
                  <w:pBdr>
                    <w:top w:val="nil"/>
                    <w:left w:val="nil"/>
                    <w:bottom w:val="nil"/>
                    <w:right w:val="nil"/>
                    <w:between w:val="nil"/>
                  </w:pBdr>
                </w:pPr>
                <w:r>
                  <w:t>(Co-Chair)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DEA11A7" w14:textId="77777777" w:rsidR="003F1C8B" w:rsidRDefault="003F1C8B"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7B3F2E9" w14:textId="77777777" w:rsidR="003F1C8B" w:rsidRDefault="003F1C8B" w:rsidP="00774A44">
                <w:pPr>
                  <w:widowControl w:val="0"/>
                  <w:pBdr>
                    <w:top w:val="nil"/>
                    <w:left w:val="nil"/>
                    <w:bottom w:val="nil"/>
                    <w:right w:val="nil"/>
                    <w:between w:val="nil"/>
                  </w:pBdr>
                </w:pPr>
                <w:r>
                  <w:t>RrSG</w:t>
                </w:r>
              </w:p>
            </w:tc>
          </w:tr>
          <w:tr w:rsidR="003F1C8B" w14:paraId="5625832F"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2854AC3" w14:textId="77777777" w:rsidR="003F1C8B" w:rsidRDefault="003F1C8B" w:rsidP="00774A44">
                <w:pPr>
                  <w:widowControl w:val="0"/>
                  <w:pBdr>
                    <w:top w:val="nil"/>
                    <w:left w:val="nil"/>
                    <w:bottom w:val="nil"/>
                    <w:right w:val="nil"/>
                    <w:between w:val="nil"/>
                  </w:pBdr>
                </w:pPr>
                <w:r>
                  <w:t>Peter Koch</w:t>
                </w:r>
              </w:p>
              <w:p w14:paraId="3E91D728" w14:textId="77777777" w:rsidR="003F1C8B" w:rsidRDefault="003F1C8B" w:rsidP="00774A44">
                <w:pPr>
                  <w:widowControl w:val="0"/>
                  <w:pBdr>
                    <w:top w:val="nil"/>
                    <w:left w:val="nil"/>
                    <w:bottom w:val="nil"/>
                    <w:right w:val="nil"/>
                    <w:between w:val="nil"/>
                  </w:pBdr>
                </w:pPr>
                <w:r>
                  <w:t>(Co-Chair)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BF7FBD5" w14:textId="77777777" w:rsidR="003F1C8B" w:rsidRDefault="003F1C8B"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3852691" w14:textId="77777777" w:rsidR="003F1C8B" w:rsidRDefault="003F1C8B" w:rsidP="00774A44">
                <w:pPr>
                  <w:widowControl w:val="0"/>
                  <w:pBdr>
                    <w:top w:val="nil"/>
                    <w:left w:val="nil"/>
                    <w:bottom w:val="nil"/>
                    <w:right w:val="nil"/>
                    <w:between w:val="nil"/>
                  </w:pBdr>
                </w:pPr>
                <w:r>
                  <w:t>ccNSO</w:t>
                </w:r>
              </w:p>
            </w:tc>
          </w:tr>
          <w:tr w:rsidR="003F1C8B" w14:paraId="3F37F5A0"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8267B50" w14:textId="77777777" w:rsidR="003F1C8B" w:rsidRDefault="003F1C8B" w:rsidP="00774A44">
                <w:pPr>
                  <w:widowControl w:val="0"/>
                  <w:pBdr>
                    <w:top w:val="nil"/>
                    <w:left w:val="nil"/>
                    <w:bottom w:val="nil"/>
                    <w:right w:val="nil"/>
                    <w:between w:val="nil"/>
                  </w:pBdr>
                </w:pPr>
                <w:r>
                  <w:t>Carlton Samuels</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75592B6" w14:textId="77777777" w:rsidR="003F1C8B" w:rsidRDefault="003F1C8B" w:rsidP="00774A44">
                <w:pPr>
                  <w:widowControl w:val="0"/>
                  <w:pBdr>
                    <w:top w:val="nil"/>
                    <w:left w:val="nil"/>
                    <w:bottom w:val="nil"/>
                    <w:right w:val="nil"/>
                    <w:between w:val="nil"/>
                  </w:pBdr>
                </w:pPr>
                <w:r>
                  <w:t>LAC</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8EA4A7A" w14:textId="77777777" w:rsidR="003F1C8B" w:rsidRDefault="003F1C8B" w:rsidP="00774A44">
                <w:pPr>
                  <w:widowControl w:val="0"/>
                  <w:pBdr>
                    <w:top w:val="nil"/>
                    <w:left w:val="nil"/>
                    <w:bottom w:val="nil"/>
                    <w:right w:val="nil"/>
                    <w:between w:val="nil"/>
                  </w:pBdr>
                </w:pPr>
                <w:r>
                  <w:t>ALAC</w:t>
                </w:r>
              </w:p>
            </w:tc>
          </w:tr>
          <w:tr w:rsidR="003F1C8B" w14:paraId="3278FD96"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0D6C3A7" w14:textId="77777777" w:rsidR="003F1C8B" w:rsidRDefault="003F1C8B" w:rsidP="00774A44">
                <w:pPr>
                  <w:widowControl w:val="0"/>
                  <w:pBdr>
                    <w:top w:val="nil"/>
                    <w:left w:val="nil"/>
                    <w:bottom w:val="nil"/>
                    <w:right w:val="nil"/>
                    <w:between w:val="nil"/>
                  </w:pBdr>
                </w:pPr>
                <w:r>
                  <w:t>Edowaye Makanjuola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A1CD747" w14:textId="77777777" w:rsidR="003F1C8B" w:rsidRDefault="003F1C8B" w:rsidP="00774A44">
                <w:pPr>
                  <w:widowControl w:val="0"/>
                  <w:pBdr>
                    <w:top w:val="nil"/>
                    <w:left w:val="nil"/>
                    <w:bottom w:val="nil"/>
                    <w:right w:val="nil"/>
                    <w:between w:val="nil"/>
                  </w:pBdr>
                </w:pPr>
                <w:r>
                  <w:t>AF</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F7B9111" w14:textId="77777777" w:rsidR="003F1C8B" w:rsidRDefault="003F1C8B" w:rsidP="00774A44">
                <w:pPr>
                  <w:widowControl w:val="0"/>
                  <w:pBdr>
                    <w:top w:val="nil"/>
                    <w:left w:val="nil"/>
                    <w:bottom w:val="nil"/>
                    <w:right w:val="nil"/>
                    <w:between w:val="nil"/>
                  </w:pBdr>
                </w:pPr>
                <w:r>
                  <w:t>GAC</w:t>
                </w:r>
              </w:p>
            </w:tc>
          </w:tr>
          <w:tr w:rsidR="003F1C8B" w14:paraId="66A2D56E"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6A5371C" w14:textId="77777777" w:rsidR="003F1C8B" w:rsidRDefault="003F1C8B" w:rsidP="00774A44">
                <w:pPr>
                  <w:widowControl w:val="0"/>
                  <w:pBdr>
                    <w:top w:val="nil"/>
                    <w:left w:val="nil"/>
                    <w:bottom w:val="nil"/>
                    <w:right w:val="nil"/>
                    <w:between w:val="nil"/>
                  </w:pBdr>
                </w:pPr>
                <w:r>
                  <w:t>Jonathan Robinson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B402248" w14:textId="77777777" w:rsidR="003F1C8B" w:rsidRDefault="003F1C8B"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67020B1" w14:textId="77777777" w:rsidR="003F1C8B" w:rsidRDefault="003F1C8B" w:rsidP="00774A44">
                <w:pPr>
                  <w:widowControl w:val="0"/>
                  <w:pBdr>
                    <w:top w:val="nil"/>
                    <w:left w:val="nil"/>
                    <w:bottom w:val="nil"/>
                    <w:right w:val="nil"/>
                    <w:between w:val="nil"/>
                  </w:pBdr>
                </w:pPr>
                <w:r>
                  <w:t>RySG</w:t>
                </w:r>
              </w:p>
            </w:tc>
          </w:tr>
          <w:tr w:rsidR="003F1C8B" w14:paraId="34D65FC3"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FE2C078" w14:textId="77777777" w:rsidR="003F1C8B" w:rsidRDefault="003F1C8B" w:rsidP="00774A44">
                <w:pPr>
                  <w:widowControl w:val="0"/>
                  <w:pBdr>
                    <w:top w:val="nil"/>
                    <w:left w:val="nil"/>
                    <w:bottom w:val="nil"/>
                    <w:right w:val="nil"/>
                    <w:between w:val="nil"/>
                  </w:pBdr>
                </w:pPr>
                <w:r>
                  <w:t>Lars-Johan Liman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8FE7777" w14:textId="77777777" w:rsidR="003F1C8B" w:rsidRDefault="003F1C8B"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539C8BA" w14:textId="77777777" w:rsidR="003F1C8B" w:rsidRDefault="003F1C8B" w:rsidP="00774A44">
                <w:pPr>
                  <w:widowControl w:val="0"/>
                  <w:pBdr>
                    <w:top w:val="nil"/>
                    <w:left w:val="nil"/>
                    <w:bottom w:val="nil"/>
                    <w:right w:val="nil"/>
                    <w:between w:val="nil"/>
                  </w:pBdr>
                </w:pPr>
                <w:r>
                  <w:t>RSSAC</w:t>
                </w:r>
              </w:p>
            </w:tc>
          </w:tr>
          <w:tr w:rsidR="003F1C8B" w14:paraId="2C58924E"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F248DAA" w14:textId="77777777" w:rsidR="003F1C8B" w:rsidRDefault="003F1C8B" w:rsidP="00774A44">
                <w:pPr>
                  <w:widowControl w:val="0"/>
                  <w:pBdr>
                    <w:top w:val="nil"/>
                    <w:left w:val="nil"/>
                    <w:bottom w:val="nil"/>
                    <w:right w:val="nil"/>
                    <w:between w:val="nil"/>
                  </w:pBdr>
                </w:pPr>
                <w:r>
                  <w:t>Lyman Chapin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85B73B8" w14:textId="77777777" w:rsidR="003F1C8B" w:rsidRDefault="003F1C8B"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7734631" w14:textId="77777777" w:rsidR="003F1C8B" w:rsidRDefault="003F1C8B" w:rsidP="00774A44">
                <w:pPr>
                  <w:widowControl w:val="0"/>
                  <w:pBdr>
                    <w:top w:val="nil"/>
                    <w:left w:val="nil"/>
                    <w:bottom w:val="nil"/>
                    <w:right w:val="nil"/>
                    <w:between w:val="nil"/>
                  </w:pBdr>
                </w:pPr>
                <w:r>
                  <w:t>SSAC</w:t>
                </w:r>
              </w:p>
            </w:tc>
          </w:tr>
          <w:tr w:rsidR="003F1C8B" w14:paraId="0793DFE9"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CF17F45" w14:textId="77777777" w:rsidR="003F1C8B" w:rsidRDefault="003F1C8B" w:rsidP="00774A44">
                <w:pPr>
                  <w:widowControl w:val="0"/>
                  <w:pBdr>
                    <w:top w:val="nil"/>
                    <w:left w:val="nil"/>
                    <w:bottom w:val="nil"/>
                    <w:right w:val="nil"/>
                    <w:between w:val="nil"/>
                  </w:pBdr>
                </w:pPr>
                <w:r>
                  <w:t>Olga Cavalli</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7AC581A" w14:textId="77777777" w:rsidR="003F1C8B" w:rsidRDefault="003F1C8B" w:rsidP="00774A44">
                <w:pPr>
                  <w:widowControl w:val="0"/>
                  <w:pBdr>
                    <w:top w:val="nil"/>
                    <w:left w:val="nil"/>
                    <w:bottom w:val="nil"/>
                    <w:right w:val="nil"/>
                    <w:between w:val="nil"/>
                  </w:pBdr>
                </w:pPr>
                <w:r>
                  <w:t>LAC</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9BCB5B5" w14:textId="77777777" w:rsidR="003F1C8B" w:rsidRDefault="003F1C8B" w:rsidP="00774A44">
                <w:pPr>
                  <w:widowControl w:val="0"/>
                  <w:pBdr>
                    <w:top w:val="nil"/>
                    <w:left w:val="nil"/>
                    <w:bottom w:val="nil"/>
                    <w:right w:val="nil"/>
                    <w:between w:val="nil"/>
                  </w:pBdr>
                </w:pPr>
                <w:r>
                  <w:t>ccNSO</w:t>
                </w:r>
              </w:p>
            </w:tc>
          </w:tr>
          <w:tr w:rsidR="003F1C8B" w14:paraId="03E5C28E"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F01AA7C" w14:textId="77777777" w:rsidR="003F1C8B" w:rsidRDefault="003F1C8B" w:rsidP="00774A44">
                <w:pPr>
                  <w:widowControl w:val="0"/>
                  <w:pBdr>
                    <w:top w:val="nil"/>
                    <w:left w:val="nil"/>
                    <w:bottom w:val="nil"/>
                    <w:right w:val="nil"/>
                    <w:between w:val="nil"/>
                  </w:pBdr>
                </w:pPr>
                <w:r>
                  <w:t>Rafik Dammak</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DF643C5" w14:textId="77777777" w:rsidR="003F1C8B" w:rsidRDefault="003F1C8B" w:rsidP="00774A44">
                <w:pPr>
                  <w:widowControl w:val="0"/>
                  <w:pBdr>
                    <w:top w:val="nil"/>
                    <w:left w:val="nil"/>
                    <w:bottom w:val="nil"/>
                    <w:right w:val="nil"/>
                    <w:between w:val="nil"/>
                  </w:pBdr>
                </w:pPr>
                <w:r>
                  <w:t>AP</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B92A58C" w14:textId="77777777" w:rsidR="003F1C8B" w:rsidRDefault="003F1C8B" w:rsidP="00774A44">
                <w:pPr>
                  <w:widowControl w:val="0"/>
                  <w:pBdr>
                    <w:top w:val="nil"/>
                    <w:left w:val="nil"/>
                    <w:bottom w:val="nil"/>
                    <w:right w:val="nil"/>
                    <w:between w:val="nil"/>
                  </w:pBdr>
                </w:pPr>
                <w:r>
                  <w:t>NCSG</w:t>
                </w:r>
              </w:p>
            </w:tc>
          </w:tr>
          <w:tr w:rsidR="003F1C8B" w14:paraId="02F26557"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0657B22" w14:textId="77777777" w:rsidR="003F1C8B" w:rsidRDefault="003F1C8B" w:rsidP="00774A44">
                <w:pPr>
                  <w:widowControl w:val="0"/>
                  <w:pBdr>
                    <w:top w:val="nil"/>
                    <w:left w:val="nil"/>
                    <w:bottom w:val="nil"/>
                    <w:right w:val="nil"/>
                    <w:between w:val="nil"/>
                  </w:pBdr>
                </w:pPr>
                <w:r>
                  <w:t>Rajiv Prasad</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0318E02" w14:textId="77777777" w:rsidR="003F1C8B" w:rsidRDefault="003F1C8B"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821C795" w14:textId="77777777" w:rsidR="003F1C8B" w:rsidRDefault="003F1C8B" w:rsidP="00774A44">
                <w:pPr>
                  <w:widowControl w:val="0"/>
                  <w:pBdr>
                    <w:top w:val="nil"/>
                    <w:left w:val="nil"/>
                    <w:bottom w:val="nil"/>
                    <w:right w:val="nil"/>
                    <w:between w:val="nil"/>
                  </w:pBdr>
                </w:pPr>
                <w:r>
                  <w:t>CSG</w:t>
                </w:r>
              </w:p>
            </w:tc>
          </w:tr>
          <w:tr w:rsidR="003F1C8B" w14:paraId="2CCAE6CA"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82675A7" w14:textId="77777777" w:rsidR="003F1C8B" w:rsidRDefault="003F1C8B" w:rsidP="00774A44">
                <w:pPr>
                  <w:widowControl w:val="0"/>
                  <w:pBdr>
                    <w:top w:val="nil"/>
                    <w:left w:val="nil"/>
                    <w:bottom w:val="nil"/>
                    <w:right w:val="nil"/>
                    <w:between w:val="nil"/>
                  </w:pBdr>
                </w:pPr>
                <w:r>
                  <w:t>Rick Wilhelm</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67C403D" w14:textId="77777777" w:rsidR="003F1C8B" w:rsidRDefault="003F1C8B"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7B95A52" w14:textId="77777777" w:rsidR="003F1C8B" w:rsidRDefault="003F1C8B" w:rsidP="00774A44">
                <w:pPr>
                  <w:widowControl w:val="0"/>
                  <w:pBdr>
                    <w:top w:val="nil"/>
                    <w:left w:val="nil"/>
                    <w:bottom w:val="nil"/>
                    <w:right w:val="nil"/>
                    <w:between w:val="nil"/>
                  </w:pBdr>
                </w:pPr>
                <w:r>
                  <w:t>RySG</w:t>
                </w:r>
              </w:p>
            </w:tc>
          </w:tr>
          <w:tr w:rsidR="003F1C8B" w14:paraId="586125B7"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F04958A" w14:textId="77777777" w:rsidR="003F1C8B" w:rsidRDefault="003F1C8B" w:rsidP="00774A44">
                <w:pPr>
                  <w:widowControl w:val="0"/>
                  <w:pBdr>
                    <w:top w:val="nil"/>
                    <w:left w:val="nil"/>
                    <w:bottom w:val="nil"/>
                    <w:right w:val="nil"/>
                    <w:between w:val="nil"/>
                  </w:pBdr>
                </w:pPr>
                <w:r>
                  <w:t>Sami Ali</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DE9DE3E" w14:textId="77777777" w:rsidR="003F1C8B" w:rsidRDefault="003F1C8B" w:rsidP="00774A44">
                <w:pPr>
                  <w:widowControl w:val="0"/>
                  <w:pBdr>
                    <w:top w:val="nil"/>
                    <w:left w:val="nil"/>
                    <w:bottom w:val="nil"/>
                    <w:right w:val="nil"/>
                    <w:between w:val="nil"/>
                  </w:pBdr>
                </w:pPr>
                <w:r>
                  <w:t>AP</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FFFEE2E" w14:textId="77777777" w:rsidR="003F1C8B" w:rsidRDefault="003F1C8B" w:rsidP="00774A44">
                <w:pPr>
                  <w:widowControl w:val="0"/>
                  <w:pBdr>
                    <w:top w:val="nil"/>
                    <w:left w:val="nil"/>
                    <w:bottom w:val="nil"/>
                    <w:right w:val="nil"/>
                    <w:between w:val="nil"/>
                  </w:pBdr>
                </w:pPr>
                <w:r>
                  <w:t>ccNSO</w:t>
                </w:r>
              </w:p>
            </w:tc>
          </w:tr>
          <w:tr w:rsidR="003F1C8B" w14:paraId="538E5DC0"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1F0B081" w14:textId="77777777" w:rsidR="003F1C8B" w:rsidRDefault="003F1C8B" w:rsidP="00774A44">
                <w:pPr>
                  <w:widowControl w:val="0"/>
                  <w:pBdr>
                    <w:top w:val="nil"/>
                    <w:left w:val="nil"/>
                    <w:bottom w:val="nil"/>
                    <w:right w:val="nil"/>
                    <w:between w:val="nil"/>
                  </w:pBdr>
                </w:pPr>
                <w:r>
                  <w:t>Brett Carr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9B0023B" w14:textId="77777777" w:rsidR="003F1C8B" w:rsidRDefault="003F1C8B"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0526234" w14:textId="77777777" w:rsidR="003F1C8B" w:rsidRDefault="003F1C8B" w:rsidP="00774A44">
                <w:pPr>
                  <w:widowControl w:val="0"/>
                  <w:pBdr>
                    <w:top w:val="nil"/>
                    <w:left w:val="nil"/>
                    <w:bottom w:val="nil"/>
                    <w:right w:val="nil"/>
                    <w:between w:val="nil"/>
                  </w:pBdr>
                </w:pPr>
                <w:r>
                  <w:t>CSC Liaison</w:t>
                </w:r>
              </w:p>
            </w:tc>
          </w:tr>
          <w:tr w:rsidR="003F1C8B" w14:paraId="07AF0D22"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7AF6811" w14:textId="77777777" w:rsidR="003F1C8B" w:rsidRDefault="003F1C8B" w:rsidP="00774A44">
                <w:pPr>
                  <w:widowControl w:val="0"/>
                  <w:pBdr>
                    <w:top w:val="nil"/>
                    <w:left w:val="nil"/>
                    <w:bottom w:val="nil"/>
                    <w:right w:val="nil"/>
                    <w:between w:val="nil"/>
                  </w:pBdr>
                </w:pPr>
                <w:r>
                  <w:t>Alan Barrett</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F381B6F" w14:textId="77777777" w:rsidR="003F1C8B" w:rsidRDefault="003F1C8B"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6814132" w14:textId="77777777" w:rsidR="003F1C8B" w:rsidRDefault="003F1C8B" w:rsidP="00774A44">
                <w:pPr>
                  <w:widowControl w:val="0"/>
                  <w:pBdr>
                    <w:top w:val="nil"/>
                    <w:left w:val="nil"/>
                    <w:bottom w:val="nil"/>
                    <w:right w:val="nil"/>
                    <w:between w:val="nil"/>
                  </w:pBdr>
                </w:pPr>
                <w:r>
                  <w:t>ICANN Board Liaison</w:t>
                </w:r>
              </w:p>
            </w:tc>
          </w:tr>
          <w:tr w:rsidR="003F1C8B" w14:paraId="59ACA054"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1978F64" w14:textId="77777777" w:rsidR="003F1C8B" w:rsidRDefault="003F1C8B" w:rsidP="00774A44">
                <w:pPr>
                  <w:widowControl w:val="0"/>
                  <w:pBdr>
                    <w:top w:val="nil"/>
                    <w:left w:val="nil"/>
                    <w:bottom w:val="nil"/>
                    <w:right w:val="nil"/>
                    <w:between w:val="nil"/>
                  </w:pBdr>
                </w:pPr>
                <w:r>
                  <w:t>Steve Conte</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E64D875" w14:textId="77777777" w:rsidR="003F1C8B" w:rsidRDefault="003F1C8B"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DD0ADE9" w14:textId="77777777" w:rsidR="003F1C8B" w:rsidRDefault="003F1C8B" w:rsidP="00774A44">
                <w:pPr>
                  <w:widowControl w:val="0"/>
                  <w:pBdr>
                    <w:top w:val="nil"/>
                    <w:left w:val="nil"/>
                    <w:bottom w:val="nil"/>
                    <w:right w:val="nil"/>
                    <w:between w:val="nil"/>
                  </w:pBdr>
                </w:pPr>
                <w:r>
                  <w:t>ICANN Liaison</w:t>
                </w:r>
              </w:p>
            </w:tc>
          </w:tr>
          <w:tr w:rsidR="003F1C8B" w14:paraId="52FDBCF4"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E8FAACE" w14:textId="77777777" w:rsidR="003F1C8B" w:rsidRDefault="003F1C8B" w:rsidP="00774A44">
                <w:pPr>
                  <w:widowControl w:val="0"/>
                  <w:pBdr>
                    <w:top w:val="nil"/>
                    <w:left w:val="nil"/>
                    <w:bottom w:val="nil"/>
                    <w:right w:val="nil"/>
                    <w:between w:val="nil"/>
                  </w:pBdr>
                </w:pPr>
                <w:r>
                  <w:t>Marilia Hirano</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8987713" w14:textId="77777777" w:rsidR="003F1C8B" w:rsidRDefault="003F1C8B"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C1D16BB" w14:textId="77777777" w:rsidR="003F1C8B" w:rsidRDefault="003F1C8B" w:rsidP="00774A44">
                <w:pPr>
                  <w:widowControl w:val="0"/>
                  <w:pBdr>
                    <w:top w:val="nil"/>
                    <w:left w:val="nil"/>
                    <w:bottom w:val="nil"/>
                    <w:right w:val="nil"/>
                    <w:between w:val="nil"/>
                  </w:pBdr>
                </w:pPr>
                <w:r>
                  <w:t>PTI Liaison</w:t>
                </w:r>
              </w:p>
            </w:tc>
          </w:tr>
        </w:tbl>
      </w:sdtContent>
    </w:sdt>
    <w:p w14:paraId="6B46BF3E" w14:textId="77777777" w:rsidR="003F1C8B" w:rsidRDefault="003F1C8B" w:rsidP="003F1C8B">
      <w:pPr>
        <w:spacing w:before="120"/>
        <w:rPr>
          <w:b/>
        </w:rPr>
      </w:pPr>
    </w:p>
    <w:p w14:paraId="1423AF3A" w14:textId="77777777" w:rsidR="003F1C8B" w:rsidRDefault="003F1C8B" w:rsidP="003F1C8B">
      <w:pPr>
        <w:spacing w:before="120"/>
        <w:rPr>
          <w:b/>
        </w:rPr>
      </w:pPr>
      <w:r>
        <w:rPr>
          <w:b/>
        </w:rPr>
        <w:t>Notes: </w:t>
      </w:r>
    </w:p>
    <w:p w14:paraId="380607BB" w14:textId="77777777" w:rsidR="003F1C8B" w:rsidRDefault="003F1C8B" w:rsidP="003F1C8B">
      <w:pPr>
        <w:numPr>
          <w:ilvl w:val="0"/>
          <w:numId w:val="27"/>
        </w:numPr>
        <w:spacing w:before="120"/>
      </w:pPr>
      <w:r>
        <w:t>The Address Supporting Organization (ASO) and Internet Architecture Board (IAB) declined their right to appoint a liaison to the review team.</w:t>
      </w:r>
    </w:p>
    <w:p w14:paraId="5A636B98" w14:textId="77777777" w:rsidR="003F1C8B" w:rsidRDefault="003F1C8B" w:rsidP="003F1C8B">
      <w:pPr>
        <w:numPr>
          <w:ilvl w:val="0"/>
          <w:numId w:val="27"/>
        </w:numPr>
      </w:pPr>
      <w:r>
        <w:t>Per the ICANN Bylaws, Section 18.8:</w:t>
      </w:r>
      <w:r>
        <w:rPr>
          <w:highlight w:val="white"/>
        </w:rPr>
        <w:t>(d):</w:t>
      </w:r>
    </w:p>
    <w:p w14:paraId="33239E2E" w14:textId="77777777" w:rsidR="003F1C8B" w:rsidRDefault="003F1C8B" w:rsidP="003F1C8B">
      <w:pPr>
        <w:ind w:left="720"/>
        <w:rPr>
          <w:highlight w:val="white"/>
        </w:rPr>
      </w:pPr>
    </w:p>
    <w:p w14:paraId="78781D21" w14:textId="77777777" w:rsidR="003F1C8B" w:rsidRDefault="003F1C8B" w:rsidP="003F1C8B">
      <w:pPr>
        <w:ind w:left="1440"/>
        <w:rPr>
          <w:i/>
          <w:highlight w:val="white"/>
        </w:rPr>
      </w:pPr>
      <w:r>
        <w:rPr>
          <w:i/>
          <w:highlight w:val="white"/>
        </w:rPr>
        <w:t>“The IFRT shall be led by two co-chairs: one appointed by the GNSO from one of the members appointed pursuant to clauses (c)-(f) of </w:t>
      </w:r>
      <w:r>
        <w:rPr>
          <w:i/>
          <w:highlight w:val="white"/>
          <w:u w:val="single"/>
        </w:rPr>
        <w:t>Section 18.7</w:t>
      </w:r>
      <w:r>
        <w:rPr>
          <w:i/>
          <w:highlight w:val="white"/>
        </w:rPr>
        <w:t xml:space="preserve"> and one appointed by the </w:t>
      </w:r>
      <w:proofErr w:type="spellStart"/>
      <w:r>
        <w:rPr>
          <w:i/>
          <w:highlight w:val="white"/>
        </w:rPr>
        <w:t>ccNSO</w:t>
      </w:r>
      <w:proofErr w:type="spellEnd"/>
      <w:r>
        <w:rPr>
          <w:i/>
          <w:highlight w:val="white"/>
        </w:rPr>
        <w:t xml:space="preserve"> from one of the members appointed pursuant to clauses (a)-(b) of </w:t>
      </w:r>
      <w:r>
        <w:rPr>
          <w:i/>
          <w:highlight w:val="white"/>
          <w:u w:val="single"/>
        </w:rPr>
        <w:t>Section 18.7</w:t>
      </w:r>
      <w:r>
        <w:rPr>
          <w:i/>
          <w:highlight w:val="white"/>
        </w:rPr>
        <w:t>.”</w:t>
      </w:r>
    </w:p>
    <w:p w14:paraId="330273B3" w14:textId="77777777" w:rsidR="003F1C8B" w:rsidRDefault="003F1C8B" w:rsidP="003F1C8B">
      <w:pPr>
        <w:ind w:left="1440"/>
        <w:rPr>
          <w:i/>
          <w:highlight w:val="white"/>
        </w:rPr>
      </w:pPr>
    </w:p>
    <w:p w14:paraId="001D657C" w14:textId="77777777" w:rsidR="003F1C8B" w:rsidRDefault="003F1C8B" w:rsidP="003F1C8B">
      <w:pPr>
        <w:numPr>
          <w:ilvl w:val="1"/>
          <w:numId w:val="27"/>
        </w:numPr>
      </w:pPr>
      <w:r>
        <w:rPr>
          <w:highlight w:val="white"/>
        </w:rPr>
        <w:lastRenderedPageBreak/>
        <w:t>The Generic Names Supporting Organization (GNSO) appointed co-chair is Ashley Heineman.</w:t>
      </w:r>
    </w:p>
    <w:p w14:paraId="02CAF628" w14:textId="77777777" w:rsidR="003F1C8B" w:rsidRDefault="003F1C8B" w:rsidP="003F1C8B">
      <w:pPr>
        <w:numPr>
          <w:ilvl w:val="1"/>
          <w:numId w:val="27"/>
        </w:numPr>
      </w:pPr>
      <w:r>
        <w:rPr>
          <w:highlight w:val="white"/>
        </w:rPr>
        <w:t>The Country Code Names Supporting Organization (</w:t>
      </w:r>
      <w:proofErr w:type="spellStart"/>
      <w:r>
        <w:rPr>
          <w:highlight w:val="white"/>
        </w:rPr>
        <w:t>ccNSO</w:t>
      </w:r>
      <w:proofErr w:type="spellEnd"/>
      <w:r>
        <w:rPr>
          <w:highlight w:val="white"/>
        </w:rPr>
        <w:t>) appointed co-chair is Peter Koch.</w:t>
      </w:r>
    </w:p>
    <w:p w14:paraId="3F52012C" w14:textId="77777777" w:rsidR="003F1C8B" w:rsidRPr="003F1C8B" w:rsidRDefault="003F1C8B" w:rsidP="003F1C8B">
      <w:pPr>
        <w:pStyle w:val="Heading2"/>
        <w:numPr>
          <w:ilvl w:val="0"/>
          <w:numId w:val="0"/>
        </w:numPr>
        <w:rPr>
          <w:rStyle w:val="ClearFormattingChar"/>
        </w:rPr>
      </w:pPr>
      <w:bookmarkStart w:id="29" w:name="_heading=h.wh4r54398n5n" w:colFirst="0" w:colLast="0"/>
      <w:bookmarkEnd w:id="29"/>
    </w:p>
    <w:p w14:paraId="4803D661" w14:textId="77777777" w:rsidR="003F1C8B" w:rsidRPr="003F1C8B" w:rsidRDefault="003F1C8B" w:rsidP="003F1C8B">
      <w:pPr>
        <w:pStyle w:val="Heading2"/>
      </w:pPr>
      <w:bookmarkStart w:id="30" w:name="_heading=h.3dy6vkm" w:colFirst="0" w:colLast="0"/>
      <w:bookmarkStart w:id="31" w:name="_Toc191310520"/>
      <w:bookmarkEnd w:id="30"/>
      <w:r w:rsidRPr="003F1C8B">
        <w:t>Review Execution and Methodology</w:t>
      </w:r>
      <w:bookmarkEnd w:id="31"/>
    </w:p>
    <w:p w14:paraId="5644263F" w14:textId="77777777" w:rsidR="003F1C8B" w:rsidRDefault="003F1C8B" w:rsidP="003F1C8B">
      <w:pPr>
        <w:pBdr>
          <w:top w:val="nil"/>
          <w:left w:val="nil"/>
          <w:bottom w:val="nil"/>
          <w:right w:val="nil"/>
          <w:between w:val="nil"/>
        </w:pBdr>
        <w:spacing w:before="150"/>
      </w:pPr>
    </w:p>
    <w:p w14:paraId="0F7C2504" w14:textId="77777777" w:rsidR="003F1C8B" w:rsidRDefault="003F1C8B" w:rsidP="003F1C8B">
      <w:pPr>
        <w:pStyle w:val="Heading3"/>
      </w:pPr>
      <w:bookmarkStart w:id="32" w:name="_heading=h.d4nrvvl5b8o" w:colFirst="0" w:colLast="0"/>
      <w:bookmarkEnd w:id="32"/>
      <w:r>
        <w:t>Team Establishment</w:t>
      </w:r>
    </w:p>
    <w:p w14:paraId="28A4D409" w14:textId="77777777" w:rsidR="003F1C8B" w:rsidRDefault="003F1C8B" w:rsidP="003F1C8B">
      <w:r>
        <w:t xml:space="preserve"> </w:t>
      </w:r>
    </w:p>
    <w:p w14:paraId="56671EFB" w14:textId="77777777" w:rsidR="003F1C8B" w:rsidRDefault="003F1C8B" w:rsidP="003F1C8B">
      <w:r>
        <w:t>The review team commenced with a series of briefings designed to introduce all members to the work of PTI, IANA, CSC, and the contractual requirements against which performance would be reviewed.</w:t>
      </w:r>
    </w:p>
    <w:p w14:paraId="4D1C687C" w14:textId="77777777" w:rsidR="003F1C8B" w:rsidRDefault="003F1C8B" w:rsidP="003F1C8B"/>
    <w:p w14:paraId="55E14D10" w14:textId="77777777" w:rsidR="003F1C8B" w:rsidRDefault="003F1C8B" w:rsidP="003F1C8B">
      <w:pPr>
        <w:pStyle w:val="Heading5"/>
        <w:numPr>
          <w:ilvl w:val="0"/>
          <w:numId w:val="0"/>
        </w:numPr>
        <w:ind w:left="1620" w:hanging="1620"/>
      </w:pPr>
      <w:bookmarkStart w:id="33" w:name="_heading=h.p86198dhsbuf" w:colFirst="0" w:colLast="0"/>
      <w:bookmarkEnd w:id="33"/>
      <w:r>
        <w:t>Table 2: Background Information and Briefings to the IFRT2</w:t>
      </w:r>
    </w:p>
    <w:p w14:paraId="3F564DDB" w14:textId="77777777" w:rsidR="003F1C8B" w:rsidRDefault="003F1C8B" w:rsidP="003F1C8B"/>
    <w:sdt>
      <w:sdtPr>
        <w:tag w:val="goog_rdk_2"/>
        <w:id w:val="1252401784"/>
        <w:lock w:val="contentLocked"/>
      </w:sdtPr>
      <w:sdtContent>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1620"/>
            <w:gridCol w:w="2235"/>
            <w:gridCol w:w="2235"/>
          </w:tblGrid>
          <w:tr w:rsidR="003F1C8B" w14:paraId="43570222" w14:textId="77777777" w:rsidTr="00774A44">
            <w:tc>
              <w:tcPr>
                <w:tcW w:w="2850" w:type="dxa"/>
                <w:tcBorders>
                  <w:bottom w:val="single" w:sz="8" w:space="0" w:color="FFFFFF"/>
                </w:tcBorders>
                <w:shd w:val="clear" w:color="auto" w:fill="0C4364"/>
                <w:tcMar>
                  <w:top w:w="100" w:type="dxa"/>
                  <w:left w:w="100" w:type="dxa"/>
                  <w:bottom w:w="100" w:type="dxa"/>
                  <w:right w:w="100" w:type="dxa"/>
                </w:tcMar>
              </w:tcPr>
              <w:p w14:paraId="6CF5ABBD" w14:textId="77777777" w:rsidR="003F1C8B" w:rsidRDefault="003F1C8B" w:rsidP="00774A44">
                <w:pPr>
                  <w:widowControl w:val="0"/>
                  <w:pBdr>
                    <w:top w:val="nil"/>
                    <w:left w:val="nil"/>
                    <w:bottom w:val="nil"/>
                    <w:right w:val="nil"/>
                    <w:between w:val="nil"/>
                  </w:pBdr>
                  <w:jc w:val="center"/>
                  <w:rPr>
                    <w:b/>
                    <w:color w:val="FFFFFF"/>
                  </w:rPr>
                </w:pPr>
                <w:r>
                  <w:rPr>
                    <w:b/>
                    <w:color w:val="FFFFFF"/>
                  </w:rPr>
                  <w:t>Briefing Session</w:t>
                </w:r>
              </w:p>
            </w:tc>
            <w:tc>
              <w:tcPr>
                <w:tcW w:w="1620" w:type="dxa"/>
                <w:tcBorders>
                  <w:bottom w:val="single" w:sz="8" w:space="0" w:color="FFFFFF"/>
                </w:tcBorders>
                <w:shd w:val="clear" w:color="auto" w:fill="0C4364"/>
                <w:tcMar>
                  <w:top w:w="100" w:type="dxa"/>
                  <w:left w:w="100" w:type="dxa"/>
                  <w:bottom w:w="100" w:type="dxa"/>
                  <w:right w:w="100" w:type="dxa"/>
                </w:tcMar>
              </w:tcPr>
              <w:p w14:paraId="27CA620E" w14:textId="77777777" w:rsidR="003F1C8B" w:rsidRDefault="003F1C8B" w:rsidP="00774A44">
                <w:pPr>
                  <w:widowControl w:val="0"/>
                  <w:pBdr>
                    <w:top w:val="nil"/>
                    <w:left w:val="nil"/>
                    <w:bottom w:val="nil"/>
                    <w:right w:val="nil"/>
                    <w:between w:val="nil"/>
                  </w:pBdr>
                  <w:jc w:val="center"/>
                  <w:rPr>
                    <w:b/>
                    <w:color w:val="FFFFFF"/>
                  </w:rPr>
                </w:pPr>
                <w:r>
                  <w:rPr>
                    <w:b/>
                    <w:color w:val="FFFFFF"/>
                  </w:rPr>
                  <w:t>Date</w:t>
                </w:r>
              </w:p>
            </w:tc>
            <w:tc>
              <w:tcPr>
                <w:tcW w:w="2235" w:type="dxa"/>
                <w:tcBorders>
                  <w:bottom w:val="single" w:sz="8" w:space="0" w:color="FFFFFF"/>
                </w:tcBorders>
                <w:shd w:val="clear" w:color="auto" w:fill="0C4364"/>
                <w:tcMar>
                  <w:top w:w="100" w:type="dxa"/>
                  <w:left w:w="100" w:type="dxa"/>
                  <w:bottom w:w="100" w:type="dxa"/>
                  <w:right w:w="100" w:type="dxa"/>
                </w:tcMar>
              </w:tcPr>
              <w:p w14:paraId="1A20783F" w14:textId="77777777" w:rsidR="003F1C8B" w:rsidRDefault="003F1C8B" w:rsidP="00774A44">
                <w:pPr>
                  <w:widowControl w:val="0"/>
                  <w:pBdr>
                    <w:top w:val="nil"/>
                    <w:left w:val="nil"/>
                    <w:bottom w:val="nil"/>
                    <w:right w:val="nil"/>
                    <w:between w:val="nil"/>
                  </w:pBdr>
                  <w:jc w:val="center"/>
                  <w:rPr>
                    <w:b/>
                    <w:color w:val="FFFFFF"/>
                  </w:rPr>
                </w:pPr>
                <w:r>
                  <w:rPr>
                    <w:b/>
                    <w:color w:val="FFFFFF"/>
                  </w:rPr>
                  <w:t>Slides</w:t>
                </w:r>
              </w:p>
            </w:tc>
            <w:tc>
              <w:tcPr>
                <w:tcW w:w="2235" w:type="dxa"/>
                <w:tcBorders>
                  <w:bottom w:val="single" w:sz="8" w:space="0" w:color="FFFFFF"/>
                </w:tcBorders>
                <w:shd w:val="clear" w:color="auto" w:fill="0C4364"/>
                <w:tcMar>
                  <w:top w:w="100" w:type="dxa"/>
                  <w:left w:w="100" w:type="dxa"/>
                  <w:bottom w:w="100" w:type="dxa"/>
                  <w:right w:w="100" w:type="dxa"/>
                </w:tcMar>
              </w:tcPr>
              <w:p w14:paraId="6AB1D576" w14:textId="77777777" w:rsidR="003F1C8B" w:rsidRDefault="003F1C8B" w:rsidP="00774A44">
                <w:pPr>
                  <w:widowControl w:val="0"/>
                  <w:pBdr>
                    <w:top w:val="nil"/>
                    <w:left w:val="nil"/>
                    <w:bottom w:val="nil"/>
                    <w:right w:val="nil"/>
                    <w:between w:val="nil"/>
                  </w:pBdr>
                  <w:jc w:val="center"/>
                  <w:rPr>
                    <w:b/>
                    <w:color w:val="FFFFFF"/>
                  </w:rPr>
                </w:pPr>
                <w:r>
                  <w:rPr>
                    <w:b/>
                    <w:color w:val="FFFFFF"/>
                  </w:rPr>
                  <w:t>Recording</w:t>
                </w:r>
              </w:p>
            </w:tc>
          </w:tr>
          <w:tr w:rsidR="003F1C8B" w14:paraId="76F8DAF5"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BF9AC43" w14:textId="77777777" w:rsidR="003F1C8B" w:rsidRDefault="003F1C8B" w:rsidP="00774A44">
                <w:pPr>
                  <w:widowControl w:val="0"/>
                  <w:pBdr>
                    <w:top w:val="nil"/>
                    <w:left w:val="nil"/>
                    <w:bottom w:val="nil"/>
                    <w:right w:val="nil"/>
                    <w:between w:val="nil"/>
                  </w:pBdr>
                </w:pPr>
                <w:r>
                  <w:t>IANA Services Overview</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4528558" w14:textId="77777777" w:rsidR="003F1C8B" w:rsidRDefault="003F1C8B" w:rsidP="00774A44">
                <w:pPr>
                  <w:widowControl w:val="0"/>
                  <w:pBdr>
                    <w:top w:val="nil"/>
                    <w:left w:val="nil"/>
                    <w:bottom w:val="nil"/>
                    <w:right w:val="nil"/>
                    <w:between w:val="nil"/>
                  </w:pBdr>
                </w:pPr>
                <w:r>
                  <w:t>10.01.2024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CD25650" w14:textId="77777777" w:rsidR="003F1C8B" w:rsidRDefault="003F1C8B" w:rsidP="00774A44">
                <w:pPr>
                  <w:widowControl w:val="0"/>
                  <w:pBdr>
                    <w:top w:val="nil"/>
                    <w:left w:val="nil"/>
                    <w:bottom w:val="nil"/>
                    <w:right w:val="nil"/>
                    <w:between w:val="nil"/>
                  </w:pBdr>
                </w:pPr>
                <w:hyperlink r:id="rId14">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C4610A2" w14:textId="77777777" w:rsidR="003F1C8B" w:rsidRDefault="003F1C8B" w:rsidP="00774A44">
                <w:pPr>
                  <w:widowControl w:val="0"/>
                  <w:pBdr>
                    <w:top w:val="nil"/>
                    <w:left w:val="nil"/>
                    <w:bottom w:val="nil"/>
                    <w:right w:val="nil"/>
                    <w:between w:val="nil"/>
                  </w:pBdr>
                </w:pPr>
                <w:hyperlink r:id="rId15">
                  <w:r>
                    <w:rPr>
                      <w:color w:val="1155CC"/>
                      <w:u w:val="single"/>
                    </w:rPr>
                    <w:t>Available Here</w:t>
                  </w:r>
                </w:hyperlink>
              </w:p>
            </w:tc>
          </w:tr>
          <w:tr w:rsidR="003F1C8B" w14:paraId="580AFA00"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3F4ED7A" w14:textId="77777777" w:rsidR="003F1C8B" w:rsidRDefault="003F1C8B" w:rsidP="00774A44">
                <w:pPr>
                  <w:widowControl w:val="0"/>
                  <w:pBdr>
                    <w:top w:val="nil"/>
                    <w:left w:val="nil"/>
                    <w:bottom w:val="nil"/>
                    <w:right w:val="nil"/>
                    <w:between w:val="nil"/>
                  </w:pBdr>
                </w:pPr>
                <w:r>
                  <w:t>Briefing from the IANA Team on Root Zone Management and Performance Monitoring</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647408E" w14:textId="77777777" w:rsidR="003F1C8B" w:rsidRDefault="003F1C8B" w:rsidP="00774A44">
                <w:pPr>
                  <w:widowControl w:val="0"/>
                  <w:pBdr>
                    <w:top w:val="nil"/>
                    <w:left w:val="nil"/>
                    <w:bottom w:val="nil"/>
                    <w:right w:val="nil"/>
                    <w:between w:val="nil"/>
                  </w:pBdr>
                </w:pPr>
                <w:r>
                  <w:t>06.02.2024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6845C42" w14:textId="77777777" w:rsidR="003F1C8B" w:rsidRDefault="003F1C8B" w:rsidP="00774A44">
                <w:pPr>
                  <w:widowControl w:val="0"/>
                  <w:pBdr>
                    <w:top w:val="nil"/>
                    <w:left w:val="nil"/>
                    <w:bottom w:val="nil"/>
                    <w:right w:val="nil"/>
                    <w:between w:val="nil"/>
                  </w:pBdr>
                </w:pPr>
                <w:hyperlink r:id="rId16">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ED40D31" w14:textId="77777777" w:rsidR="003F1C8B" w:rsidRDefault="003F1C8B" w:rsidP="00774A44">
                <w:pPr>
                  <w:widowControl w:val="0"/>
                  <w:pBdr>
                    <w:top w:val="nil"/>
                    <w:left w:val="nil"/>
                    <w:bottom w:val="nil"/>
                    <w:right w:val="nil"/>
                    <w:between w:val="nil"/>
                  </w:pBdr>
                </w:pPr>
                <w:hyperlink r:id="rId17">
                  <w:r>
                    <w:rPr>
                      <w:color w:val="1155CC"/>
                      <w:u w:val="single"/>
                    </w:rPr>
                    <w:t>Available Here</w:t>
                  </w:r>
                </w:hyperlink>
              </w:p>
            </w:tc>
          </w:tr>
          <w:tr w:rsidR="003F1C8B" w14:paraId="7D2332A6"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825ACBD" w14:textId="77777777" w:rsidR="003F1C8B" w:rsidRDefault="003F1C8B" w:rsidP="00774A44">
                <w:pPr>
                  <w:widowControl w:val="0"/>
                  <w:pBdr>
                    <w:top w:val="nil"/>
                    <w:left w:val="nil"/>
                    <w:bottom w:val="nil"/>
                    <w:right w:val="nil"/>
                    <w:between w:val="nil"/>
                  </w:pBdr>
                </w:pPr>
                <w:r>
                  <w:t>CSC Overview</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860A73A" w14:textId="77777777" w:rsidR="003F1C8B" w:rsidRDefault="003F1C8B" w:rsidP="00774A44">
                <w:pPr>
                  <w:widowControl w:val="0"/>
                  <w:pBdr>
                    <w:top w:val="nil"/>
                    <w:left w:val="nil"/>
                    <w:bottom w:val="nil"/>
                    <w:right w:val="nil"/>
                    <w:between w:val="nil"/>
                  </w:pBdr>
                </w:pPr>
                <w:r>
                  <w:t>06.03.2024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EFC2A5F" w14:textId="77777777" w:rsidR="003F1C8B" w:rsidRDefault="003F1C8B" w:rsidP="00774A44">
                <w:pPr>
                  <w:widowControl w:val="0"/>
                  <w:pBdr>
                    <w:top w:val="nil"/>
                    <w:left w:val="nil"/>
                    <w:bottom w:val="nil"/>
                    <w:right w:val="nil"/>
                    <w:between w:val="nil"/>
                  </w:pBdr>
                </w:pPr>
                <w:hyperlink r:id="rId18">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AF2513C" w14:textId="77777777" w:rsidR="003F1C8B" w:rsidRDefault="003F1C8B" w:rsidP="00774A44">
                <w:pPr>
                  <w:widowControl w:val="0"/>
                  <w:pBdr>
                    <w:top w:val="nil"/>
                    <w:left w:val="nil"/>
                    <w:bottom w:val="nil"/>
                    <w:right w:val="nil"/>
                    <w:between w:val="nil"/>
                  </w:pBdr>
                </w:pPr>
                <w:hyperlink r:id="rId19">
                  <w:r>
                    <w:rPr>
                      <w:color w:val="1155CC"/>
                      <w:u w:val="single"/>
                    </w:rPr>
                    <w:t>Available Here</w:t>
                  </w:r>
                </w:hyperlink>
              </w:p>
            </w:tc>
          </w:tr>
        </w:tbl>
      </w:sdtContent>
    </w:sdt>
    <w:p w14:paraId="4A5B11ED" w14:textId="77777777" w:rsidR="003F1C8B" w:rsidRDefault="003F1C8B" w:rsidP="003F1C8B"/>
    <w:p w14:paraId="22CB8219" w14:textId="77777777" w:rsidR="003F1C8B" w:rsidRDefault="003F1C8B" w:rsidP="003F1C8B">
      <w:r>
        <w:t>During this period, the IFR2 Team developed a set of founding documents:</w:t>
      </w:r>
    </w:p>
    <w:p w14:paraId="744ABA1E" w14:textId="77777777" w:rsidR="003F1C8B" w:rsidRDefault="003F1C8B" w:rsidP="003F1C8B"/>
    <w:p w14:paraId="71D30436" w14:textId="77777777" w:rsidR="003F1C8B" w:rsidRDefault="003F1C8B" w:rsidP="003F1C8B">
      <w:pPr>
        <w:pStyle w:val="ListParagraph"/>
        <w:numPr>
          <w:ilvl w:val="0"/>
          <w:numId w:val="35"/>
        </w:numPr>
      </w:pPr>
      <w:hyperlink r:id="rId20">
        <w:r w:rsidRPr="003F1C8B">
          <w:rPr>
            <w:color w:val="1155CC"/>
            <w:u w:val="single"/>
          </w:rPr>
          <w:t>Terms of Reference (TOR)</w:t>
        </w:r>
      </w:hyperlink>
      <w:r>
        <w:rPr>
          <w:vertAlign w:val="superscript"/>
        </w:rPr>
        <w:footnoteReference w:id="8"/>
      </w:r>
    </w:p>
    <w:p w14:paraId="47557A70" w14:textId="77777777" w:rsidR="003F1C8B" w:rsidRDefault="003F1C8B" w:rsidP="003F1C8B">
      <w:pPr>
        <w:pStyle w:val="ListParagraph"/>
        <w:numPr>
          <w:ilvl w:val="0"/>
          <w:numId w:val="35"/>
        </w:numPr>
      </w:pPr>
      <w:hyperlink r:id="rId21">
        <w:r w:rsidRPr="003F1C8B">
          <w:rPr>
            <w:color w:val="1155CC"/>
            <w:u w:val="single"/>
          </w:rPr>
          <w:t>An indicative Work Plan</w:t>
        </w:r>
      </w:hyperlink>
      <w:r>
        <w:rPr>
          <w:vertAlign w:val="superscript"/>
        </w:rPr>
        <w:footnoteReference w:id="9"/>
      </w:r>
    </w:p>
    <w:p w14:paraId="3546E70A" w14:textId="77777777" w:rsidR="003F1C8B" w:rsidRDefault="003F1C8B" w:rsidP="003F1C8B"/>
    <w:p w14:paraId="7C1A47FD" w14:textId="77777777" w:rsidR="003F1C8B" w:rsidRDefault="003F1C8B" w:rsidP="003F1C8B">
      <w:r>
        <w:t>These documents established the baseline expectations of team deliverables, routines, practices, scope, and timelines.</w:t>
      </w:r>
    </w:p>
    <w:p w14:paraId="1748C18E" w14:textId="77777777" w:rsidR="003F1C8B" w:rsidRDefault="003F1C8B" w:rsidP="003F1C8B"/>
    <w:p w14:paraId="5D3615D0" w14:textId="77777777" w:rsidR="003F1C8B" w:rsidRDefault="003F1C8B" w:rsidP="003F1C8B">
      <w:r>
        <w:t xml:space="preserve">On 28 February 2024, the review team </w:t>
      </w:r>
      <w:hyperlink r:id="rId22">
        <w:r>
          <w:rPr>
            <w:color w:val="1155CC"/>
            <w:u w:val="single"/>
          </w:rPr>
          <w:t>announced</w:t>
        </w:r>
      </w:hyperlink>
      <w:r>
        <w:t xml:space="preserve"> the creation of these documents and invited participation from the ICANN community, offering communication options and links to the IFR2 Wiki.</w:t>
      </w:r>
      <w:r>
        <w:rPr>
          <w:vertAlign w:val="superscript"/>
        </w:rPr>
        <w:footnoteReference w:id="10"/>
      </w:r>
    </w:p>
    <w:p w14:paraId="7EEFB35C" w14:textId="77777777" w:rsidR="003F1C8B" w:rsidRDefault="003F1C8B" w:rsidP="003F1C8B">
      <w:pPr>
        <w:rPr>
          <w:color w:val="FF0000"/>
        </w:rPr>
      </w:pPr>
    </w:p>
    <w:p w14:paraId="4CC0D8B7" w14:textId="77777777" w:rsidR="003F1C8B" w:rsidRDefault="003F1C8B" w:rsidP="003F1C8B">
      <w:r>
        <w:t>The IFR2 team leveraged its Wiki to provide organization, transparency, and accessibility. It included:</w:t>
      </w:r>
    </w:p>
    <w:p w14:paraId="1D46CDE8" w14:textId="77777777" w:rsidR="003F1C8B" w:rsidRDefault="003F1C8B" w:rsidP="003F1C8B">
      <w:pPr>
        <w:pStyle w:val="ListParagraph"/>
        <w:numPr>
          <w:ilvl w:val="0"/>
          <w:numId w:val="34"/>
        </w:numPr>
      </w:pPr>
      <w:r>
        <w:t>All founding documents, highlighted above</w:t>
      </w:r>
    </w:p>
    <w:p w14:paraId="40560690" w14:textId="77777777" w:rsidR="003F1C8B" w:rsidRDefault="003F1C8B" w:rsidP="003F1C8B">
      <w:pPr>
        <w:pStyle w:val="ListParagraph"/>
        <w:numPr>
          <w:ilvl w:val="0"/>
          <w:numId w:val="34"/>
        </w:numPr>
      </w:pPr>
      <w:r>
        <w:t>Communication methods, including mailing lists and links to register</w:t>
      </w:r>
    </w:p>
    <w:p w14:paraId="3F468E84" w14:textId="77777777" w:rsidR="003F1C8B" w:rsidRDefault="003F1C8B" w:rsidP="003F1C8B">
      <w:pPr>
        <w:pStyle w:val="ListParagraph"/>
        <w:numPr>
          <w:ilvl w:val="0"/>
          <w:numId w:val="34"/>
        </w:numPr>
      </w:pPr>
      <w:r>
        <w:lastRenderedPageBreak/>
        <w:t xml:space="preserve">All emails to the IFR2 distribution, published </w:t>
      </w:r>
      <w:hyperlink r:id="rId23">
        <w:r w:rsidRPr="003F1C8B">
          <w:rPr>
            <w:color w:val="1155CC"/>
            <w:u w:val="single"/>
          </w:rPr>
          <w:t>here</w:t>
        </w:r>
      </w:hyperlink>
    </w:p>
    <w:p w14:paraId="10D62D61" w14:textId="77777777" w:rsidR="003F1C8B" w:rsidRDefault="003F1C8B" w:rsidP="003F1C8B">
      <w:pPr>
        <w:pStyle w:val="ListParagraph"/>
        <w:numPr>
          <w:ilvl w:val="0"/>
          <w:numId w:val="34"/>
        </w:numPr>
      </w:pPr>
      <w:r>
        <w:t>List of past and future plenary meetings with meeting notes, recordings, and materials</w:t>
      </w:r>
    </w:p>
    <w:p w14:paraId="0397AA66" w14:textId="77777777" w:rsidR="003F1C8B" w:rsidRDefault="003F1C8B" w:rsidP="003F1C8B">
      <w:pPr>
        <w:pStyle w:val="ListParagraph"/>
        <w:numPr>
          <w:ilvl w:val="0"/>
          <w:numId w:val="34"/>
        </w:numPr>
      </w:pPr>
      <w:r>
        <w:t>Action Trackers and links to work-in-progress</w:t>
      </w:r>
    </w:p>
    <w:p w14:paraId="6C70BB75" w14:textId="77777777" w:rsidR="003F1C8B" w:rsidRDefault="003F1C8B" w:rsidP="003F1C8B">
      <w:pPr>
        <w:pStyle w:val="ListParagraph"/>
        <w:numPr>
          <w:ilvl w:val="0"/>
          <w:numId w:val="34"/>
        </w:numPr>
      </w:pPr>
      <w:r>
        <w:t>Links to resources and data required for the review</w:t>
      </w:r>
    </w:p>
    <w:p w14:paraId="3BD45E62" w14:textId="77777777" w:rsidR="003F1C8B" w:rsidRDefault="003F1C8B" w:rsidP="003F1C8B"/>
    <w:p w14:paraId="5D359836" w14:textId="77777777" w:rsidR="003F1C8B" w:rsidRPr="003F1C8B" w:rsidRDefault="003F1C8B" w:rsidP="003F1C8B">
      <w:pPr>
        <w:pStyle w:val="Heading2"/>
      </w:pPr>
      <w:bookmarkStart w:id="34" w:name="_heading=h.ubkty9lhesg4" w:colFirst="0" w:colLast="0"/>
      <w:bookmarkStart w:id="35" w:name="_Toc191310521"/>
      <w:bookmarkEnd w:id="34"/>
      <w:r w:rsidRPr="003F1C8B">
        <w:t>The IFRT2 Work Methodology</w:t>
      </w:r>
      <w:bookmarkEnd w:id="35"/>
    </w:p>
    <w:p w14:paraId="6C1D3BD0" w14:textId="77777777" w:rsidR="003F1C8B" w:rsidRDefault="003F1C8B" w:rsidP="003F1C8B"/>
    <w:p w14:paraId="388C7F7E" w14:textId="77777777" w:rsidR="003F1C8B" w:rsidRDefault="003F1C8B" w:rsidP="003F1C8B">
      <w:r>
        <w:t xml:space="preserve">The IFR2 Team convened on 23 October 2023 and met every other week on a Tuesday, with Co-Chairs and ICANN staff meeting in the “off weeks” to organize the agenda. </w:t>
      </w:r>
    </w:p>
    <w:p w14:paraId="0103D207" w14:textId="77777777" w:rsidR="003F1C8B" w:rsidRDefault="003F1C8B" w:rsidP="003F1C8B"/>
    <w:p w14:paraId="0A9D1470" w14:textId="77777777" w:rsidR="003F1C8B" w:rsidRDefault="003F1C8B" w:rsidP="003F1C8B">
      <w:r>
        <w:t xml:space="preserve">To undertake its work, the review team methodically reviewed </w:t>
      </w:r>
      <w:proofErr w:type="gramStart"/>
      <w:r>
        <w:t>a number of</w:t>
      </w:r>
      <w:proofErr w:type="gramEnd"/>
      <w:r>
        <w:t xml:space="preserve"> inputs as required by section 18.4 of the ICANN Bylaws:</w:t>
      </w:r>
    </w:p>
    <w:p w14:paraId="4725C183" w14:textId="77777777" w:rsidR="003F1C8B" w:rsidRDefault="003F1C8B" w:rsidP="003F1C8B"/>
    <w:p w14:paraId="0E7DA61B" w14:textId="77777777" w:rsidR="003F1C8B" w:rsidRDefault="003F1C8B" w:rsidP="003F1C8B">
      <w:pPr>
        <w:pStyle w:val="Heading5"/>
        <w:numPr>
          <w:ilvl w:val="0"/>
          <w:numId w:val="0"/>
        </w:numPr>
        <w:ind w:left="1620" w:hanging="1620"/>
      </w:pPr>
      <w:bookmarkStart w:id="36" w:name="_heading=h.v6fud64x4zfq" w:colFirst="0" w:colLast="0"/>
      <w:bookmarkEnd w:id="36"/>
      <w:r>
        <w:t>Table 3: Findings associated with Review Materials</w:t>
      </w:r>
    </w:p>
    <w:p w14:paraId="055A1E12" w14:textId="77777777" w:rsidR="003F1C8B" w:rsidRDefault="003F1C8B" w:rsidP="003F1C8B"/>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F1C8B" w14:paraId="0D41B386" w14:textId="77777777" w:rsidTr="00774A44">
        <w:tc>
          <w:tcPr>
            <w:tcW w:w="4514" w:type="dxa"/>
            <w:shd w:val="clear" w:color="auto" w:fill="0C4364"/>
            <w:tcMar>
              <w:top w:w="100" w:type="dxa"/>
              <w:left w:w="100" w:type="dxa"/>
              <w:bottom w:w="100" w:type="dxa"/>
              <w:right w:w="100" w:type="dxa"/>
            </w:tcMar>
          </w:tcPr>
          <w:p w14:paraId="6D405E38" w14:textId="5970B297" w:rsidR="003F1C8B" w:rsidRDefault="003F1C8B" w:rsidP="00774A44">
            <w:pPr>
              <w:widowControl w:val="0"/>
              <w:pBdr>
                <w:top w:val="nil"/>
                <w:left w:val="nil"/>
                <w:bottom w:val="nil"/>
                <w:right w:val="nil"/>
                <w:between w:val="nil"/>
              </w:pBdr>
              <w:rPr>
                <w:b/>
                <w:color w:val="FFFFFF"/>
              </w:rPr>
            </w:pPr>
            <w:r>
              <w:rPr>
                <w:b/>
                <w:color w:val="FFFFFF"/>
              </w:rPr>
              <w:t>Review Materials</w:t>
            </w:r>
          </w:p>
        </w:tc>
        <w:tc>
          <w:tcPr>
            <w:tcW w:w="4514" w:type="dxa"/>
            <w:shd w:val="clear" w:color="auto" w:fill="0C4364"/>
            <w:tcMar>
              <w:top w:w="100" w:type="dxa"/>
              <w:left w:w="100" w:type="dxa"/>
              <w:bottom w:w="100" w:type="dxa"/>
              <w:right w:w="100" w:type="dxa"/>
            </w:tcMar>
          </w:tcPr>
          <w:p w14:paraId="596B87B3" w14:textId="77777777" w:rsidR="003F1C8B" w:rsidRDefault="003F1C8B" w:rsidP="00774A44">
            <w:pPr>
              <w:widowControl w:val="0"/>
              <w:pBdr>
                <w:top w:val="nil"/>
                <w:left w:val="nil"/>
                <w:bottom w:val="nil"/>
                <w:right w:val="nil"/>
                <w:between w:val="nil"/>
              </w:pBdr>
              <w:rPr>
                <w:b/>
                <w:color w:val="FFFFFF"/>
              </w:rPr>
            </w:pPr>
            <w:r>
              <w:rPr>
                <w:b/>
                <w:color w:val="FFFFFF"/>
              </w:rPr>
              <w:t>Findings</w:t>
            </w:r>
          </w:p>
        </w:tc>
      </w:tr>
      <w:tr w:rsidR="003F1C8B" w14:paraId="24CB172D" w14:textId="77777777" w:rsidTr="00774A44">
        <w:tc>
          <w:tcPr>
            <w:tcW w:w="4514" w:type="dxa"/>
            <w:shd w:val="clear" w:color="auto" w:fill="auto"/>
            <w:tcMar>
              <w:top w:w="100" w:type="dxa"/>
              <w:left w:w="100" w:type="dxa"/>
              <w:bottom w:w="100" w:type="dxa"/>
              <w:right w:w="100" w:type="dxa"/>
            </w:tcMar>
          </w:tcPr>
          <w:p w14:paraId="2C90D8D3" w14:textId="77777777" w:rsidR="003F1C8B" w:rsidRDefault="003F1C8B" w:rsidP="00774A44">
            <w:pPr>
              <w:widowControl w:val="0"/>
              <w:pBdr>
                <w:top w:val="nil"/>
                <w:left w:val="nil"/>
                <w:bottom w:val="nil"/>
                <w:right w:val="nil"/>
                <w:between w:val="nil"/>
              </w:pBdr>
            </w:pPr>
            <w:r>
              <w:t>IANA Naming Function Contract and Statement of work</w:t>
            </w:r>
          </w:p>
        </w:tc>
        <w:tc>
          <w:tcPr>
            <w:tcW w:w="4514" w:type="dxa"/>
            <w:shd w:val="clear" w:color="auto" w:fill="auto"/>
            <w:tcMar>
              <w:top w:w="100" w:type="dxa"/>
              <w:left w:w="100" w:type="dxa"/>
              <w:bottom w:w="100" w:type="dxa"/>
              <w:right w:w="100" w:type="dxa"/>
            </w:tcMar>
          </w:tcPr>
          <w:p w14:paraId="4BDAD285" w14:textId="77777777" w:rsidR="003F1C8B" w:rsidRDefault="003F1C8B" w:rsidP="00774A44">
            <w:pPr>
              <w:widowControl w:val="0"/>
              <w:pBdr>
                <w:top w:val="nil"/>
                <w:left w:val="nil"/>
                <w:bottom w:val="nil"/>
                <w:right w:val="nil"/>
                <w:between w:val="nil"/>
              </w:pBdr>
            </w:pPr>
            <w:r>
              <w:t>See Appendix B</w:t>
            </w:r>
          </w:p>
        </w:tc>
      </w:tr>
      <w:tr w:rsidR="003F1C8B" w14:paraId="6844D3F7" w14:textId="77777777" w:rsidTr="00774A44">
        <w:tc>
          <w:tcPr>
            <w:tcW w:w="4514" w:type="dxa"/>
            <w:shd w:val="clear" w:color="auto" w:fill="auto"/>
            <w:tcMar>
              <w:top w:w="100" w:type="dxa"/>
              <w:left w:w="100" w:type="dxa"/>
              <w:bottom w:w="100" w:type="dxa"/>
              <w:right w:w="100" w:type="dxa"/>
            </w:tcMar>
          </w:tcPr>
          <w:p w14:paraId="1E44F18A" w14:textId="77777777" w:rsidR="003F1C8B" w:rsidRDefault="003F1C8B" w:rsidP="00774A44">
            <w:pPr>
              <w:widowControl w:val="0"/>
              <w:pBdr>
                <w:top w:val="nil"/>
                <w:left w:val="nil"/>
                <w:bottom w:val="nil"/>
                <w:right w:val="nil"/>
                <w:between w:val="nil"/>
              </w:pBdr>
            </w:pPr>
            <w:r>
              <w:t>Bylaws Scope Requirements</w:t>
            </w:r>
          </w:p>
        </w:tc>
        <w:tc>
          <w:tcPr>
            <w:tcW w:w="4514" w:type="dxa"/>
            <w:shd w:val="clear" w:color="auto" w:fill="auto"/>
            <w:tcMar>
              <w:top w:w="100" w:type="dxa"/>
              <w:left w:w="100" w:type="dxa"/>
              <w:bottom w:w="100" w:type="dxa"/>
              <w:right w:w="100" w:type="dxa"/>
            </w:tcMar>
          </w:tcPr>
          <w:p w14:paraId="55F30CF4" w14:textId="77777777" w:rsidR="003F1C8B" w:rsidRDefault="003F1C8B" w:rsidP="00774A44">
            <w:pPr>
              <w:widowControl w:val="0"/>
              <w:pBdr>
                <w:top w:val="nil"/>
                <w:left w:val="nil"/>
                <w:bottom w:val="nil"/>
                <w:right w:val="nil"/>
                <w:between w:val="nil"/>
              </w:pBdr>
            </w:pPr>
            <w:r>
              <w:t>This analysis is contained in the “Scope Review and Findings” section of this report</w:t>
            </w:r>
          </w:p>
        </w:tc>
      </w:tr>
      <w:tr w:rsidR="003F1C8B" w14:paraId="6A044245" w14:textId="77777777" w:rsidTr="00774A44">
        <w:tc>
          <w:tcPr>
            <w:tcW w:w="4514" w:type="dxa"/>
            <w:shd w:val="clear" w:color="auto" w:fill="auto"/>
            <w:tcMar>
              <w:top w:w="100" w:type="dxa"/>
              <w:left w:w="100" w:type="dxa"/>
              <w:bottom w:w="100" w:type="dxa"/>
              <w:right w:w="100" w:type="dxa"/>
            </w:tcMar>
          </w:tcPr>
          <w:p w14:paraId="33849714" w14:textId="77777777" w:rsidR="003F1C8B" w:rsidRDefault="003F1C8B" w:rsidP="00774A44">
            <w:pPr>
              <w:widowControl w:val="0"/>
              <w:pBdr>
                <w:top w:val="nil"/>
                <w:left w:val="nil"/>
                <w:bottom w:val="nil"/>
                <w:right w:val="nil"/>
                <w:between w:val="nil"/>
              </w:pBdr>
            </w:pPr>
            <w:r>
              <w:t>IFR1 Recommendations and Implementation Status</w:t>
            </w:r>
          </w:p>
        </w:tc>
        <w:tc>
          <w:tcPr>
            <w:tcW w:w="4514" w:type="dxa"/>
            <w:shd w:val="clear" w:color="auto" w:fill="auto"/>
            <w:tcMar>
              <w:top w:w="100" w:type="dxa"/>
              <w:left w:w="100" w:type="dxa"/>
              <w:bottom w:w="100" w:type="dxa"/>
              <w:right w:w="100" w:type="dxa"/>
            </w:tcMar>
          </w:tcPr>
          <w:p w14:paraId="00A4A6C6" w14:textId="77777777" w:rsidR="003F1C8B" w:rsidRDefault="003F1C8B" w:rsidP="00774A44">
            <w:pPr>
              <w:widowControl w:val="0"/>
              <w:pBdr>
                <w:top w:val="nil"/>
                <w:left w:val="nil"/>
                <w:bottom w:val="nil"/>
                <w:right w:val="nil"/>
                <w:between w:val="nil"/>
              </w:pBdr>
            </w:pPr>
            <w:r>
              <w:t xml:space="preserve">The review team reviewed the </w:t>
            </w:r>
            <w:hyperlink r:id="rId24">
              <w:r>
                <w:rPr>
                  <w:color w:val="1155CC"/>
                  <w:u w:val="single"/>
                </w:rPr>
                <w:t>IFR1 findings and recommendations</w:t>
              </w:r>
            </w:hyperlink>
            <w:r>
              <w:t>, as well as the public comments on recommended changes, which led to Recommendation 3.</w:t>
            </w:r>
          </w:p>
          <w:p w14:paraId="479E9880" w14:textId="77777777" w:rsidR="003F1C8B" w:rsidRDefault="003F1C8B" w:rsidP="00774A44">
            <w:pPr>
              <w:widowControl w:val="0"/>
              <w:pBdr>
                <w:top w:val="nil"/>
                <w:left w:val="nil"/>
                <w:bottom w:val="nil"/>
                <w:right w:val="nil"/>
                <w:between w:val="nil"/>
              </w:pBdr>
            </w:pPr>
          </w:p>
          <w:p w14:paraId="2A4D448A" w14:textId="77777777" w:rsidR="003F1C8B" w:rsidRDefault="003F1C8B" w:rsidP="00774A44">
            <w:pPr>
              <w:widowControl w:val="0"/>
              <w:pBdr>
                <w:top w:val="nil"/>
                <w:left w:val="nil"/>
                <w:bottom w:val="nil"/>
                <w:right w:val="nil"/>
                <w:between w:val="nil"/>
              </w:pBdr>
            </w:pPr>
          </w:p>
          <w:p w14:paraId="714B1F7F" w14:textId="77777777" w:rsidR="003F1C8B" w:rsidRDefault="003F1C8B" w:rsidP="00774A44">
            <w:pPr>
              <w:widowControl w:val="0"/>
              <w:pBdr>
                <w:top w:val="nil"/>
                <w:left w:val="nil"/>
                <w:bottom w:val="nil"/>
                <w:right w:val="nil"/>
                <w:between w:val="nil"/>
              </w:pBdr>
            </w:pPr>
          </w:p>
        </w:tc>
      </w:tr>
      <w:tr w:rsidR="003F1C8B" w14:paraId="514CB4DA" w14:textId="77777777" w:rsidTr="00774A44">
        <w:tc>
          <w:tcPr>
            <w:tcW w:w="4514" w:type="dxa"/>
            <w:shd w:val="clear" w:color="auto" w:fill="auto"/>
            <w:tcMar>
              <w:top w:w="100" w:type="dxa"/>
              <w:left w:w="100" w:type="dxa"/>
              <w:bottom w:w="100" w:type="dxa"/>
              <w:right w:w="100" w:type="dxa"/>
            </w:tcMar>
          </w:tcPr>
          <w:p w14:paraId="406F49ED" w14:textId="77777777" w:rsidR="003F1C8B" w:rsidRDefault="003F1C8B" w:rsidP="00774A44">
            <w:pPr>
              <w:widowControl w:val="0"/>
              <w:pBdr>
                <w:top w:val="nil"/>
                <w:left w:val="nil"/>
                <w:bottom w:val="nil"/>
                <w:right w:val="nil"/>
                <w:between w:val="nil"/>
              </w:pBdr>
              <w:rPr>
                <w:color w:val="333333"/>
              </w:rPr>
            </w:pPr>
            <w:r>
              <w:t xml:space="preserve">Performance Reports provided by </w:t>
            </w:r>
            <w:proofErr w:type="spellStart"/>
            <w:r>
              <w:t>PTI</w:t>
            </w:r>
            <w:r>
              <w:rPr>
                <w:color w:val="333333"/>
              </w:rPr>
              <w:t>in</w:t>
            </w:r>
            <w:proofErr w:type="spellEnd"/>
            <w:r>
              <w:rPr>
                <w:color w:val="333333"/>
              </w:rPr>
              <w:t xml:space="preserve"> accordance with the</w:t>
            </w:r>
            <w:hyperlink r:id="rId25">
              <w:r>
                <w:rPr>
                  <w:color w:val="333333"/>
                </w:rPr>
                <w:t xml:space="preserve"> </w:t>
              </w:r>
            </w:hyperlink>
            <w:hyperlink r:id="rId26">
              <w:r>
                <w:rPr>
                  <w:color w:val="1155CC"/>
                  <w:u w:val="single"/>
                </w:rPr>
                <w:t>IANA Naming Function Contract</w:t>
              </w:r>
            </w:hyperlink>
            <w:r>
              <w:rPr>
                <w:color w:val="333333"/>
              </w:rPr>
              <w:t xml:space="preserve"> (section 18.4.a.)”</w:t>
            </w:r>
          </w:p>
          <w:p w14:paraId="0873E26A" w14:textId="77777777" w:rsidR="003F1C8B" w:rsidRDefault="003F1C8B" w:rsidP="00774A44">
            <w:pPr>
              <w:widowControl w:val="0"/>
              <w:pBdr>
                <w:top w:val="nil"/>
                <w:left w:val="nil"/>
                <w:bottom w:val="nil"/>
                <w:right w:val="nil"/>
                <w:between w:val="nil"/>
              </w:pBdr>
              <w:rPr>
                <w:i/>
                <w:color w:val="333333"/>
              </w:rPr>
            </w:pPr>
          </w:p>
        </w:tc>
        <w:tc>
          <w:tcPr>
            <w:tcW w:w="4514" w:type="dxa"/>
            <w:shd w:val="clear" w:color="auto" w:fill="auto"/>
            <w:tcMar>
              <w:top w:w="100" w:type="dxa"/>
              <w:left w:w="100" w:type="dxa"/>
              <w:bottom w:w="100" w:type="dxa"/>
              <w:right w:w="100" w:type="dxa"/>
            </w:tcMar>
          </w:tcPr>
          <w:p w14:paraId="60C1C3C3" w14:textId="77777777" w:rsidR="003F1C8B" w:rsidRDefault="003F1C8B" w:rsidP="00774A44">
            <w:pPr>
              <w:widowControl w:val="0"/>
              <w:pBdr>
                <w:top w:val="nil"/>
                <w:left w:val="nil"/>
                <w:bottom w:val="nil"/>
                <w:right w:val="nil"/>
                <w:between w:val="nil"/>
              </w:pBdr>
              <w:rPr>
                <w:color w:val="333333"/>
              </w:rPr>
            </w:pPr>
            <w:r>
              <w:rPr>
                <w:color w:val="333333"/>
              </w:rPr>
              <w:t xml:space="preserve">The online dashboard of PTI’s metrics: </w:t>
            </w:r>
            <w:hyperlink r:id="rId27">
              <w:r>
                <w:rPr>
                  <w:color w:val="1155CC"/>
                  <w:u w:val="single"/>
                </w:rPr>
                <w:t>https://sle-dashboard.iana.org/</w:t>
              </w:r>
            </w:hyperlink>
          </w:p>
          <w:p w14:paraId="04800615" w14:textId="77777777" w:rsidR="003F1C8B" w:rsidRDefault="003F1C8B" w:rsidP="00774A44">
            <w:pPr>
              <w:widowControl w:val="0"/>
              <w:pBdr>
                <w:top w:val="nil"/>
                <w:left w:val="nil"/>
                <w:bottom w:val="nil"/>
                <w:right w:val="nil"/>
                <w:between w:val="nil"/>
              </w:pBdr>
              <w:rPr>
                <w:color w:val="333333"/>
              </w:rPr>
            </w:pPr>
          </w:p>
          <w:p w14:paraId="3E75F8DE" w14:textId="77777777" w:rsidR="003F1C8B" w:rsidRDefault="003F1C8B" w:rsidP="00774A44">
            <w:pPr>
              <w:widowControl w:val="0"/>
              <w:pBdr>
                <w:top w:val="nil"/>
                <w:left w:val="nil"/>
                <w:bottom w:val="nil"/>
                <w:right w:val="nil"/>
                <w:between w:val="nil"/>
              </w:pBdr>
              <w:rPr>
                <w:color w:val="333333"/>
              </w:rPr>
            </w:pPr>
            <w:r>
              <w:rPr>
                <w:color w:val="333333"/>
              </w:rPr>
              <w:t xml:space="preserve">PTI’s Monthly SLA Reports: </w:t>
            </w:r>
            <w:hyperlink r:id="rId28">
              <w:r>
                <w:rPr>
                  <w:color w:val="1D98D3"/>
                  <w:u w:val="single"/>
                </w:rPr>
                <w:t>https://www.iana.org/performance/csc-reports</w:t>
              </w:r>
            </w:hyperlink>
            <w:r>
              <w:rPr>
                <w:color w:val="333333"/>
              </w:rPr>
              <w:t>.</w:t>
            </w:r>
          </w:p>
          <w:p w14:paraId="4ED9410D" w14:textId="77777777" w:rsidR="003F1C8B" w:rsidRDefault="003F1C8B" w:rsidP="00774A44">
            <w:pPr>
              <w:widowControl w:val="0"/>
              <w:pBdr>
                <w:top w:val="nil"/>
                <w:left w:val="nil"/>
                <w:bottom w:val="nil"/>
                <w:right w:val="nil"/>
                <w:between w:val="nil"/>
              </w:pBdr>
              <w:rPr>
                <w:color w:val="333333"/>
              </w:rPr>
            </w:pPr>
          </w:p>
          <w:p w14:paraId="7FA178D8" w14:textId="77777777" w:rsidR="003F1C8B" w:rsidRDefault="003F1C8B" w:rsidP="00774A44">
            <w:pPr>
              <w:widowControl w:val="0"/>
              <w:pBdr>
                <w:top w:val="nil"/>
                <w:left w:val="nil"/>
                <w:bottom w:val="nil"/>
                <w:right w:val="nil"/>
                <w:between w:val="nil"/>
              </w:pBdr>
              <w:rPr>
                <w:color w:val="333333"/>
              </w:rPr>
            </w:pPr>
            <w:r>
              <w:rPr>
                <w:color w:val="333333"/>
              </w:rPr>
              <w:t xml:space="preserve">Monthly audit report on the root zone files: </w:t>
            </w:r>
            <w:hyperlink r:id="rId29">
              <w:r>
                <w:rPr>
                  <w:color w:val="1155CC"/>
                  <w:u w:val="single"/>
                </w:rPr>
                <w:t>www.iana.org/performance/root-audit</w:t>
              </w:r>
            </w:hyperlink>
            <w:r>
              <w:rPr>
                <w:color w:val="333333"/>
              </w:rPr>
              <w:t>.</w:t>
            </w:r>
          </w:p>
          <w:p w14:paraId="70A5F099" w14:textId="77777777" w:rsidR="003F1C8B" w:rsidRDefault="003F1C8B" w:rsidP="00774A44">
            <w:pPr>
              <w:widowControl w:val="0"/>
              <w:pBdr>
                <w:top w:val="nil"/>
                <w:left w:val="nil"/>
                <w:bottom w:val="nil"/>
                <w:right w:val="nil"/>
                <w:between w:val="nil"/>
              </w:pBdr>
              <w:rPr>
                <w:color w:val="333333"/>
              </w:rPr>
            </w:pPr>
          </w:p>
          <w:p w14:paraId="290C20A2" w14:textId="26D4AF35" w:rsidR="003F1C8B" w:rsidRDefault="003F1C8B" w:rsidP="00774A44">
            <w:pPr>
              <w:widowControl w:val="0"/>
              <w:pBdr>
                <w:top w:val="nil"/>
                <w:left w:val="nil"/>
                <w:bottom w:val="nil"/>
                <w:right w:val="nil"/>
                <w:between w:val="nil"/>
              </w:pBdr>
            </w:pPr>
            <w:r>
              <w:rPr>
                <w:color w:val="333333"/>
              </w:rPr>
              <w:t xml:space="preserve">The annual IANA Function Customer </w:t>
            </w:r>
            <w:r w:rsidRPr="003F1C8B">
              <w:rPr>
                <w:color w:val="FF0000"/>
              </w:rPr>
              <w:t xml:space="preserve">Engagement </w:t>
            </w:r>
            <w:sdt>
              <w:sdtPr>
                <w:rPr>
                  <w:color w:val="FF0000"/>
                </w:rPr>
                <w:tag w:val="goog_rdk_3"/>
                <w:id w:val="-1987544089"/>
              </w:sdtPr>
              <w:sdtContent/>
            </w:sdt>
            <w:r w:rsidRPr="003F1C8B">
              <w:rPr>
                <w:color w:val="FF0000"/>
              </w:rPr>
              <w:t>Survey</w:t>
            </w:r>
            <w:r>
              <w:rPr>
                <w:color w:val="FF0000"/>
              </w:rPr>
              <w:t xml:space="preserve"> (link)</w:t>
            </w:r>
          </w:p>
        </w:tc>
      </w:tr>
      <w:tr w:rsidR="003F1C8B" w14:paraId="7800C704" w14:textId="77777777" w:rsidTr="00774A44">
        <w:tc>
          <w:tcPr>
            <w:tcW w:w="4514" w:type="dxa"/>
            <w:shd w:val="clear" w:color="auto" w:fill="auto"/>
            <w:tcMar>
              <w:top w:w="100" w:type="dxa"/>
              <w:left w:w="100" w:type="dxa"/>
              <w:bottom w:w="100" w:type="dxa"/>
              <w:right w:w="100" w:type="dxa"/>
            </w:tcMar>
          </w:tcPr>
          <w:p w14:paraId="06C2EC69" w14:textId="77777777" w:rsidR="003F1C8B" w:rsidRDefault="003F1C8B" w:rsidP="00774A44">
            <w:pPr>
              <w:spacing w:before="160"/>
            </w:pPr>
            <w:r>
              <w:rPr>
                <w:color w:val="333333"/>
              </w:rPr>
              <w:t>Reports provided by the CSC as well as recommendations made by the CSC (section18.</w:t>
            </w:r>
            <w:proofErr w:type="gramStart"/>
            <w:r>
              <w:rPr>
                <w:color w:val="333333"/>
              </w:rPr>
              <w:t>4.b</w:t>
            </w:r>
            <w:proofErr w:type="gramEnd"/>
            <w:r>
              <w:rPr>
                <w:color w:val="333333"/>
              </w:rPr>
              <w:t xml:space="preserve"> and d)” </w:t>
            </w:r>
          </w:p>
        </w:tc>
        <w:tc>
          <w:tcPr>
            <w:tcW w:w="4514" w:type="dxa"/>
            <w:shd w:val="clear" w:color="auto" w:fill="auto"/>
            <w:tcMar>
              <w:top w:w="100" w:type="dxa"/>
              <w:left w:w="100" w:type="dxa"/>
              <w:bottom w:w="100" w:type="dxa"/>
              <w:right w:w="100" w:type="dxa"/>
            </w:tcMar>
          </w:tcPr>
          <w:p w14:paraId="7EF42A1E" w14:textId="77777777" w:rsidR="003F1C8B" w:rsidRDefault="003F1C8B" w:rsidP="00774A44">
            <w:pPr>
              <w:spacing w:before="160"/>
              <w:rPr>
                <w:color w:val="333333"/>
              </w:rPr>
            </w:pPr>
            <w:r>
              <w:rPr>
                <w:color w:val="333333"/>
              </w:rPr>
              <w:t xml:space="preserve">Monthly CSC Reports on PTI’s Service Level Agreements (SLAs): </w:t>
            </w:r>
            <w:hyperlink r:id="rId30">
              <w:r>
                <w:rPr>
                  <w:color w:val="1D98D3"/>
                  <w:u w:val="single"/>
                </w:rPr>
                <w:t>https://www.iana.org/performance/csc-</w:t>
              </w:r>
              <w:r>
                <w:rPr>
                  <w:color w:val="1D98D3"/>
                  <w:u w:val="single"/>
                </w:rPr>
                <w:lastRenderedPageBreak/>
                <w:t>reports</w:t>
              </w:r>
            </w:hyperlink>
          </w:p>
        </w:tc>
      </w:tr>
      <w:tr w:rsidR="003F1C8B" w14:paraId="2A0AF100" w14:textId="77777777" w:rsidTr="00774A44">
        <w:tc>
          <w:tcPr>
            <w:tcW w:w="4514" w:type="dxa"/>
            <w:shd w:val="clear" w:color="auto" w:fill="auto"/>
            <w:tcMar>
              <w:top w:w="100" w:type="dxa"/>
              <w:left w:w="100" w:type="dxa"/>
              <w:bottom w:w="100" w:type="dxa"/>
              <w:right w:w="100" w:type="dxa"/>
            </w:tcMar>
          </w:tcPr>
          <w:p w14:paraId="50DFE9E6" w14:textId="77777777" w:rsidR="003F1C8B" w:rsidRDefault="003F1C8B" w:rsidP="00774A44">
            <w:pPr>
              <w:spacing w:before="160"/>
              <w:rPr>
                <w:color w:val="333333"/>
              </w:rPr>
            </w:pPr>
            <w:r>
              <w:rPr>
                <w:color w:val="333333"/>
              </w:rPr>
              <w:t>Report following community input through the intended Public Comment on the Draft Initial Report (section 18.4.c)</w:t>
            </w:r>
          </w:p>
        </w:tc>
        <w:tc>
          <w:tcPr>
            <w:tcW w:w="4514" w:type="dxa"/>
            <w:shd w:val="clear" w:color="auto" w:fill="auto"/>
            <w:tcMar>
              <w:top w:w="100" w:type="dxa"/>
              <w:left w:w="100" w:type="dxa"/>
              <w:bottom w:w="100" w:type="dxa"/>
              <w:right w:w="100" w:type="dxa"/>
            </w:tcMar>
          </w:tcPr>
          <w:p w14:paraId="391D09BA" w14:textId="1297825C" w:rsidR="003F1C8B" w:rsidRDefault="003F1C8B" w:rsidP="00774A44">
            <w:pPr>
              <w:spacing w:before="160"/>
              <w:rPr>
                <w:color w:val="333333"/>
              </w:rPr>
            </w:pPr>
            <w:r>
              <w:rPr>
                <w:color w:val="333333"/>
              </w:rPr>
              <w:t>To follow the Public Comment Period</w:t>
            </w:r>
          </w:p>
        </w:tc>
      </w:tr>
    </w:tbl>
    <w:p w14:paraId="00CC4AF8" w14:textId="77777777" w:rsidR="003F1C8B" w:rsidRDefault="003F1C8B" w:rsidP="003F1C8B">
      <w:pPr>
        <w:pBdr>
          <w:top w:val="nil"/>
          <w:left w:val="nil"/>
          <w:bottom w:val="nil"/>
          <w:right w:val="nil"/>
          <w:between w:val="nil"/>
        </w:pBdr>
        <w:spacing w:before="150"/>
        <w:rPr>
          <w:color w:val="FF0000"/>
        </w:rPr>
      </w:pPr>
    </w:p>
    <w:p w14:paraId="3864C7E3" w14:textId="77777777" w:rsidR="003F1C8B" w:rsidRDefault="003F1C8B" w:rsidP="003F1C8B">
      <w:pPr>
        <w:pBdr>
          <w:top w:val="nil"/>
          <w:left w:val="nil"/>
          <w:bottom w:val="nil"/>
          <w:right w:val="nil"/>
          <w:between w:val="nil"/>
        </w:pBdr>
        <w:spacing w:before="150"/>
        <w:rPr>
          <w:color w:val="FF0000"/>
        </w:rPr>
      </w:pPr>
    </w:p>
    <w:p w14:paraId="0D55275C" w14:textId="77777777" w:rsidR="003F1C8B" w:rsidRPr="003F1C8B" w:rsidRDefault="003F1C8B" w:rsidP="003F1C8B">
      <w:pPr>
        <w:pStyle w:val="Heading2"/>
      </w:pPr>
      <w:bookmarkStart w:id="37" w:name="_heading=h.t6u0rgafp6e0" w:colFirst="0" w:colLast="0"/>
      <w:bookmarkStart w:id="38" w:name="_Toc191310522"/>
      <w:bookmarkEnd w:id="37"/>
      <w:r w:rsidRPr="003F1C8B">
        <w:t>Decision-Making Methodologies</w:t>
      </w:r>
      <w:bookmarkEnd w:id="38"/>
    </w:p>
    <w:p w14:paraId="16D3B5D6" w14:textId="77777777" w:rsidR="003F1C8B" w:rsidRDefault="003F1C8B" w:rsidP="003F1C8B">
      <w:pPr>
        <w:shd w:val="clear" w:color="auto" w:fill="FFFFFF"/>
      </w:pPr>
    </w:p>
    <w:p w14:paraId="52F39C2C" w14:textId="77777777" w:rsidR="003F1C8B" w:rsidRDefault="003F1C8B" w:rsidP="003F1C8B">
      <w:pPr>
        <w:shd w:val="clear" w:color="auto" w:fill="FFFFFF"/>
      </w:pPr>
      <w:r>
        <w:t xml:space="preserve">The IFRT2 followed the meeting rules from the ICANN Bylaws Section 18.9. Meetings: </w:t>
      </w:r>
    </w:p>
    <w:p w14:paraId="66BB1E1F" w14:textId="77777777" w:rsidR="003F1C8B" w:rsidRDefault="003F1C8B" w:rsidP="003F1C8B">
      <w:pPr>
        <w:shd w:val="clear" w:color="auto" w:fill="FFFFFF"/>
        <w:spacing w:before="280" w:after="280"/>
        <w:ind w:left="720"/>
        <w:rPr>
          <w:i/>
          <w:color w:val="333333"/>
        </w:rPr>
      </w:pPr>
      <w:r>
        <w:rPr>
          <w:i/>
          <w:color w:val="333333"/>
        </w:rPr>
        <w:t>“(</w:t>
      </w:r>
      <w:proofErr w:type="gramStart"/>
      <w:r>
        <w:rPr>
          <w:i/>
          <w:color w:val="333333"/>
        </w:rPr>
        <w:t>a)  All</w:t>
      </w:r>
      <w:proofErr w:type="gramEnd"/>
      <w:r>
        <w:rPr>
          <w:i/>
          <w:color w:val="333333"/>
        </w:rPr>
        <w:t xml:space="preserve"> actions of the IFRT shall be taken by consensus of the IFRT, which is where a small minority may disagree, but most agree. If consensus cannot be reached with respect to a particular issue, actions by the majority of </w:t>
      </w:r>
      <w:proofErr w:type="gramStart"/>
      <w:r>
        <w:rPr>
          <w:i/>
          <w:color w:val="333333"/>
        </w:rPr>
        <w:t>all of</w:t>
      </w:r>
      <w:proofErr w:type="gramEnd"/>
      <w:r>
        <w:rPr>
          <w:i/>
          <w:color w:val="333333"/>
        </w:rPr>
        <w:t xml:space="preserve"> the members of the IFRT shall be the action of the IFRT.”</w:t>
      </w:r>
    </w:p>
    <w:p w14:paraId="337F78CF" w14:textId="77777777" w:rsidR="003F1C8B" w:rsidRDefault="003F1C8B" w:rsidP="003F1C8B">
      <w:pPr>
        <w:spacing w:after="240"/>
      </w:pPr>
      <w:r>
        <w:t>The review team leadership is responsible for designating each decision as having one of the following designations:</w:t>
      </w:r>
    </w:p>
    <w:p w14:paraId="3C4A661B" w14:textId="77777777" w:rsidR="003F1C8B" w:rsidRDefault="003F1C8B" w:rsidP="003F1C8B">
      <w:pPr>
        <w:spacing w:after="240"/>
      </w:pPr>
      <w:r>
        <w:rPr>
          <w:b/>
          <w:u w:val="single"/>
        </w:rPr>
        <w:t>Full consensus</w:t>
      </w:r>
      <w:r>
        <w:t>: no review team members speak against the recommendation in its last readings.</w:t>
      </w:r>
    </w:p>
    <w:p w14:paraId="0D3BE989" w14:textId="77777777" w:rsidR="003F1C8B" w:rsidRDefault="003F1C8B" w:rsidP="003F1C8B">
      <w:pPr>
        <w:spacing w:after="240"/>
      </w:pPr>
      <w:r>
        <w:rPr>
          <w:b/>
          <w:u w:val="single"/>
        </w:rPr>
        <w:t>Consensus</w:t>
      </w:r>
      <w:r>
        <w:t>:  small minority disagree but most agree. A rule-of-thumb for judging consensus is that the decision is supported by 80 percent of the review team (does not override Bylaws Section 18.5 for specific situations).</w:t>
      </w:r>
    </w:p>
    <w:p w14:paraId="4E7AEA6F" w14:textId="77777777" w:rsidR="003F1C8B" w:rsidRDefault="003F1C8B" w:rsidP="003F1C8B">
      <w:pPr>
        <w:spacing w:after="240"/>
      </w:pPr>
      <w:r>
        <w:rPr>
          <w:b/>
          <w:u w:val="single"/>
        </w:rPr>
        <w:t>Strong support but significant opposition:</w:t>
      </w:r>
      <w:r>
        <w:rPr>
          <w:b/>
        </w:rPr>
        <w:t xml:space="preserve"> </w:t>
      </w:r>
      <w:r>
        <w:t>most of the group supports a recommendation but a significant number of members do not (does not override Bylaws Section 18.5 for specific situations).</w:t>
      </w:r>
    </w:p>
    <w:p w14:paraId="5C8090F8" w14:textId="77777777" w:rsidR="003F1C8B" w:rsidRDefault="003F1C8B" w:rsidP="003F1C8B">
      <w:pPr>
        <w:spacing w:after="240"/>
      </w:pPr>
      <w:r>
        <w:rPr>
          <w:b/>
          <w:u w:val="single"/>
        </w:rPr>
        <w:t>Divergence</w:t>
      </w:r>
      <w:r>
        <w:t xml:space="preserve">: no strong support for any </w:t>
      </w:r>
      <w:proofErr w:type="gramStart"/>
      <w:r>
        <w:t>particular position</w:t>
      </w:r>
      <w:proofErr w:type="gramEnd"/>
      <w:r>
        <w:t xml:space="preserve"> but rather many different points of view. Sometimes this is due to irreconcilable differences of opinion and sometimes it is </w:t>
      </w:r>
      <w:proofErr w:type="gramStart"/>
      <w:r>
        <w:t>due to the fact that</w:t>
      </w:r>
      <w:proofErr w:type="gramEnd"/>
      <w:r>
        <w:t xml:space="preserve"> no one has a particularly strong or convincing viewpoint. Nonetheless, the members of the group agree that it is worth listing the issue in the report.</w:t>
      </w:r>
    </w:p>
    <w:p w14:paraId="4B466278" w14:textId="77777777" w:rsidR="003F1C8B" w:rsidRDefault="003F1C8B" w:rsidP="003F1C8B">
      <w:pPr>
        <w:spacing w:after="240"/>
      </w:pPr>
      <w:r>
        <w:rPr>
          <w:b/>
          <w:u w:val="single"/>
        </w:rPr>
        <w:t>Minority view</w:t>
      </w:r>
      <w:r>
        <w:t xml:space="preserve">:  proposal where a small number of people support the recommendation.  This can happen in response to a </w:t>
      </w:r>
      <w:r>
        <w:rPr>
          <w:b/>
          <w:u w:val="single"/>
        </w:rPr>
        <w:t>consensus</w:t>
      </w:r>
      <w:r>
        <w:t xml:space="preserve">, </w:t>
      </w:r>
      <w:r>
        <w:rPr>
          <w:b/>
          <w:u w:val="single"/>
        </w:rPr>
        <w:t>strong support but significant opposition</w:t>
      </w:r>
      <w:r>
        <w:t xml:space="preserve">, and </w:t>
      </w:r>
      <w:r>
        <w:rPr>
          <w:b/>
          <w:u w:val="single"/>
        </w:rPr>
        <w:t>no consensus;</w:t>
      </w:r>
      <w:r>
        <w:t xml:space="preserve"> or it can happen in cases where there is neither support </w:t>
      </w:r>
      <w:proofErr w:type="gramStart"/>
      <w:r>
        <w:t>or</w:t>
      </w:r>
      <w:proofErr w:type="gramEnd"/>
      <w:r>
        <w:t xml:space="preserve"> opposition to a suggestion made by a small number of individuals.</w:t>
      </w:r>
    </w:p>
    <w:p w14:paraId="663C7068" w14:textId="77777777" w:rsidR="003F1C8B" w:rsidRDefault="003F1C8B" w:rsidP="003F1C8B">
      <w:pPr>
        <w:spacing w:after="240"/>
      </w:pPr>
      <w:r>
        <w:t>Based upon the review team’s needs, the leadership may direct that review team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were taken.</w:t>
      </w:r>
    </w:p>
    <w:p w14:paraId="37B12551" w14:textId="77777777" w:rsidR="003F1C8B" w:rsidRDefault="003F1C8B" w:rsidP="003F1C8B">
      <w:pPr>
        <w:spacing w:after="240"/>
      </w:pPr>
      <w:r>
        <w:lastRenderedPageBreak/>
        <w:t xml:space="preserve">Consensus calls should always involve the entire review team and for this reason, should take place on the designated mailing list to ensure that all review team members </w:t>
      </w:r>
      <w:proofErr w:type="gramStart"/>
      <w:r>
        <w:t>have the opportunity to</w:t>
      </w:r>
      <w:proofErr w:type="gramEnd"/>
      <w:r>
        <w:t xml:space="preserve"> fully participate in the consensus process. It is the role of the leadership to designate which level of consensus is reached and announce this designation to the review team. Members of the review team should be able to challenge the designation of the leadership as part of the review team’s discussion. However, if disagreement persists, review team members may use the process set forth below to challenge the designation.</w:t>
      </w:r>
    </w:p>
    <w:p w14:paraId="21F15E9B" w14:textId="77777777" w:rsidR="003F1C8B" w:rsidRDefault="003F1C8B" w:rsidP="003F1C8B">
      <w:pPr>
        <w:shd w:val="clear" w:color="auto" w:fill="FFFFFF"/>
        <w:spacing w:before="280" w:after="280"/>
        <w:ind w:left="720"/>
        <w:rPr>
          <w:i/>
          <w:color w:val="333333"/>
        </w:rPr>
      </w:pPr>
      <w:r>
        <w:rPr>
          <w:b/>
          <w:color w:val="333333"/>
        </w:rPr>
        <w:t>ICANN Bylaws, Section 18.9.</w:t>
      </w:r>
      <w:r>
        <w:rPr>
          <w:color w:val="333333"/>
        </w:rPr>
        <w:t>(b) “</w:t>
      </w:r>
      <w:r>
        <w:rPr>
          <w:i/>
          <w:color w:val="333333"/>
        </w:rPr>
        <w:t>Any members of the IFRT not in favor of an action (whether as a result of voting against a matter or objecting to the consensus position) may record a minority dissent to such action, which shall be included in the IFRT minutes and/or report, as applicable.”</w:t>
      </w:r>
    </w:p>
    <w:p w14:paraId="43C73367" w14:textId="77777777" w:rsidR="003F1C8B" w:rsidRDefault="003F1C8B" w:rsidP="003F1C8B">
      <w:pPr>
        <w:spacing w:after="200" w:line="276" w:lineRule="auto"/>
      </w:pPr>
      <w:r>
        <w:t>All minority dissents must detail the analysis or recommendations in the final report with which its author disagrees, including a rationale for that disagreement.</w:t>
      </w:r>
    </w:p>
    <w:p w14:paraId="4C0BE11E" w14:textId="77777777" w:rsidR="003F1C8B" w:rsidRDefault="003F1C8B" w:rsidP="003F1C8B">
      <w:pPr>
        <w:spacing w:after="200" w:line="276" w:lineRule="auto"/>
      </w:pPr>
      <w:r>
        <w:t xml:space="preserve">The authors of minority dissents are encouraged to provide alternative recommendations that include the same details and context as is required from the recommendations in this document.  </w:t>
      </w:r>
    </w:p>
    <w:p w14:paraId="7EC8088C" w14:textId="77777777" w:rsidR="003F1C8B" w:rsidRPr="003F1C8B" w:rsidRDefault="003F1C8B" w:rsidP="003F1C8B">
      <w:pPr>
        <w:pStyle w:val="Heading2"/>
      </w:pPr>
      <w:bookmarkStart w:id="39" w:name="_heading=h.io7tre37pd12" w:colFirst="0" w:colLast="0"/>
      <w:bookmarkStart w:id="40" w:name="_Toc191310523"/>
      <w:bookmarkEnd w:id="39"/>
      <w:r w:rsidRPr="003F1C8B">
        <w:t>Requirements for Recommendation Drafting</w:t>
      </w:r>
      <w:bookmarkEnd w:id="40"/>
    </w:p>
    <w:p w14:paraId="5AFCDC18" w14:textId="77777777" w:rsidR="003F1C8B" w:rsidRDefault="003F1C8B" w:rsidP="003F1C8B"/>
    <w:p w14:paraId="31945A83" w14:textId="77777777" w:rsidR="003F1C8B" w:rsidRDefault="003F1C8B" w:rsidP="003F1C8B">
      <w:r>
        <w:t>The review team remained conscious of ICANN Bylaws requirements when drafting their recommendations:</w:t>
      </w:r>
    </w:p>
    <w:p w14:paraId="23612C9B" w14:textId="77777777" w:rsidR="003F1C8B" w:rsidRDefault="003F1C8B" w:rsidP="003F1C8B"/>
    <w:p w14:paraId="61F9080E" w14:textId="77777777" w:rsidR="003F1C8B" w:rsidRDefault="003F1C8B" w:rsidP="003F1C8B">
      <w:pPr>
        <w:numPr>
          <w:ilvl w:val="0"/>
          <w:numId w:val="28"/>
        </w:numPr>
      </w:pPr>
      <w:r>
        <w:t>Perform Review according to Review Scope.</w:t>
      </w:r>
    </w:p>
    <w:p w14:paraId="29B6E172" w14:textId="77777777" w:rsidR="003F1C8B" w:rsidRDefault="003F1C8B" w:rsidP="003F1C8B">
      <w:pPr>
        <w:numPr>
          <w:ilvl w:val="0"/>
          <w:numId w:val="28"/>
        </w:numPr>
      </w:pPr>
      <w:r>
        <w:t>Make recommendations according to Review Scope.</w:t>
      </w:r>
    </w:p>
    <w:p w14:paraId="67F39C84" w14:textId="77777777" w:rsidR="003F1C8B" w:rsidRDefault="003F1C8B" w:rsidP="003F1C8B">
      <w:pPr>
        <w:numPr>
          <w:ilvl w:val="0"/>
          <w:numId w:val="28"/>
        </w:numPr>
      </w:pPr>
      <w:r>
        <w:t>Initiate a Public Comment period and any other processes for obtaining community input (such as, but not limited to, in person sessions during ICANN meetings, responses to public surveys and public input during meetings 18.4.c*) on PTI’s performance under the IANA Naming Function Contract &amp; SOW (18.3.h*) as well as improvement recommendations (technical, process or other) (18.4.d*).</w:t>
      </w:r>
    </w:p>
    <w:p w14:paraId="07C86673" w14:textId="77777777" w:rsidR="003F1C8B" w:rsidRDefault="003F1C8B" w:rsidP="003F1C8B">
      <w:pPr>
        <w:numPr>
          <w:ilvl w:val="0"/>
          <w:numId w:val="28"/>
        </w:numPr>
      </w:pPr>
      <w:r>
        <w:t>Request input from the CSC (18.3.j*).</w:t>
      </w:r>
    </w:p>
    <w:p w14:paraId="2E0EEBDF" w14:textId="77777777" w:rsidR="003F1C8B" w:rsidRDefault="003F1C8B" w:rsidP="003F1C8B">
      <w:pPr>
        <w:numPr>
          <w:ilvl w:val="0"/>
          <w:numId w:val="28"/>
        </w:numPr>
      </w:pPr>
      <w:r>
        <w:t>Review PTI Reports created to meet IANA Naming Function Contract &amp; SOW requirements and that were created during the IFR period being reviewed (18.4.a*).</w:t>
      </w:r>
    </w:p>
    <w:p w14:paraId="0D7B964B" w14:textId="77777777" w:rsidR="003F1C8B" w:rsidRDefault="003F1C8B" w:rsidP="003F1C8B">
      <w:pPr>
        <w:numPr>
          <w:ilvl w:val="0"/>
          <w:numId w:val="28"/>
        </w:numPr>
      </w:pPr>
      <w:r>
        <w:t>Review CSC Reports created to meet the CSC Charter requirements and that were created during IFR period being reviewed (18.4.b*).</w:t>
      </w:r>
    </w:p>
    <w:p w14:paraId="59416B46" w14:textId="77777777" w:rsidR="003F1C8B" w:rsidRDefault="003F1C8B" w:rsidP="003F1C8B">
      <w:pPr>
        <w:numPr>
          <w:ilvl w:val="0"/>
          <w:numId w:val="28"/>
        </w:numPr>
      </w:pPr>
      <w:r>
        <w:t>Review results of any site visits by the IFRT (18.</w:t>
      </w:r>
      <w:proofErr w:type="gramStart"/>
      <w:r>
        <w:t>4.e</w:t>
      </w:r>
      <w:proofErr w:type="gramEnd"/>
      <w:r>
        <w:t>*) (IV.7.3.b &amp; Annex A: 3.a.ii**).</w:t>
      </w:r>
    </w:p>
    <w:p w14:paraId="3DBD46D4" w14:textId="77777777" w:rsidR="003F1C8B" w:rsidRDefault="003F1C8B" w:rsidP="003F1C8B"/>
    <w:p w14:paraId="21530A29" w14:textId="77777777" w:rsidR="003F1C8B" w:rsidRDefault="003F1C8B" w:rsidP="003F1C8B">
      <w:r>
        <w:t>The Review Team should ensure any recommendation:</w:t>
      </w:r>
    </w:p>
    <w:p w14:paraId="09B983E4" w14:textId="77777777" w:rsidR="003F1C8B" w:rsidRDefault="003F1C8B" w:rsidP="003F1C8B">
      <w:pPr>
        <w:numPr>
          <w:ilvl w:val="0"/>
          <w:numId w:val="30"/>
        </w:numPr>
      </w:pPr>
      <w:r>
        <w:t>Is supported by data and analysis of the existing deficiency and a proposal to address (18.5.b*).</w:t>
      </w:r>
    </w:p>
    <w:p w14:paraId="2D056FC3" w14:textId="77777777" w:rsidR="003F1C8B" w:rsidRDefault="003F1C8B" w:rsidP="003F1C8B">
      <w:pPr>
        <w:numPr>
          <w:ilvl w:val="0"/>
          <w:numId w:val="30"/>
        </w:numPr>
      </w:pPr>
      <w:r>
        <w:t>Provides a proposed remedial procedure with an explanation of how this will correct the issue (18.5.b*).</w:t>
      </w:r>
    </w:p>
    <w:p w14:paraId="449D4C94" w14:textId="77777777" w:rsidR="003F1C8B" w:rsidRDefault="003F1C8B" w:rsidP="003F1C8B">
      <w:pPr>
        <w:numPr>
          <w:ilvl w:val="0"/>
          <w:numId w:val="30"/>
        </w:numPr>
      </w:pPr>
      <w:r>
        <w:t>Provides a timeline for implementing (18.5.b*).</w:t>
      </w:r>
    </w:p>
    <w:p w14:paraId="618FA135" w14:textId="77777777" w:rsidR="003F1C8B" w:rsidRDefault="003F1C8B" w:rsidP="003F1C8B">
      <w:pPr>
        <w:numPr>
          <w:ilvl w:val="0"/>
          <w:numId w:val="30"/>
        </w:numPr>
      </w:pPr>
      <w:r>
        <w:t>Provides prioritization if there is more than 1 recommendation (18.5.b*).</w:t>
      </w:r>
    </w:p>
    <w:p w14:paraId="5E28471E" w14:textId="77777777" w:rsidR="003F1C8B" w:rsidRDefault="003F1C8B" w:rsidP="003F1C8B">
      <w:pPr>
        <w:numPr>
          <w:ilvl w:val="0"/>
          <w:numId w:val="30"/>
        </w:numPr>
      </w:pPr>
      <w:r>
        <w:t>Is not made public to the community or Board if it impacts gTLD registry operator services and received opposition from the Registry Stakeholder Group’s appointed IFRT member (18.5.c*).</w:t>
      </w:r>
    </w:p>
    <w:p w14:paraId="2D0DE27F" w14:textId="465880CF" w:rsidR="003F1C8B" w:rsidRDefault="003F1C8B" w:rsidP="003F1C8B"/>
    <w:p w14:paraId="08B6ED71" w14:textId="77777777" w:rsidR="003F1C8B" w:rsidRPr="003F1C8B" w:rsidRDefault="003F1C8B" w:rsidP="003F1C8B">
      <w:pPr>
        <w:pStyle w:val="Heading1"/>
      </w:pPr>
      <w:bookmarkStart w:id="41" w:name="_heading=h.1t3h5sf" w:colFirst="0" w:colLast="0"/>
      <w:bookmarkStart w:id="42" w:name="_Toc191310524"/>
      <w:bookmarkEnd w:id="41"/>
      <w:r w:rsidRPr="003F1C8B">
        <w:lastRenderedPageBreak/>
        <w:t>Scope and Review Findings</w:t>
      </w:r>
      <w:bookmarkEnd w:id="42"/>
    </w:p>
    <w:p w14:paraId="6CBFD094" w14:textId="77777777" w:rsidR="003F1C8B" w:rsidRDefault="003F1C8B" w:rsidP="003F1C8B"/>
    <w:p w14:paraId="15B1B761" w14:textId="77777777" w:rsidR="003F1C8B" w:rsidRPr="003F1C8B" w:rsidRDefault="003F1C8B" w:rsidP="003F1C8B">
      <w:pPr>
        <w:pStyle w:val="Heading2"/>
      </w:pPr>
      <w:bookmarkStart w:id="43" w:name="_heading=h.4d34og8" w:colFirst="0" w:colLast="0"/>
      <w:bookmarkStart w:id="44" w:name="_Toc191310525"/>
      <w:bookmarkEnd w:id="43"/>
      <w:r w:rsidRPr="003F1C8B">
        <w:t>ICANN Bylaws 18.3.(a)</w:t>
      </w:r>
      <w:bookmarkEnd w:id="44"/>
    </w:p>
    <w:p w14:paraId="5DD4B038" w14:textId="77777777" w:rsidR="003F1C8B" w:rsidRDefault="003F1C8B" w:rsidP="003F1C8B">
      <w:pPr>
        <w:pBdr>
          <w:top w:val="nil"/>
          <w:left w:val="nil"/>
          <w:bottom w:val="nil"/>
          <w:right w:val="nil"/>
          <w:between w:val="nil"/>
        </w:pBdr>
        <w:shd w:val="clear" w:color="auto" w:fill="FFFFFF"/>
        <w:rPr>
          <w:i/>
          <w:sz w:val="24"/>
          <w:szCs w:val="24"/>
        </w:rPr>
      </w:pPr>
    </w:p>
    <w:p w14:paraId="43794616" w14:textId="77777777" w:rsidR="003F1C8B" w:rsidRDefault="003F1C8B" w:rsidP="003F1C8B">
      <w:pPr>
        <w:pBdr>
          <w:top w:val="nil"/>
          <w:left w:val="nil"/>
          <w:bottom w:val="nil"/>
          <w:right w:val="nil"/>
          <w:between w:val="nil"/>
        </w:pBdr>
        <w:shd w:val="clear" w:color="auto" w:fill="FFFFFF"/>
        <w:rPr>
          <w:i/>
        </w:rPr>
      </w:pPr>
      <w:r>
        <w:rPr>
          <w:i/>
        </w:rPr>
        <w:t>“Review and evaluate the performance of PTI against the requirements set forth in the </w:t>
      </w:r>
      <w:hyperlink r:id="rId31">
        <w:r>
          <w:rPr>
            <w:i/>
            <w:u w:val="single"/>
          </w:rPr>
          <w:t>IANA Naming Function Contract</w:t>
        </w:r>
      </w:hyperlink>
      <w:r>
        <w:rPr>
          <w:i/>
        </w:rPr>
        <w:t xml:space="preserve"> in relation to the needs of its direct customers and the expectations of the broader ICANN community, and determine whether to make any recommendations with respect to PTI's performance.”</w:t>
      </w:r>
    </w:p>
    <w:p w14:paraId="1E82897E" w14:textId="77777777" w:rsidR="003F1C8B" w:rsidRDefault="003F1C8B" w:rsidP="003F1C8B">
      <w:pPr>
        <w:pBdr>
          <w:top w:val="nil"/>
          <w:left w:val="nil"/>
          <w:bottom w:val="nil"/>
          <w:right w:val="nil"/>
          <w:between w:val="nil"/>
        </w:pBdr>
        <w:shd w:val="clear" w:color="auto" w:fill="FFFFFF"/>
      </w:pPr>
    </w:p>
    <w:p w14:paraId="10E175E7" w14:textId="77777777" w:rsidR="003F1C8B" w:rsidRDefault="003F1C8B" w:rsidP="003F1C8B">
      <w:pPr>
        <w:pBdr>
          <w:top w:val="nil"/>
          <w:left w:val="nil"/>
          <w:bottom w:val="nil"/>
          <w:right w:val="nil"/>
          <w:between w:val="nil"/>
        </w:pBdr>
        <w:shd w:val="clear" w:color="auto" w:fill="FFFFFF"/>
      </w:pPr>
      <w:r>
        <w:rPr>
          <w:b/>
        </w:rPr>
        <w:t>Objective</w:t>
      </w:r>
    </w:p>
    <w:p w14:paraId="3474CB34" w14:textId="77777777" w:rsidR="003F1C8B" w:rsidRDefault="003F1C8B" w:rsidP="003F1C8B">
      <w:pPr>
        <w:pBdr>
          <w:top w:val="nil"/>
          <w:left w:val="nil"/>
          <w:bottom w:val="nil"/>
          <w:right w:val="nil"/>
          <w:between w:val="nil"/>
        </w:pBdr>
        <w:shd w:val="clear" w:color="auto" w:fill="FFFFFF"/>
      </w:pPr>
      <w:r>
        <w:t xml:space="preserve">Consistent with ICANN’s mission and </w:t>
      </w:r>
      <w:hyperlink r:id="rId32">
        <w:r>
          <w:rPr>
            <w:u w:val="single"/>
          </w:rPr>
          <w:t>Bylaws</w:t>
        </w:r>
      </w:hyperlink>
      <w:r>
        <w:t>, Section 18.3(a), the review team will assess the needs and expectations of IANA naming function direct customers and the broader community, and then determine if there are any gaps in PTI’s performance. The IFRT will examine PTI’s performance against SLAs originally developed by the community; review PTI’s annual customer engagement survey; discuss PTI’s performance with the Customer Standing Committee (CSC); solicit input through the first Public Comment of an Initial Draft; and other methods that the review team deems appropriate.</w:t>
      </w:r>
      <w:r>
        <w:rPr>
          <w:vertAlign w:val="superscript"/>
        </w:rPr>
        <w:footnoteReference w:id="11"/>
      </w:r>
    </w:p>
    <w:p w14:paraId="7FA44AC6" w14:textId="77777777" w:rsidR="003F1C8B" w:rsidRDefault="003F1C8B" w:rsidP="003F1C8B">
      <w:pPr>
        <w:pBdr>
          <w:top w:val="nil"/>
          <w:left w:val="nil"/>
          <w:bottom w:val="nil"/>
          <w:right w:val="nil"/>
          <w:between w:val="nil"/>
        </w:pBdr>
        <w:shd w:val="clear" w:color="auto" w:fill="FFFFFF"/>
      </w:pPr>
    </w:p>
    <w:p w14:paraId="5CD599AB" w14:textId="77777777" w:rsidR="003F1C8B" w:rsidRDefault="003F1C8B" w:rsidP="003F1C8B">
      <w:pPr>
        <w:pBdr>
          <w:top w:val="nil"/>
          <w:left w:val="nil"/>
          <w:bottom w:val="nil"/>
          <w:right w:val="nil"/>
          <w:between w:val="nil"/>
        </w:pBdr>
        <w:shd w:val="clear" w:color="auto" w:fill="FFFFFF"/>
      </w:pPr>
      <w:r>
        <w:rPr>
          <w:b/>
        </w:rPr>
        <w:t>Findings</w:t>
      </w:r>
      <w:r>
        <w:t xml:space="preserve"> </w:t>
      </w:r>
    </w:p>
    <w:p w14:paraId="09752C30" w14:textId="77777777" w:rsidR="003F1C8B" w:rsidRDefault="003F1C8B" w:rsidP="003F1C8B">
      <w:pPr>
        <w:pBdr>
          <w:top w:val="nil"/>
          <w:left w:val="nil"/>
          <w:bottom w:val="nil"/>
          <w:right w:val="nil"/>
          <w:between w:val="nil"/>
        </w:pBdr>
        <w:shd w:val="clear" w:color="auto" w:fill="FFFFFF"/>
      </w:pPr>
      <w:r>
        <w:t>The review team has performed a review of the IANA Naming Function Contract and PTI’s performance relative to its direct customers and community. We briefed the Registry Stakeholder Group (</w:t>
      </w:r>
      <w:proofErr w:type="spellStart"/>
      <w:r>
        <w:t>RySG</w:t>
      </w:r>
      <w:proofErr w:type="spellEnd"/>
      <w:r>
        <w:t xml:space="preserve">) and held an Open Review Team Meeting (November 13) at ICANN81 where the review team provided an update on the review and sought feedback from the </w:t>
      </w:r>
      <w:proofErr w:type="spellStart"/>
      <w:r>
        <w:t>RySG</w:t>
      </w:r>
      <w:proofErr w:type="spellEnd"/>
      <w:r>
        <w:t xml:space="preserve"> on the following questions:</w:t>
      </w:r>
    </w:p>
    <w:p w14:paraId="6F2CD299" w14:textId="77777777" w:rsidR="003F1C8B" w:rsidRDefault="003F1C8B" w:rsidP="003F1C8B">
      <w:pPr>
        <w:pBdr>
          <w:top w:val="nil"/>
          <w:left w:val="nil"/>
          <w:bottom w:val="nil"/>
          <w:right w:val="nil"/>
          <w:between w:val="nil"/>
        </w:pBdr>
        <w:shd w:val="clear" w:color="auto" w:fill="FFFFFF"/>
      </w:pPr>
    </w:p>
    <w:p w14:paraId="25983B62" w14:textId="77777777" w:rsidR="003F1C8B" w:rsidRDefault="003F1C8B" w:rsidP="003F1C8B">
      <w:pPr>
        <w:numPr>
          <w:ilvl w:val="0"/>
          <w:numId w:val="26"/>
        </w:numPr>
        <w:pBdr>
          <w:top w:val="nil"/>
          <w:left w:val="nil"/>
          <w:bottom w:val="nil"/>
          <w:right w:val="nil"/>
          <w:between w:val="nil"/>
        </w:pBdr>
        <w:shd w:val="clear" w:color="auto" w:fill="FFFFFF"/>
      </w:pPr>
      <w:r>
        <w:t>Is PTI’s performance meeting members’ needs?</w:t>
      </w:r>
    </w:p>
    <w:p w14:paraId="5C2AE58F" w14:textId="77777777" w:rsidR="003F1C8B" w:rsidRDefault="003F1C8B" w:rsidP="003F1C8B">
      <w:pPr>
        <w:numPr>
          <w:ilvl w:val="0"/>
          <w:numId w:val="26"/>
        </w:numPr>
        <w:pBdr>
          <w:top w:val="nil"/>
          <w:left w:val="nil"/>
          <w:bottom w:val="nil"/>
          <w:right w:val="nil"/>
          <w:between w:val="nil"/>
        </w:pBdr>
        <w:shd w:val="clear" w:color="auto" w:fill="FFFFFF"/>
      </w:pPr>
      <w:r>
        <w:t>Do members experience any systemic issues</w:t>
      </w:r>
    </w:p>
    <w:p w14:paraId="74B5794F" w14:textId="77777777" w:rsidR="003F1C8B" w:rsidRDefault="003F1C8B" w:rsidP="003F1C8B">
      <w:pPr>
        <w:numPr>
          <w:ilvl w:val="0"/>
          <w:numId w:val="26"/>
        </w:numPr>
        <w:pBdr>
          <w:top w:val="nil"/>
          <w:left w:val="nil"/>
          <w:bottom w:val="nil"/>
          <w:right w:val="nil"/>
          <w:between w:val="nil"/>
        </w:pBdr>
        <w:shd w:val="clear" w:color="auto" w:fill="FFFFFF"/>
      </w:pPr>
      <w:r>
        <w:t>Do the IANA Naming Function contract and SOW meet their needs?</w:t>
      </w:r>
      <w:r>
        <w:rPr>
          <w:vertAlign w:val="superscript"/>
        </w:rPr>
        <w:footnoteReference w:id="12"/>
      </w:r>
    </w:p>
    <w:p w14:paraId="70FBCE26" w14:textId="77777777" w:rsidR="003F1C8B" w:rsidRDefault="003F1C8B" w:rsidP="003F1C8B">
      <w:pPr>
        <w:pBdr>
          <w:top w:val="nil"/>
          <w:left w:val="nil"/>
          <w:bottom w:val="nil"/>
          <w:right w:val="nil"/>
          <w:between w:val="nil"/>
        </w:pBdr>
        <w:shd w:val="clear" w:color="auto" w:fill="FFFFFF"/>
      </w:pPr>
    </w:p>
    <w:p w14:paraId="07206ACA" w14:textId="77777777" w:rsidR="003F1C8B" w:rsidRDefault="003F1C8B" w:rsidP="003F1C8B">
      <w:pPr>
        <w:pBdr>
          <w:top w:val="nil"/>
          <w:left w:val="nil"/>
          <w:bottom w:val="nil"/>
          <w:right w:val="nil"/>
          <w:between w:val="nil"/>
        </w:pBdr>
        <w:shd w:val="clear" w:color="auto" w:fill="FFFFFF"/>
      </w:pPr>
      <w:r>
        <w:t>No performance issues or systemic challenges were identified in that session.</w:t>
      </w:r>
    </w:p>
    <w:p w14:paraId="01AD78EA" w14:textId="77777777" w:rsidR="003F1C8B" w:rsidRDefault="003F1C8B" w:rsidP="003F1C8B">
      <w:pPr>
        <w:pBdr>
          <w:top w:val="nil"/>
          <w:left w:val="nil"/>
          <w:bottom w:val="nil"/>
          <w:right w:val="nil"/>
          <w:between w:val="nil"/>
        </w:pBdr>
        <w:shd w:val="clear" w:color="auto" w:fill="FFFFFF"/>
      </w:pPr>
    </w:p>
    <w:p w14:paraId="77045EF4" w14:textId="77777777" w:rsidR="003F1C8B" w:rsidRDefault="003F1C8B" w:rsidP="003F1C8B">
      <w:pPr>
        <w:pBdr>
          <w:top w:val="nil"/>
          <w:left w:val="nil"/>
          <w:bottom w:val="nil"/>
          <w:right w:val="nil"/>
          <w:between w:val="nil"/>
        </w:pBdr>
        <w:shd w:val="clear" w:color="auto" w:fill="FFFFFF"/>
        <w:rPr>
          <w:b/>
        </w:rPr>
      </w:pPr>
      <w:r>
        <w:rPr>
          <w:b/>
        </w:rPr>
        <w:t>Recommendations</w:t>
      </w:r>
    </w:p>
    <w:p w14:paraId="242073A1" w14:textId="06FD56DE" w:rsidR="003F1C8B" w:rsidRDefault="003F1C8B" w:rsidP="003F1C8B">
      <w:pPr>
        <w:pBdr>
          <w:top w:val="nil"/>
          <w:left w:val="nil"/>
          <w:bottom w:val="nil"/>
          <w:right w:val="nil"/>
          <w:between w:val="nil"/>
        </w:pBdr>
        <w:shd w:val="clear" w:color="auto" w:fill="FFFFFF"/>
      </w:pPr>
      <w:r>
        <w:t>The IFR2 Team makes no recommendations based on gaps in PTI performance relative to customer and community feedback.</w:t>
      </w:r>
      <w:bookmarkStart w:id="45" w:name="_heading=h.p2148g9f83t6" w:colFirst="0" w:colLast="0"/>
      <w:bookmarkEnd w:id="45"/>
    </w:p>
    <w:p w14:paraId="7DB612E3" w14:textId="77777777" w:rsidR="003F1C8B" w:rsidRPr="003F1C8B" w:rsidRDefault="003F1C8B" w:rsidP="003F1C8B">
      <w:pPr>
        <w:pBdr>
          <w:top w:val="nil"/>
          <w:left w:val="nil"/>
          <w:bottom w:val="nil"/>
          <w:right w:val="nil"/>
          <w:between w:val="nil"/>
        </w:pBdr>
        <w:shd w:val="clear" w:color="auto" w:fill="FFFFFF"/>
      </w:pPr>
    </w:p>
    <w:p w14:paraId="0C00B917" w14:textId="77777777" w:rsidR="003F1C8B" w:rsidRPr="003F1C8B" w:rsidRDefault="003F1C8B" w:rsidP="003F1C8B">
      <w:pPr>
        <w:pStyle w:val="Heading2"/>
      </w:pPr>
      <w:bookmarkStart w:id="46" w:name="_heading=h.op7w3c3idk7d" w:colFirst="0" w:colLast="0"/>
      <w:bookmarkStart w:id="47" w:name="_Toc191310526"/>
      <w:bookmarkEnd w:id="46"/>
      <w:r w:rsidRPr="003F1C8B">
        <w:t>ICANN Bylaws 18.3.(b)</w:t>
      </w:r>
      <w:bookmarkEnd w:id="47"/>
    </w:p>
    <w:p w14:paraId="12C9536B" w14:textId="77777777" w:rsidR="003F1C8B" w:rsidRDefault="003F1C8B" w:rsidP="003F1C8B">
      <w:pPr>
        <w:pBdr>
          <w:top w:val="nil"/>
          <w:left w:val="nil"/>
          <w:bottom w:val="nil"/>
          <w:right w:val="nil"/>
          <w:between w:val="nil"/>
        </w:pBdr>
        <w:shd w:val="clear" w:color="auto" w:fill="FFFFFF"/>
        <w:rPr>
          <w:i/>
          <w:sz w:val="24"/>
          <w:szCs w:val="24"/>
        </w:rPr>
      </w:pPr>
    </w:p>
    <w:p w14:paraId="5091DBDA" w14:textId="77777777" w:rsidR="003F1C8B" w:rsidRDefault="003F1C8B" w:rsidP="003F1C8B">
      <w:pPr>
        <w:pBdr>
          <w:top w:val="nil"/>
          <w:left w:val="nil"/>
          <w:bottom w:val="nil"/>
          <w:right w:val="nil"/>
          <w:between w:val="nil"/>
        </w:pBdr>
        <w:shd w:val="clear" w:color="auto" w:fill="FFFFFF"/>
        <w:rPr>
          <w:i/>
        </w:rPr>
      </w:pPr>
      <w:r>
        <w:rPr>
          <w:i/>
        </w:rPr>
        <w:t>“Review and evaluate the performance of PTI against the requirements set forth in the </w:t>
      </w:r>
      <w:hyperlink r:id="rId33">
        <w:r>
          <w:rPr>
            <w:i/>
            <w:u w:val="single"/>
          </w:rPr>
          <w:t>IANA Naming Function Contract</w:t>
        </w:r>
      </w:hyperlink>
      <w:r>
        <w:rPr>
          <w:i/>
          <w:u w:val="single"/>
        </w:rPr>
        <w:t xml:space="preserve"> </w:t>
      </w:r>
      <w:r>
        <w:rPr>
          <w:i/>
        </w:rPr>
        <w:t>and </w:t>
      </w:r>
      <w:hyperlink r:id="rId34">
        <w:r>
          <w:rPr>
            <w:i/>
            <w:u w:val="single"/>
          </w:rPr>
          <w:t>IANA Naming Function SOW</w:t>
        </w:r>
      </w:hyperlink>
      <w:r>
        <w:rPr>
          <w:i/>
        </w:rPr>
        <w:t>.”</w:t>
      </w:r>
    </w:p>
    <w:p w14:paraId="06AC2BF1" w14:textId="77777777" w:rsidR="003F1C8B" w:rsidRDefault="003F1C8B" w:rsidP="003F1C8B">
      <w:pPr>
        <w:pBdr>
          <w:top w:val="nil"/>
          <w:left w:val="nil"/>
          <w:bottom w:val="nil"/>
          <w:right w:val="nil"/>
          <w:between w:val="nil"/>
        </w:pBdr>
        <w:shd w:val="clear" w:color="auto" w:fill="FFFFFF"/>
      </w:pPr>
    </w:p>
    <w:p w14:paraId="161E65B0" w14:textId="77777777" w:rsidR="003F1C8B" w:rsidRDefault="003F1C8B" w:rsidP="003F1C8B">
      <w:pPr>
        <w:pBdr>
          <w:top w:val="nil"/>
          <w:left w:val="nil"/>
          <w:bottom w:val="nil"/>
          <w:right w:val="nil"/>
          <w:between w:val="nil"/>
        </w:pBdr>
        <w:shd w:val="clear" w:color="auto" w:fill="FFFFFF"/>
      </w:pPr>
      <w:r>
        <w:rPr>
          <w:b/>
        </w:rPr>
        <w:t>Objective</w:t>
      </w:r>
    </w:p>
    <w:p w14:paraId="272FE010" w14:textId="77777777" w:rsidR="003F1C8B" w:rsidRDefault="003F1C8B" w:rsidP="003F1C8B">
      <w:pPr>
        <w:pBdr>
          <w:top w:val="nil"/>
          <w:left w:val="nil"/>
          <w:bottom w:val="nil"/>
          <w:right w:val="nil"/>
          <w:between w:val="nil"/>
        </w:pBdr>
        <w:shd w:val="clear" w:color="auto" w:fill="FFFFFF"/>
      </w:pPr>
      <w:r>
        <w:t xml:space="preserve">Consistent with ICANN’s mission and </w:t>
      </w:r>
      <w:hyperlink r:id="rId35">
        <w:r>
          <w:rPr>
            <w:u w:val="single"/>
          </w:rPr>
          <w:t>Bylaws</w:t>
        </w:r>
      </w:hyperlink>
      <w:r>
        <w:t xml:space="preserve">, Section 18.3(b), the review team will assess all IANA naming function related requirements in the contract and SOW and determine if PTI has met these. The IFRT will do so through such means as interviews with PTI and ICANN staff </w:t>
      </w:r>
      <w:r>
        <w:lastRenderedPageBreak/>
        <w:t>and/or community subject matter experts, available monthly reporting and monitoring tools, as well as IANA audit reports that apply to IANA naming functions.</w:t>
      </w:r>
      <w:r>
        <w:rPr>
          <w:vertAlign w:val="superscript"/>
        </w:rPr>
        <w:footnoteReference w:id="13"/>
      </w:r>
    </w:p>
    <w:p w14:paraId="72B39875" w14:textId="77777777" w:rsidR="003F1C8B" w:rsidRDefault="003F1C8B" w:rsidP="003F1C8B">
      <w:pPr>
        <w:pBdr>
          <w:top w:val="nil"/>
          <w:left w:val="nil"/>
          <w:bottom w:val="nil"/>
          <w:right w:val="nil"/>
          <w:between w:val="nil"/>
        </w:pBdr>
        <w:shd w:val="clear" w:color="auto" w:fill="FFFFFF"/>
      </w:pPr>
      <w:r>
        <w:t> </w:t>
      </w:r>
    </w:p>
    <w:p w14:paraId="6EECA7C1" w14:textId="77777777" w:rsidR="003F1C8B" w:rsidRDefault="003F1C8B" w:rsidP="003F1C8B">
      <w:pPr>
        <w:shd w:val="clear" w:color="auto" w:fill="FFFFFF"/>
      </w:pPr>
      <w:r>
        <w:rPr>
          <w:b/>
        </w:rPr>
        <w:t>Findings</w:t>
      </w:r>
      <w:r>
        <w:t xml:space="preserve"> </w:t>
      </w:r>
    </w:p>
    <w:p w14:paraId="07EC7C7F" w14:textId="77777777" w:rsidR="003F1C8B" w:rsidRDefault="003F1C8B" w:rsidP="003F1C8B">
      <w:pPr>
        <w:shd w:val="clear" w:color="auto" w:fill="FFFFFF"/>
      </w:pPr>
      <w:r>
        <w:t>The review team has performed a methodical review of the IANA Naming Function Contract and Statement of Work and assessed PTI’s performance relative to it.</w:t>
      </w:r>
    </w:p>
    <w:p w14:paraId="1670BE79" w14:textId="77777777" w:rsidR="003F1C8B" w:rsidRDefault="003F1C8B" w:rsidP="003F1C8B">
      <w:pPr>
        <w:shd w:val="clear" w:color="auto" w:fill="FFFFFF"/>
        <w:rPr>
          <w:b/>
        </w:rPr>
      </w:pPr>
    </w:p>
    <w:p w14:paraId="7E47F37B" w14:textId="77777777" w:rsidR="003F1C8B" w:rsidRDefault="003F1C8B" w:rsidP="003F1C8B">
      <w:pPr>
        <w:shd w:val="clear" w:color="auto" w:fill="FFFFFF"/>
        <w:rPr>
          <w:b/>
        </w:rPr>
      </w:pPr>
      <w:r>
        <w:rPr>
          <w:b/>
        </w:rPr>
        <w:t>Recommendations</w:t>
      </w:r>
    </w:p>
    <w:p w14:paraId="325C9101" w14:textId="6D5C9A36" w:rsidR="003F1C8B" w:rsidRDefault="003F1C8B" w:rsidP="003F1C8B">
      <w:pPr>
        <w:shd w:val="clear" w:color="auto" w:fill="FFFFFF"/>
      </w:pPr>
      <w:r>
        <w:t>Recommendations 1-3 and Incidental Findings derive from this review.</w:t>
      </w:r>
      <w:bookmarkStart w:id="48" w:name="_heading=h.8esu3mq3787l" w:colFirst="0" w:colLast="0"/>
      <w:bookmarkEnd w:id="48"/>
    </w:p>
    <w:p w14:paraId="35364892" w14:textId="77777777" w:rsidR="003F1C8B" w:rsidRPr="003F1C8B" w:rsidRDefault="003F1C8B" w:rsidP="003F1C8B">
      <w:pPr>
        <w:shd w:val="clear" w:color="auto" w:fill="FFFFFF"/>
        <w:rPr>
          <w:b/>
        </w:rPr>
      </w:pPr>
    </w:p>
    <w:p w14:paraId="2433ADBB" w14:textId="77777777" w:rsidR="003F1C8B" w:rsidRPr="003F1C8B" w:rsidRDefault="003F1C8B" w:rsidP="003F1C8B">
      <w:pPr>
        <w:pStyle w:val="Heading2"/>
      </w:pPr>
      <w:bookmarkStart w:id="49" w:name="_heading=h.17dp8vu" w:colFirst="0" w:colLast="0"/>
      <w:bookmarkStart w:id="50" w:name="_Toc191310527"/>
      <w:bookmarkEnd w:id="49"/>
      <w:r w:rsidRPr="003F1C8B">
        <w:t>ICANN Bylaws 18.3.(c)</w:t>
      </w:r>
      <w:bookmarkEnd w:id="50"/>
    </w:p>
    <w:p w14:paraId="6D9C94A8" w14:textId="77777777" w:rsidR="003F1C8B" w:rsidRDefault="003F1C8B" w:rsidP="003F1C8B">
      <w:pPr>
        <w:pBdr>
          <w:top w:val="nil"/>
          <w:left w:val="nil"/>
          <w:bottom w:val="nil"/>
          <w:right w:val="nil"/>
          <w:between w:val="nil"/>
        </w:pBdr>
        <w:shd w:val="clear" w:color="auto" w:fill="FFFFFF"/>
        <w:rPr>
          <w:i/>
          <w:sz w:val="24"/>
          <w:szCs w:val="24"/>
        </w:rPr>
      </w:pPr>
    </w:p>
    <w:p w14:paraId="2AFFD3F0" w14:textId="77777777" w:rsidR="003F1C8B" w:rsidRDefault="003F1C8B" w:rsidP="003F1C8B">
      <w:pPr>
        <w:pBdr>
          <w:top w:val="nil"/>
          <w:left w:val="nil"/>
          <w:bottom w:val="nil"/>
          <w:right w:val="nil"/>
          <w:between w:val="nil"/>
        </w:pBdr>
        <w:shd w:val="clear" w:color="auto" w:fill="FFFFFF"/>
        <w:rPr>
          <w:i/>
        </w:rPr>
      </w:pPr>
      <w:r>
        <w:rPr>
          <w:i/>
        </w:rPr>
        <w:t>“Review the </w:t>
      </w:r>
      <w:hyperlink r:id="rId36">
        <w:r>
          <w:rPr>
            <w:i/>
            <w:u w:val="single"/>
          </w:rPr>
          <w:t>IANA Naming Function SOW</w:t>
        </w:r>
      </w:hyperlink>
      <w:r>
        <w:rPr>
          <w:i/>
          <w:u w:val="single"/>
        </w:rPr>
        <w:t xml:space="preserve"> </w:t>
      </w:r>
      <w:r>
        <w:rPr>
          <w:i/>
        </w:rPr>
        <w:t>and determine whether to recommend any amendments to the </w:t>
      </w:r>
      <w:hyperlink r:id="rId37">
        <w:r>
          <w:rPr>
            <w:i/>
            <w:u w:val="single"/>
          </w:rPr>
          <w:t>IANA Naming Function Contract</w:t>
        </w:r>
      </w:hyperlink>
      <w:r>
        <w:rPr>
          <w:i/>
        </w:rPr>
        <w:t xml:space="preserve"> and IANA Naming Function SOW to account for the needs of the direct customers of the naming services and/or the community at large.”</w:t>
      </w:r>
    </w:p>
    <w:p w14:paraId="33726F09" w14:textId="77777777" w:rsidR="003F1C8B" w:rsidRDefault="003F1C8B" w:rsidP="003F1C8B">
      <w:pPr>
        <w:pBdr>
          <w:top w:val="nil"/>
          <w:left w:val="nil"/>
          <w:bottom w:val="nil"/>
          <w:right w:val="nil"/>
          <w:between w:val="nil"/>
        </w:pBdr>
        <w:shd w:val="clear" w:color="auto" w:fill="FFFFFF"/>
      </w:pPr>
    </w:p>
    <w:p w14:paraId="481A85BC" w14:textId="77777777" w:rsidR="003F1C8B" w:rsidRDefault="003F1C8B" w:rsidP="003F1C8B">
      <w:pPr>
        <w:pBdr>
          <w:top w:val="nil"/>
          <w:left w:val="nil"/>
          <w:bottom w:val="nil"/>
          <w:right w:val="nil"/>
          <w:between w:val="nil"/>
        </w:pBdr>
        <w:shd w:val="clear" w:color="auto" w:fill="FFFFFF"/>
      </w:pPr>
      <w:r>
        <w:rPr>
          <w:b/>
        </w:rPr>
        <w:t>Objective</w:t>
      </w:r>
    </w:p>
    <w:p w14:paraId="3C89527E" w14:textId="77777777" w:rsidR="003F1C8B" w:rsidRDefault="003F1C8B" w:rsidP="003F1C8B">
      <w:r>
        <w:t xml:space="preserve">Consistent with ICANN’s mission and </w:t>
      </w:r>
      <w:hyperlink r:id="rId38">
        <w:r>
          <w:rPr>
            <w:color w:val="1155CC"/>
            <w:u w:val="single"/>
          </w:rPr>
          <w:t>Bylaws</w:t>
        </w:r>
      </w:hyperlink>
      <w:r>
        <w:t>, Section 18.3(c), and based on the analysis conducted for 18.3.(a) and 18.3.(</w:t>
      </w:r>
      <w:proofErr w:type="spellStart"/>
      <w:r>
        <w:t>i</w:t>
      </w:r>
      <w:proofErr w:type="spellEnd"/>
      <w:r>
        <w:t>) in particular, the review team will review the IANA Naming Function Contract and SOW to determine if the needs of IANA naming customers are fully covered through a review team analysis.</w:t>
      </w:r>
    </w:p>
    <w:p w14:paraId="7B2E7367" w14:textId="77777777" w:rsidR="003F1C8B" w:rsidRDefault="003F1C8B" w:rsidP="003F1C8B">
      <w:pPr>
        <w:pBdr>
          <w:top w:val="nil"/>
          <w:left w:val="nil"/>
          <w:bottom w:val="nil"/>
          <w:right w:val="nil"/>
          <w:between w:val="nil"/>
        </w:pBdr>
        <w:shd w:val="clear" w:color="auto" w:fill="FFFFFF"/>
        <w:rPr>
          <w:sz w:val="24"/>
          <w:szCs w:val="24"/>
        </w:rPr>
      </w:pPr>
    </w:p>
    <w:p w14:paraId="400E2922" w14:textId="77777777" w:rsidR="003F1C8B" w:rsidRDefault="003F1C8B" w:rsidP="003F1C8B">
      <w:pPr>
        <w:pBdr>
          <w:top w:val="nil"/>
          <w:left w:val="nil"/>
          <w:bottom w:val="nil"/>
          <w:right w:val="nil"/>
          <w:between w:val="nil"/>
        </w:pBdr>
        <w:shd w:val="clear" w:color="auto" w:fill="FFFFFF"/>
        <w:rPr>
          <w:sz w:val="24"/>
          <w:szCs w:val="24"/>
        </w:rPr>
      </w:pPr>
      <w:r>
        <w:rPr>
          <w:b/>
          <w:sz w:val="24"/>
          <w:szCs w:val="24"/>
        </w:rPr>
        <w:t>Findings</w:t>
      </w:r>
    </w:p>
    <w:p w14:paraId="7A4CDAC9" w14:textId="77777777" w:rsidR="003F1C8B" w:rsidRDefault="003F1C8B" w:rsidP="003F1C8B">
      <w:pPr>
        <w:pBdr>
          <w:top w:val="nil"/>
          <w:left w:val="nil"/>
          <w:bottom w:val="nil"/>
          <w:right w:val="nil"/>
          <w:between w:val="nil"/>
        </w:pBdr>
        <w:shd w:val="clear" w:color="auto" w:fill="FFFFFF"/>
        <w:rPr>
          <w:sz w:val="24"/>
          <w:szCs w:val="24"/>
        </w:rPr>
      </w:pPr>
      <w:r>
        <w:rPr>
          <w:sz w:val="24"/>
          <w:szCs w:val="24"/>
        </w:rPr>
        <w:t>Please see the table in Appendix B.</w:t>
      </w:r>
    </w:p>
    <w:p w14:paraId="71723E43" w14:textId="77777777" w:rsidR="003F1C8B" w:rsidRDefault="003F1C8B" w:rsidP="003F1C8B">
      <w:pPr>
        <w:pBdr>
          <w:top w:val="nil"/>
          <w:left w:val="nil"/>
          <w:bottom w:val="nil"/>
          <w:right w:val="nil"/>
          <w:between w:val="nil"/>
        </w:pBdr>
        <w:shd w:val="clear" w:color="auto" w:fill="FFFFFF"/>
        <w:rPr>
          <w:sz w:val="24"/>
          <w:szCs w:val="24"/>
        </w:rPr>
      </w:pPr>
    </w:p>
    <w:p w14:paraId="46CB8A19" w14:textId="77777777" w:rsidR="003F1C8B" w:rsidRDefault="003F1C8B" w:rsidP="003F1C8B">
      <w:pPr>
        <w:shd w:val="clear" w:color="auto" w:fill="FFFFFF"/>
      </w:pPr>
      <w:sdt>
        <w:sdtPr>
          <w:tag w:val="goog_rdk_5"/>
          <w:id w:val="1474868594"/>
        </w:sdtPr>
        <w:sdtContent/>
      </w:sdt>
      <w:r>
        <w:rPr>
          <w:b/>
          <w:sz w:val="24"/>
          <w:szCs w:val="24"/>
        </w:rPr>
        <w:t>Recommendations</w:t>
      </w:r>
    </w:p>
    <w:p w14:paraId="097DC15E" w14:textId="57AE83F2" w:rsidR="003F1C8B" w:rsidRPr="003F1C8B" w:rsidRDefault="003F1C8B" w:rsidP="003F1C8B">
      <w:pPr>
        <w:rPr>
          <w:color w:val="FF0000"/>
        </w:rPr>
      </w:pPr>
      <w:r>
        <w:rPr>
          <w:color w:val="FF0000"/>
        </w:rPr>
        <w:t xml:space="preserve">Does the review team agree that </w:t>
      </w:r>
      <w:proofErr w:type="gramStart"/>
      <w:r>
        <w:rPr>
          <w:color w:val="FF0000"/>
        </w:rPr>
        <w:t>all of</w:t>
      </w:r>
      <w:proofErr w:type="gramEnd"/>
      <w:r>
        <w:rPr>
          <w:color w:val="FF0000"/>
        </w:rPr>
        <w:t xml:space="preserve"> the recommendations relate to this objective?</w:t>
      </w:r>
    </w:p>
    <w:p w14:paraId="386FF649" w14:textId="77777777" w:rsidR="003F1C8B" w:rsidRPr="003F1C8B" w:rsidRDefault="003F1C8B" w:rsidP="003F1C8B">
      <w:pPr>
        <w:pStyle w:val="Heading2"/>
        <w:numPr>
          <w:ilvl w:val="0"/>
          <w:numId w:val="0"/>
        </w:numPr>
        <w:ind w:left="1260" w:hanging="1260"/>
      </w:pPr>
      <w:bookmarkStart w:id="51" w:name="_heading=h.ccnl6xh2hym7" w:colFirst="0" w:colLast="0"/>
      <w:bookmarkEnd w:id="51"/>
    </w:p>
    <w:p w14:paraId="3A481EC5" w14:textId="77777777" w:rsidR="003F1C8B" w:rsidRPr="003F1C8B" w:rsidRDefault="003F1C8B" w:rsidP="003F1C8B">
      <w:pPr>
        <w:pStyle w:val="Heading2"/>
      </w:pPr>
      <w:bookmarkStart w:id="52" w:name="_heading=h.3rdcrjn" w:colFirst="0" w:colLast="0"/>
      <w:bookmarkStart w:id="53" w:name="_Toc191310528"/>
      <w:bookmarkEnd w:id="52"/>
      <w:r w:rsidRPr="003F1C8B">
        <w:t>ICANN Bylaws 18.3.(d)</w:t>
      </w:r>
      <w:bookmarkEnd w:id="53"/>
    </w:p>
    <w:p w14:paraId="7BD133A5" w14:textId="77777777" w:rsidR="003F1C8B" w:rsidRDefault="003F1C8B" w:rsidP="003F1C8B">
      <w:pPr>
        <w:pBdr>
          <w:top w:val="nil"/>
          <w:left w:val="nil"/>
          <w:bottom w:val="nil"/>
          <w:right w:val="nil"/>
          <w:between w:val="nil"/>
        </w:pBdr>
        <w:shd w:val="clear" w:color="auto" w:fill="FFFFFF"/>
        <w:rPr>
          <w:i/>
          <w:sz w:val="24"/>
          <w:szCs w:val="24"/>
        </w:rPr>
      </w:pPr>
    </w:p>
    <w:p w14:paraId="23B7371B" w14:textId="77777777" w:rsidR="003F1C8B" w:rsidRDefault="003F1C8B" w:rsidP="003F1C8B">
      <w:pPr>
        <w:pBdr>
          <w:top w:val="nil"/>
          <w:left w:val="nil"/>
          <w:bottom w:val="nil"/>
          <w:right w:val="nil"/>
          <w:between w:val="nil"/>
        </w:pBdr>
        <w:shd w:val="clear" w:color="auto" w:fill="FFFFFF"/>
        <w:rPr>
          <w:i/>
        </w:rPr>
      </w:pPr>
      <w:r>
        <w:rPr>
          <w:i/>
        </w:rPr>
        <w:t>“Review and evaluate the openness and transparency procedures of PTI and any oversight structures for PTI's performance, including reporting requirements and budget transparency.”</w:t>
      </w:r>
    </w:p>
    <w:p w14:paraId="46C9CB85" w14:textId="77777777" w:rsidR="003F1C8B" w:rsidRDefault="003F1C8B" w:rsidP="003F1C8B">
      <w:pPr>
        <w:pBdr>
          <w:top w:val="nil"/>
          <w:left w:val="nil"/>
          <w:bottom w:val="nil"/>
          <w:right w:val="nil"/>
          <w:between w:val="nil"/>
        </w:pBdr>
        <w:shd w:val="clear" w:color="auto" w:fill="FFFFFF"/>
      </w:pPr>
    </w:p>
    <w:p w14:paraId="46917672" w14:textId="77777777" w:rsidR="003F1C8B" w:rsidRDefault="003F1C8B" w:rsidP="003F1C8B">
      <w:pPr>
        <w:pBdr>
          <w:top w:val="nil"/>
          <w:left w:val="nil"/>
          <w:bottom w:val="nil"/>
          <w:right w:val="nil"/>
          <w:between w:val="nil"/>
        </w:pBdr>
        <w:shd w:val="clear" w:color="auto" w:fill="FFFFFF"/>
      </w:pPr>
      <w:r>
        <w:rPr>
          <w:b/>
        </w:rPr>
        <w:t>Objective</w:t>
      </w:r>
    </w:p>
    <w:p w14:paraId="5579D80B" w14:textId="77777777" w:rsidR="003F1C8B" w:rsidRDefault="003F1C8B" w:rsidP="003F1C8B">
      <w:pPr>
        <w:pBdr>
          <w:top w:val="nil"/>
          <w:left w:val="nil"/>
          <w:bottom w:val="nil"/>
          <w:right w:val="nil"/>
          <w:between w:val="nil"/>
        </w:pBdr>
        <w:shd w:val="clear" w:color="auto" w:fill="FFFFFF"/>
      </w:pPr>
      <w:r>
        <w:t xml:space="preserve">Consistent with ICANN’s mission and </w:t>
      </w:r>
      <w:hyperlink r:id="rId39">
        <w:r>
          <w:rPr>
            <w:u w:val="single"/>
          </w:rPr>
          <w:t>Bylaws</w:t>
        </w:r>
      </w:hyperlink>
      <w:r>
        <w:t>, Section 18.3(c), the review team will assess PTI’s procedures while considering any customer feedback on the openness and transparency for such procedures as assessed in 18.3.(a) and (</w:t>
      </w:r>
      <w:proofErr w:type="spellStart"/>
      <w:r>
        <w:t>i</w:t>
      </w:r>
      <w:proofErr w:type="spellEnd"/>
      <w:r>
        <w:t>). The review team considers PTI oversight structures to include, but not exclusive to: Board oversight, management, community committees, and other accountability mechanisms.</w:t>
      </w:r>
    </w:p>
    <w:p w14:paraId="3E61F5AA" w14:textId="77777777" w:rsidR="003F1C8B" w:rsidRDefault="003F1C8B" w:rsidP="003F1C8B">
      <w:pPr>
        <w:pBdr>
          <w:top w:val="nil"/>
          <w:left w:val="nil"/>
          <w:bottom w:val="nil"/>
          <w:right w:val="nil"/>
          <w:between w:val="nil"/>
        </w:pBdr>
        <w:shd w:val="clear" w:color="auto" w:fill="FFFFFF"/>
      </w:pPr>
    </w:p>
    <w:p w14:paraId="4F1A422A" w14:textId="77777777" w:rsidR="003F1C8B" w:rsidRDefault="003F1C8B" w:rsidP="003F1C8B">
      <w:pPr>
        <w:pBdr>
          <w:top w:val="nil"/>
          <w:left w:val="nil"/>
          <w:bottom w:val="nil"/>
          <w:right w:val="nil"/>
          <w:between w:val="nil"/>
        </w:pBdr>
        <w:shd w:val="clear" w:color="auto" w:fill="FFFFFF"/>
        <w:rPr>
          <w:b/>
        </w:rPr>
      </w:pPr>
      <w:r>
        <w:rPr>
          <w:b/>
        </w:rPr>
        <w:t>Findings</w:t>
      </w:r>
    </w:p>
    <w:p w14:paraId="3D692312" w14:textId="77777777" w:rsidR="003F1C8B" w:rsidRDefault="003F1C8B" w:rsidP="003F1C8B">
      <w:pPr>
        <w:pBdr>
          <w:top w:val="nil"/>
          <w:left w:val="nil"/>
          <w:bottom w:val="nil"/>
          <w:right w:val="nil"/>
          <w:between w:val="nil"/>
        </w:pBdr>
        <w:shd w:val="clear" w:color="auto" w:fill="FFFFFF"/>
        <w:rPr>
          <w:b/>
        </w:rPr>
      </w:pPr>
    </w:p>
    <w:p w14:paraId="05732CE7" w14:textId="77777777" w:rsidR="003F1C8B" w:rsidRDefault="003F1C8B" w:rsidP="003F1C8B">
      <w:pPr>
        <w:pBdr>
          <w:top w:val="nil"/>
          <w:left w:val="nil"/>
          <w:bottom w:val="nil"/>
          <w:right w:val="nil"/>
          <w:between w:val="nil"/>
        </w:pBdr>
        <w:shd w:val="clear" w:color="auto" w:fill="FFFFFF"/>
      </w:pPr>
      <w:r>
        <w:t>Following its review of PTI processes, stakeholder feedback, and discussions with PTI staff, the IFRT2 echoes the findings of the first IFRT. PTI operates as autonomously and as transparently as possible:</w:t>
      </w:r>
    </w:p>
    <w:p w14:paraId="2E8E58B6" w14:textId="77777777" w:rsidR="003F1C8B" w:rsidRDefault="003F1C8B" w:rsidP="003F1C8B">
      <w:pPr>
        <w:pBdr>
          <w:top w:val="nil"/>
          <w:left w:val="nil"/>
          <w:bottom w:val="nil"/>
          <w:right w:val="nil"/>
          <w:between w:val="nil"/>
        </w:pBdr>
        <w:shd w:val="clear" w:color="auto" w:fill="FFFFFF"/>
        <w:ind w:left="720" w:hanging="360"/>
      </w:pPr>
      <w:r>
        <w:lastRenderedPageBreak/>
        <w:t>The PTI management team maintains sufficient oversight over operations</w:t>
      </w:r>
    </w:p>
    <w:p w14:paraId="25EDF9D6" w14:textId="77777777" w:rsidR="003F1C8B" w:rsidRDefault="003F1C8B" w:rsidP="003F1C8B">
      <w:pPr>
        <w:pBdr>
          <w:top w:val="nil"/>
          <w:left w:val="nil"/>
          <w:bottom w:val="nil"/>
          <w:right w:val="nil"/>
          <w:between w:val="nil"/>
        </w:pBdr>
        <w:shd w:val="clear" w:color="auto" w:fill="FFFFFF"/>
        <w:ind w:left="720" w:hanging="360"/>
      </w:pPr>
      <w:r>
        <w:t>The PTI Board is administrative and is not engaged in day-to-day operations.</w:t>
      </w:r>
    </w:p>
    <w:p w14:paraId="359657AA" w14:textId="77777777" w:rsidR="003F1C8B" w:rsidRDefault="003F1C8B" w:rsidP="003F1C8B">
      <w:pPr>
        <w:pBdr>
          <w:top w:val="nil"/>
          <w:left w:val="nil"/>
          <w:bottom w:val="nil"/>
          <w:right w:val="nil"/>
          <w:between w:val="nil"/>
        </w:pBdr>
        <w:shd w:val="clear" w:color="auto" w:fill="FFFFFF"/>
        <w:ind w:left="720" w:hanging="360"/>
      </w:pPr>
      <w:r>
        <w:t>The PTI budgeting process is open and transparent with no funding challenges impacting operations or customer service.</w:t>
      </w:r>
    </w:p>
    <w:p w14:paraId="63ADF530" w14:textId="77777777" w:rsidR="003F1C8B" w:rsidRDefault="003F1C8B" w:rsidP="003F1C8B">
      <w:pPr>
        <w:pBdr>
          <w:top w:val="nil"/>
          <w:left w:val="nil"/>
          <w:bottom w:val="nil"/>
          <w:right w:val="nil"/>
          <w:between w:val="nil"/>
        </w:pBdr>
        <w:shd w:val="clear" w:color="auto" w:fill="FFFFFF"/>
        <w:ind w:left="720" w:hanging="360"/>
      </w:pPr>
      <w:r>
        <w:t>There are no observable issues with reporting between CSC and PTI.</w:t>
      </w:r>
    </w:p>
    <w:p w14:paraId="23A429E0" w14:textId="77777777" w:rsidR="003F1C8B" w:rsidRDefault="003F1C8B" w:rsidP="003F1C8B">
      <w:pPr>
        <w:pBdr>
          <w:top w:val="nil"/>
          <w:left w:val="nil"/>
          <w:bottom w:val="nil"/>
          <w:right w:val="nil"/>
          <w:between w:val="nil"/>
        </w:pBdr>
        <w:shd w:val="clear" w:color="auto" w:fill="FFFFFF"/>
        <w:ind w:left="720" w:hanging="360"/>
      </w:pPr>
      <w:r>
        <w:t>The CSC is empowered to execute its oversight function with support from PTI.</w:t>
      </w:r>
    </w:p>
    <w:p w14:paraId="6BE73E61" w14:textId="77777777" w:rsidR="003F1C8B" w:rsidRDefault="003F1C8B" w:rsidP="003F1C8B">
      <w:pPr>
        <w:rPr>
          <w:i/>
        </w:rPr>
      </w:pPr>
    </w:p>
    <w:p w14:paraId="2150FE6F" w14:textId="77777777" w:rsidR="003F1C8B" w:rsidRDefault="003F1C8B" w:rsidP="003F1C8B">
      <w:pPr>
        <w:shd w:val="clear" w:color="auto" w:fill="FFFFFF"/>
      </w:pPr>
      <w:r>
        <w:rPr>
          <w:b/>
        </w:rPr>
        <w:t>Recommendations</w:t>
      </w:r>
    </w:p>
    <w:p w14:paraId="3B3DB115" w14:textId="77777777" w:rsidR="003F1C8B" w:rsidRDefault="003F1C8B" w:rsidP="003F1C8B">
      <w:pPr>
        <w:shd w:val="clear" w:color="auto" w:fill="FFFFFF"/>
      </w:pPr>
      <w:r>
        <w:t>The review team has no recommendations in relation to this section</w:t>
      </w:r>
    </w:p>
    <w:p w14:paraId="48BF346A" w14:textId="77777777" w:rsidR="003F1C8B" w:rsidRDefault="003F1C8B" w:rsidP="003F1C8B">
      <w:pPr>
        <w:shd w:val="clear" w:color="auto" w:fill="FFFFFF"/>
      </w:pPr>
    </w:p>
    <w:p w14:paraId="6A4AB2C7" w14:textId="77777777" w:rsidR="003F1C8B" w:rsidRPr="003F1C8B" w:rsidRDefault="003F1C8B" w:rsidP="003F1C8B">
      <w:pPr>
        <w:pStyle w:val="Heading2"/>
      </w:pPr>
      <w:bookmarkStart w:id="54" w:name="_heading=h.cj8jn08aciko" w:colFirst="0" w:colLast="0"/>
      <w:bookmarkStart w:id="55" w:name="_Toc191310529"/>
      <w:bookmarkEnd w:id="54"/>
      <w:r w:rsidRPr="003F1C8B">
        <w:t>ICANN Bylaws 18.3.(e)</w:t>
      </w:r>
      <w:bookmarkEnd w:id="55"/>
    </w:p>
    <w:p w14:paraId="4EB96830" w14:textId="77777777" w:rsidR="003F1C8B" w:rsidRDefault="003F1C8B" w:rsidP="003F1C8B">
      <w:pPr>
        <w:pBdr>
          <w:top w:val="nil"/>
          <w:left w:val="nil"/>
          <w:bottom w:val="nil"/>
          <w:right w:val="nil"/>
          <w:between w:val="nil"/>
        </w:pBdr>
        <w:shd w:val="clear" w:color="auto" w:fill="FFFFFF"/>
        <w:rPr>
          <w:i/>
          <w:sz w:val="24"/>
          <w:szCs w:val="24"/>
        </w:rPr>
      </w:pPr>
    </w:p>
    <w:p w14:paraId="39DEE8DB" w14:textId="77777777" w:rsidR="003F1C8B" w:rsidRDefault="003F1C8B" w:rsidP="003F1C8B">
      <w:pPr>
        <w:pBdr>
          <w:top w:val="nil"/>
          <w:left w:val="nil"/>
          <w:bottom w:val="nil"/>
          <w:right w:val="nil"/>
          <w:between w:val="nil"/>
        </w:pBdr>
        <w:shd w:val="clear" w:color="auto" w:fill="FFFFFF"/>
        <w:rPr>
          <w:i/>
        </w:rPr>
      </w:pPr>
      <w:r>
        <w:rPr>
          <w:i/>
        </w:rPr>
        <w:t>“Review and evaluate the performance and effectiveness of the Empowered Community (EC) with respect to actions taken by the EC, if any, pursuant to </w:t>
      </w:r>
      <w:r>
        <w:rPr>
          <w:i/>
          <w:u w:val="single"/>
        </w:rPr>
        <w:t>Section 16.2</w:t>
      </w:r>
      <w:r>
        <w:rPr>
          <w:i/>
        </w:rPr>
        <w:t>, </w:t>
      </w:r>
      <w:r>
        <w:rPr>
          <w:i/>
          <w:u w:val="single"/>
        </w:rPr>
        <w:t>Section 18.6</w:t>
      </w:r>
      <w:r>
        <w:rPr>
          <w:i/>
        </w:rPr>
        <w:t>, </w:t>
      </w:r>
      <w:r>
        <w:rPr>
          <w:i/>
          <w:u w:val="single"/>
        </w:rPr>
        <w:t>Section 18.12</w:t>
      </w:r>
      <w:r>
        <w:rPr>
          <w:i/>
        </w:rPr>
        <w:t>, </w:t>
      </w:r>
      <w:r>
        <w:rPr>
          <w:i/>
          <w:u w:val="single"/>
        </w:rPr>
        <w:t>Section 19.1</w:t>
      </w:r>
      <w:r>
        <w:rPr>
          <w:i/>
        </w:rPr>
        <w:t>, </w:t>
      </w:r>
      <w:r>
        <w:rPr>
          <w:i/>
          <w:u w:val="single"/>
        </w:rPr>
        <w:t>Section 19.4</w:t>
      </w:r>
      <w:r>
        <w:rPr>
          <w:i/>
        </w:rPr>
        <w:t>, </w:t>
      </w:r>
      <w:r>
        <w:rPr>
          <w:i/>
          <w:u w:val="single"/>
        </w:rPr>
        <w:t>Section 22.4(b)</w:t>
      </w:r>
      <w:r>
        <w:rPr>
          <w:i/>
        </w:rPr>
        <w:t> and Annex D.”</w:t>
      </w:r>
    </w:p>
    <w:p w14:paraId="3797F738" w14:textId="77777777" w:rsidR="003F1C8B" w:rsidRDefault="003F1C8B" w:rsidP="003F1C8B">
      <w:pPr>
        <w:pBdr>
          <w:top w:val="nil"/>
          <w:left w:val="nil"/>
          <w:bottom w:val="nil"/>
          <w:right w:val="nil"/>
          <w:between w:val="nil"/>
        </w:pBdr>
        <w:shd w:val="clear" w:color="auto" w:fill="FFFFFF"/>
      </w:pPr>
    </w:p>
    <w:p w14:paraId="5BF3FB21" w14:textId="77777777" w:rsidR="003F1C8B" w:rsidRDefault="003F1C8B" w:rsidP="003F1C8B">
      <w:pPr>
        <w:pBdr>
          <w:top w:val="nil"/>
          <w:left w:val="nil"/>
          <w:bottom w:val="nil"/>
          <w:right w:val="nil"/>
          <w:between w:val="nil"/>
        </w:pBdr>
        <w:shd w:val="clear" w:color="auto" w:fill="FFFFFF"/>
        <w:rPr>
          <w:b/>
        </w:rPr>
      </w:pPr>
      <w:r>
        <w:rPr>
          <w:b/>
        </w:rPr>
        <w:t>Objective</w:t>
      </w:r>
    </w:p>
    <w:p w14:paraId="39F60E62" w14:textId="77777777" w:rsidR="003F1C8B" w:rsidRDefault="003F1C8B" w:rsidP="003F1C8B">
      <w:pPr>
        <w:pBdr>
          <w:top w:val="nil"/>
          <w:left w:val="nil"/>
          <w:bottom w:val="nil"/>
          <w:right w:val="nil"/>
          <w:between w:val="nil"/>
        </w:pBdr>
        <w:shd w:val="clear" w:color="auto" w:fill="FFFFFF"/>
      </w:pPr>
      <w:r>
        <w:t>The review team will evaluate the performance and effectiveness of actions taken by the EC in relation to Sections 18.6 and 18.12 as approved by the Board in September 2023 and completed by the EC in November 2023.</w:t>
      </w:r>
    </w:p>
    <w:p w14:paraId="2F92A6EF" w14:textId="77777777" w:rsidR="003F1C8B" w:rsidRDefault="003F1C8B" w:rsidP="003F1C8B">
      <w:pPr>
        <w:pBdr>
          <w:top w:val="nil"/>
          <w:left w:val="nil"/>
          <w:bottom w:val="nil"/>
          <w:right w:val="nil"/>
          <w:between w:val="nil"/>
        </w:pBdr>
        <w:shd w:val="clear" w:color="auto" w:fill="FFFFFF"/>
        <w:rPr>
          <w:b/>
        </w:rPr>
      </w:pPr>
    </w:p>
    <w:p w14:paraId="281AF6CB" w14:textId="77777777" w:rsidR="003F1C8B" w:rsidRDefault="003F1C8B" w:rsidP="003F1C8B">
      <w:pPr>
        <w:pBdr>
          <w:top w:val="nil"/>
          <w:left w:val="nil"/>
          <w:bottom w:val="nil"/>
          <w:right w:val="nil"/>
          <w:between w:val="nil"/>
        </w:pBdr>
        <w:shd w:val="clear" w:color="auto" w:fill="FFFFFF"/>
      </w:pPr>
      <w:r>
        <w:rPr>
          <w:b/>
        </w:rPr>
        <w:t>Findings</w:t>
      </w:r>
    </w:p>
    <w:p w14:paraId="2D7A86AA" w14:textId="77777777" w:rsidR="003F1C8B" w:rsidRDefault="003F1C8B" w:rsidP="003F1C8B">
      <w:pPr>
        <w:shd w:val="clear" w:color="auto" w:fill="FFFFFF"/>
        <w:rPr>
          <w:b/>
        </w:rPr>
      </w:pPr>
      <w:r>
        <w:t>To date, there have been no Empowered Community (EC) actions in relation to Bylaws Sections 16.2, 18.6, 18.12, 19.1, 19.4,22.4(b).</w:t>
      </w:r>
    </w:p>
    <w:p w14:paraId="508CF515" w14:textId="77777777" w:rsidR="003F1C8B" w:rsidRDefault="003F1C8B" w:rsidP="003F1C8B">
      <w:pPr>
        <w:pBdr>
          <w:top w:val="nil"/>
          <w:left w:val="nil"/>
          <w:bottom w:val="nil"/>
          <w:right w:val="nil"/>
          <w:between w:val="nil"/>
        </w:pBdr>
        <w:shd w:val="clear" w:color="auto" w:fill="FFFFFF"/>
        <w:rPr>
          <w:b/>
        </w:rPr>
      </w:pPr>
    </w:p>
    <w:p w14:paraId="4AA311DA" w14:textId="77777777" w:rsidR="003F1C8B" w:rsidRDefault="003F1C8B" w:rsidP="003F1C8B">
      <w:pPr>
        <w:shd w:val="clear" w:color="auto" w:fill="FFFFFF"/>
      </w:pPr>
      <w:r>
        <w:rPr>
          <w:b/>
        </w:rPr>
        <w:t>Recommendations:</w:t>
      </w:r>
    </w:p>
    <w:p w14:paraId="6CF0AF42" w14:textId="77777777" w:rsidR="003F1C8B" w:rsidRDefault="003F1C8B" w:rsidP="003F1C8B">
      <w:pPr>
        <w:shd w:val="clear" w:color="auto" w:fill="FFFFFF"/>
      </w:pPr>
      <w:r>
        <w:t>The review team has no recommendations in relation to this section.</w:t>
      </w:r>
    </w:p>
    <w:p w14:paraId="688079B9" w14:textId="77777777" w:rsidR="003F1C8B" w:rsidRDefault="003F1C8B" w:rsidP="003F1C8B">
      <w:pPr>
        <w:shd w:val="clear" w:color="auto" w:fill="FFFFFF"/>
      </w:pPr>
    </w:p>
    <w:p w14:paraId="23CAAD10" w14:textId="77777777" w:rsidR="003F1C8B" w:rsidRPr="003F1C8B" w:rsidRDefault="003F1C8B" w:rsidP="003F1C8B">
      <w:pPr>
        <w:pStyle w:val="Heading2"/>
      </w:pPr>
      <w:bookmarkStart w:id="56" w:name="_heading=h.lnxbz9" w:colFirst="0" w:colLast="0"/>
      <w:bookmarkStart w:id="57" w:name="_Toc191310530"/>
      <w:bookmarkEnd w:id="56"/>
      <w:r w:rsidRPr="003F1C8B">
        <w:t>ICANN Bylaws 18.3.(f)</w:t>
      </w:r>
      <w:bookmarkEnd w:id="57"/>
    </w:p>
    <w:p w14:paraId="315E0625" w14:textId="77777777" w:rsidR="003F1C8B" w:rsidRDefault="003F1C8B" w:rsidP="003F1C8B">
      <w:pPr>
        <w:pBdr>
          <w:top w:val="nil"/>
          <w:left w:val="nil"/>
          <w:bottom w:val="nil"/>
          <w:right w:val="nil"/>
          <w:between w:val="nil"/>
        </w:pBdr>
        <w:shd w:val="clear" w:color="auto" w:fill="FFFFFF"/>
        <w:rPr>
          <w:i/>
          <w:sz w:val="24"/>
          <w:szCs w:val="24"/>
        </w:rPr>
      </w:pPr>
    </w:p>
    <w:p w14:paraId="7F1E9048" w14:textId="77777777" w:rsidR="003F1C8B" w:rsidRDefault="003F1C8B" w:rsidP="003F1C8B">
      <w:pPr>
        <w:pBdr>
          <w:top w:val="nil"/>
          <w:left w:val="nil"/>
          <w:bottom w:val="nil"/>
          <w:right w:val="nil"/>
          <w:between w:val="nil"/>
        </w:pBdr>
        <w:shd w:val="clear" w:color="auto" w:fill="FFFFFF"/>
        <w:rPr>
          <w:i/>
        </w:rPr>
      </w:pPr>
      <w:r>
        <w:rPr>
          <w:i/>
        </w:rPr>
        <w:t>“Review and evaluate the performance of the IANA naming function according to established service level expectations during the IFR period being reviewed and compared to the immediately preceding Periodic IFR period.”</w:t>
      </w:r>
    </w:p>
    <w:p w14:paraId="52920800" w14:textId="77777777" w:rsidR="003F1C8B" w:rsidRDefault="003F1C8B" w:rsidP="003F1C8B">
      <w:pPr>
        <w:pBdr>
          <w:top w:val="nil"/>
          <w:left w:val="nil"/>
          <w:bottom w:val="nil"/>
          <w:right w:val="nil"/>
          <w:between w:val="nil"/>
        </w:pBdr>
        <w:shd w:val="clear" w:color="auto" w:fill="FFFFFF"/>
      </w:pPr>
    </w:p>
    <w:p w14:paraId="4749CCC7" w14:textId="77777777" w:rsidR="003F1C8B" w:rsidRDefault="003F1C8B" w:rsidP="003F1C8B">
      <w:pPr>
        <w:pBdr>
          <w:top w:val="nil"/>
          <w:left w:val="nil"/>
          <w:bottom w:val="nil"/>
          <w:right w:val="nil"/>
          <w:between w:val="nil"/>
        </w:pBdr>
        <w:shd w:val="clear" w:color="auto" w:fill="FFFFFF"/>
        <w:rPr>
          <w:b/>
        </w:rPr>
      </w:pPr>
      <w:r>
        <w:rPr>
          <w:b/>
        </w:rPr>
        <w:t>Objective</w:t>
      </w:r>
    </w:p>
    <w:p w14:paraId="7541D3E5" w14:textId="77777777" w:rsidR="003F1C8B" w:rsidRDefault="003F1C8B" w:rsidP="003F1C8B">
      <w:pPr>
        <w:pBdr>
          <w:top w:val="nil"/>
          <w:left w:val="nil"/>
          <w:bottom w:val="nil"/>
          <w:right w:val="nil"/>
          <w:between w:val="nil"/>
        </w:pBdr>
        <w:shd w:val="clear" w:color="auto" w:fill="FFFFFF"/>
      </w:pPr>
      <w:r>
        <w:t xml:space="preserve">The review team will review relevant monthly reporting and monitoring tools to evaluate the performance of the IANA naming function according to established service level </w:t>
      </w:r>
      <w:proofErr w:type="gramStart"/>
      <w:r>
        <w:t>expectations, and</w:t>
      </w:r>
      <w:proofErr w:type="gramEnd"/>
      <w:r>
        <w:t xml:space="preserve"> directly evaluate these against the findings from the first IFR.</w:t>
      </w:r>
    </w:p>
    <w:p w14:paraId="796ADDB7" w14:textId="77777777" w:rsidR="003F1C8B" w:rsidRDefault="003F1C8B" w:rsidP="003F1C8B">
      <w:pPr>
        <w:pBdr>
          <w:top w:val="nil"/>
          <w:left w:val="nil"/>
          <w:bottom w:val="nil"/>
          <w:right w:val="nil"/>
          <w:between w:val="nil"/>
        </w:pBdr>
        <w:shd w:val="clear" w:color="auto" w:fill="FFFFFF"/>
        <w:rPr>
          <w:b/>
        </w:rPr>
      </w:pPr>
    </w:p>
    <w:p w14:paraId="13C8BA7B" w14:textId="77777777" w:rsidR="003F1C8B" w:rsidRDefault="003F1C8B" w:rsidP="003F1C8B">
      <w:pPr>
        <w:pBdr>
          <w:top w:val="nil"/>
          <w:left w:val="nil"/>
          <w:bottom w:val="nil"/>
          <w:right w:val="nil"/>
          <w:between w:val="nil"/>
        </w:pBdr>
        <w:shd w:val="clear" w:color="auto" w:fill="FFFFFF"/>
        <w:rPr>
          <w:b/>
        </w:rPr>
      </w:pPr>
      <w:r>
        <w:rPr>
          <w:b/>
        </w:rPr>
        <w:t>Findings</w:t>
      </w:r>
    </w:p>
    <w:p w14:paraId="16A6C40C" w14:textId="77777777" w:rsidR="003F1C8B" w:rsidRDefault="003F1C8B" w:rsidP="003F1C8B">
      <w:pPr>
        <w:pBdr>
          <w:top w:val="nil"/>
          <w:left w:val="nil"/>
          <w:bottom w:val="nil"/>
          <w:right w:val="nil"/>
          <w:between w:val="nil"/>
        </w:pBdr>
        <w:shd w:val="clear" w:color="auto" w:fill="FFFFFF"/>
      </w:pPr>
      <w:r>
        <w:t xml:space="preserve">The IFRT2 reviewed relevant reporting and monitoring tools to evaluate the performance of the IANA naming function. The team notes that none of the IFR1 recommendations would have been reasonably expected to influence these </w:t>
      </w:r>
      <w:proofErr w:type="gramStart"/>
      <w:r>
        <w:t>metrics</w:t>
      </w:r>
      <w:proofErr w:type="gramEnd"/>
      <w:r>
        <w:t xml:space="preserve"> so no comparison was conducted.</w:t>
      </w:r>
    </w:p>
    <w:p w14:paraId="16BBBF27" w14:textId="77777777" w:rsidR="003F1C8B" w:rsidRDefault="003F1C8B" w:rsidP="003F1C8B">
      <w:pPr>
        <w:pBdr>
          <w:top w:val="nil"/>
          <w:left w:val="nil"/>
          <w:bottom w:val="nil"/>
          <w:right w:val="nil"/>
          <w:between w:val="nil"/>
        </w:pBdr>
        <w:shd w:val="clear" w:color="auto" w:fill="FFFFFF"/>
      </w:pPr>
      <w:r>
        <w:t> </w:t>
      </w:r>
    </w:p>
    <w:p w14:paraId="3BA0F6E3" w14:textId="77777777" w:rsidR="003F1C8B" w:rsidRDefault="003F1C8B" w:rsidP="003F1C8B">
      <w:pPr>
        <w:shd w:val="clear" w:color="auto" w:fill="FFFFFF"/>
        <w:rPr>
          <w:b/>
        </w:rPr>
      </w:pPr>
      <w:r>
        <w:rPr>
          <w:b/>
        </w:rPr>
        <w:t>Recommendations</w:t>
      </w:r>
    </w:p>
    <w:p w14:paraId="1FBC3D66" w14:textId="377B5EB7" w:rsidR="003F1C8B" w:rsidRDefault="003F1C8B" w:rsidP="003F1C8B">
      <w:pPr>
        <w:shd w:val="clear" w:color="auto" w:fill="FFFFFF"/>
      </w:pPr>
      <w:r>
        <w:t>There are no recommendations related to this section, although Incidental Finding 3 relates to SLA reporting.</w:t>
      </w:r>
      <w:bookmarkStart w:id="58" w:name="_heading=h.vbkfu06lim9e" w:colFirst="0" w:colLast="0"/>
      <w:bookmarkEnd w:id="58"/>
    </w:p>
    <w:p w14:paraId="37590EDF" w14:textId="77777777" w:rsidR="003F1C8B" w:rsidRPr="003F1C8B" w:rsidRDefault="003F1C8B" w:rsidP="003F1C8B">
      <w:pPr>
        <w:shd w:val="clear" w:color="auto" w:fill="FFFFFF"/>
      </w:pPr>
    </w:p>
    <w:p w14:paraId="138C4321" w14:textId="77777777" w:rsidR="003F1C8B" w:rsidRPr="003F1C8B" w:rsidRDefault="003F1C8B" w:rsidP="003F1C8B">
      <w:pPr>
        <w:pStyle w:val="Heading2"/>
      </w:pPr>
      <w:bookmarkStart w:id="59" w:name="_heading=h.35nkun2" w:colFirst="0" w:colLast="0"/>
      <w:bookmarkStart w:id="60" w:name="_Toc191310531"/>
      <w:bookmarkEnd w:id="59"/>
      <w:r w:rsidRPr="003F1C8B">
        <w:lastRenderedPageBreak/>
        <w:t>ICANN Bylaws 18.3.(g)</w:t>
      </w:r>
      <w:bookmarkEnd w:id="60"/>
    </w:p>
    <w:p w14:paraId="06F81100" w14:textId="77777777" w:rsidR="003F1C8B" w:rsidRDefault="003F1C8B" w:rsidP="003F1C8B">
      <w:pPr>
        <w:pBdr>
          <w:top w:val="nil"/>
          <w:left w:val="nil"/>
          <w:bottom w:val="nil"/>
          <w:right w:val="nil"/>
          <w:between w:val="nil"/>
        </w:pBdr>
        <w:shd w:val="clear" w:color="auto" w:fill="FFFFFF"/>
        <w:rPr>
          <w:i/>
          <w:sz w:val="24"/>
          <w:szCs w:val="24"/>
        </w:rPr>
      </w:pPr>
    </w:p>
    <w:p w14:paraId="75B0CF77" w14:textId="77777777" w:rsidR="003F1C8B" w:rsidRDefault="003F1C8B" w:rsidP="003F1C8B">
      <w:pPr>
        <w:pBdr>
          <w:top w:val="nil"/>
          <w:left w:val="nil"/>
          <w:bottom w:val="nil"/>
          <w:right w:val="nil"/>
          <w:between w:val="nil"/>
        </w:pBdr>
        <w:shd w:val="clear" w:color="auto" w:fill="FFFFFF"/>
        <w:rPr>
          <w:i/>
        </w:rPr>
      </w:pPr>
      <w:r>
        <w:rPr>
          <w:i/>
        </w:rPr>
        <w:t>“Review and evaluate whether there are any systemic issues that are impacting PTI's performance under the IANA Naming Function Contract and IANA Naming Function SOW.”</w:t>
      </w:r>
    </w:p>
    <w:p w14:paraId="1B13F75A" w14:textId="77777777" w:rsidR="003F1C8B" w:rsidRDefault="003F1C8B" w:rsidP="003F1C8B">
      <w:pPr>
        <w:pBdr>
          <w:top w:val="nil"/>
          <w:left w:val="nil"/>
          <w:bottom w:val="nil"/>
          <w:right w:val="nil"/>
          <w:between w:val="nil"/>
        </w:pBdr>
        <w:shd w:val="clear" w:color="auto" w:fill="FFFFFF"/>
      </w:pPr>
    </w:p>
    <w:p w14:paraId="6804F98E" w14:textId="77777777" w:rsidR="003F1C8B" w:rsidRDefault="003F1C8B" w:rsidP="003F1C8B">
      <w:pPr>
        <w:pBdr>
          <w:top w:val="nil"/>
          <w:left w:val="nil"/>
          <w:bottom w:val="nil"/>
          <w:right w:val="nil"/>
          <w:between w:val="nil"/>
        </w:pBdr>
        <w:shd w:val="clear" w:color="auto" w:fill="FFFFFF"/>
      </w:pPr>
      <w:r>
        <w:rPr>
          <w:b/>
        </w:rPr>
        <w:t>Objective</w:t>
      </w:r>
    </w:p>
    <w:p w14:paraId="21E6AFD4" w14:textId="77777777" w:rsidR="003F1C8B" w:rsidRDefault="003F1C8B" w:rsidP="003F1C8B">
      <w:pPr>
        <w:pBdr>
          <w:top w:val="nil"/>
          <w:left w:val="nil"/>
          <w:bottom w:val="nil"/>
          <w:right w:val="nil"/>
          <w:between w:val="nil"/>
        </w:pBdr>
        <w:shd w:val="clear" w:color="auto" w:fill="FFFFFF"/>
      </w:pPr>
      <w:r>
        <w:t xml:space="preserve">Consistent with ICANN’s mission and </w:t>
      </w:r>
      <w:hyperlink r:id="rId40">
        <w:r>
          <w:rPr>
            <w:u w:val="single"/>
          </w:rPr>
          <w:t>Bylaws</w:t>
        </w:r>
      </w:hyperlink>
      <w:r>
        <w:t>, Section 18.3(g), the IFRT will review any complaints and escalations to IANA to evaluate if there are any systemic and/or recurring issues, while also considering input from the community.</w:t>
      </w:r>
    </w:p>
    <w:p w14:paraId="29F4196E" w14:textId="77777777" w:rsidR="003F1C8B" w:rsidRDefault="003F1C8B" w:rsidP="003F1C8B">
      <w:pPr>
        <w:pBdr>
          <w:top w:val="nil"/>
          <w:left w:val="nil"/>
          <w:bottom w:val="nil"/>
          <w:right w:val="nil"/>
          <w:between w:val="nil"/>
        </w:pBdr>
        <w:shd w:val="clear" w:color="auto" w:fill="FFFFFF"/>
      </w:pPr>
      <w:r>
        <w:t> </w:t>
      </w:r>
    </w:p>
    <w:p w14:paraId="14805A65" w14:textId="77777777" w:rsidR="003F1C8B" w:rsidRDefault="003F1C8B" w:rsidP="003F1C8B">
      <w:pPr>
        <w:pBdr>
          <w:top w:val="nil"/>
          <w:left w:val="nil"/>
          <w:bottom w:val="nil"/>
          <w:right w:val="nil"/>
          <w:between w:val="nil"/>
        </w:pBdr>
        <w:shd w:val="clear" w:color="auto" w:fill="FFFFFF"/>
        <w:rPr>
          <w:b/>
        </w:rPr>
      </w:pPr>
      <w:r>
        <w:rPr>
          <w:b/>
        </w:rPr>
        <w:t>Findings</w:t>
      </w:r>
    </w:p>
    <w:p w14:paraId="1B188878" w14:textId="77777777" w:rsidR="003F1C8B" w:rsidRDefault="003F1C8B" w:rsidP="003F1C8B">
      <w:pPr>
        <w:pBdr>
          <w:top w:val="nil"/>
          <w:left w:val="nil"/>
          <w:bottom w:val="nil"/>
          <w:right w:val="nil"/>
          <w:between w:val="nil"/>
        </w:pBdr>
        <w:shd w:val="clear" w:color="auto" w:fill="FFFFFF"/>
      </w:pPr>
      <w:r>
        <w:t>Table 3 lays out the review materials considered during the review period. The review team briefed the Registry Stakeholder Group (</w:t>
      </w:r>
      <w:proofErr w:type="spellStart"/>
      <w:r>
        <w:t>RySG</w:t>
      </w:r>
      <w:proofErr w:type="spellEnd"/>
      <w:r>
        <w:t xml:space="preserve">) and held an Open Review Team Meeting (November 13) at ICANN81 where the review team provided an update on the review and sought feedback from the </w:t>
      </w:r>
      <w:proofErr w:type="spellStart"/>
      <w:r>
        <w:t>RySG</w:t>
      </w:r>
      <w:proofErr w:type="spellEnd"/>
      <w:r>
        <w:t xml:space="preserve"> on the following questions:</w:t>
      </w:r>
    </w:p>
    <w:p w14:paraId="17382AC7" w14:textId="77777777" w:rsidR="003F1C8B" w:rsidRDefault="003F1C8B" w:rsidP="003F1C8B">
      <w:pPr>
        <w:shd w:val="clear" w:color="auto" w:fill="FFFFFF"/>
      </w:pPr>
    </w:p>
    <w:p w14:paraId="60CDDD32" w14:textId="77777777" w:rsidR="003F1C8B" w:rsidRDefault="003F1C8B" w:rsidP="003F1C8B">
      <w:pPr>
        <w:numPr>
          <w:ilvl w:val="0"/>
          <w:numId w:val="26"/>
        </w:numPr>
        <w:shd w:val="clear" w:color="auto" w:fill="FFFFFF"/>
      </w:pPr>
      <w:r>
        <w:t>Is PTI’s performance meeting members’ needs?</w:t>
      </w:r>
    </w:p>
    <w:p w14:paraId="54ABBD40" w14:textId="77777777" w:rsidR="003F1C8B" w:rsidRDefault="003F1C8B" w:rsidP="003F1C8B">
      <w:pPr>
        <w:numPr>
          <w:ilvl w:val="0"/>
          <w:numId w:val="26"/>
        </w:numPr>
        <w:shd w:val="clear" w:color="auto" w:fill="FFFFFF"/>
      </w:pPr>
      <w:r>
        <w:t>Do members experience any systemic issues</w:t>
      </w:r>
    </w:p>
    <w:p w14:paraId="5B882447" w14:textId="77777777" w:rsidR="003F1C8B" w:rsidRDefault="003F1C8B" w:rsidP="003F1C8B">
      <w:pPr>
        <w:numPr>
          <w:ilvl w:val="0"/>
          <w:numId w:val="26"/>
        </w:numPr>
        <w:shd w:val="clear" w:color="auto" w:fill="FFFFFF"/>
      </w:pPr>
      <w:r>
        <w:t>Do the IANA Naming Function contract and SOW meet their needs?</w:t>
      </w:r>
      <w:r>
        <w:rPr>
          <w:vertAlign w:val="superscript"/>
        </w:rPr>
        <w:footnoteReference w:id="14"/>
      </w:r>
    </w:p>
    <w:p w14:paraId="10E4A471" w14:textId="77777777" w:rsidR="003F1C8B" w:rsidRDefault="003F1C8B" w:rsidP="003F1C8B">
      <w:pPr>
        <w:pBdr>
          <w:top w:val="nil"/>
          <w:left w:val="nil"/>
          <w:bottom w:val="nil"/>
          <w:right w:val="nil"/>
          <w:between w:val="nil"/>
        </w:pBdr>
        <w:shd w:val="clear" w:color="auto" w:fill="FFFFFF"/>
      </w:pPr>
    </w:p>
    <w:p w14:paraId="2E854510" w14:textId="77777777" w:rsidR="003F1C8B" w:rsidRDefault="003F1C8B" w:rsidP="003F1C8B">
      <w:pPr>
        <w:shd w:val="clear" w:color="auto" w:fill="FFFFFF"/>
        <w:rPr>
          <w:b/>
        </w:rPr>
      </w:pPr>
    </w:p>
    <w:p w14:paraId="49B751A0" w14:textId="77777777" w:rsidR="003F1C8B" w:rsidRDefault="003F1C8B" w:rsidP="003F1C8B">
      <w:pPr>
        <w:shd w:val="clear" w:color="auto" w:fill="FFFFFF"/>
        <w:rPr>
          <w:b/>
        </w:rPr>
      </w:pPr>
      <w:r>
        <w:rPr>
          <w:b/>
        </w:rPr>
        <w:t>Recommendations</w:t>
      </w:r>
    </w:p>
    <w:p w14:paraId="18C346A9" w14:textId="77777777" w:rsidR="003F1C8B" w:rsidRDefault="003F1C8B" w:rsidP="003F1C8B">
      <w:pPr>
        <w:shd w:val="clear" w:color="auto" w:fill="FFFFFF"/>
      </w:pPr>
      <w:r>
        <w:t>There are no recommendations related to this section.</w:t>
      </w:r>
    </w:p>
    <w:p w14:paraId="167A8B94" w14:textId="77777777" w:rsidR="003F1C8B" w:rsidRDefault="003F1C8B" w:rsidP="003F1C8B"/>
    <w:p w14:paraId="7649597F" w14:textId="77777777" w:rsidR="003F1C8B" w:rsidRPr="003F1C8B" w:rsidRDefault="003F1C8B" w:rsidP="003F1C8B">
      <w:pPr>
        <w:pStyle w:val="Heading2"/>
      </w:pPr>
      <w:bookmarkStart w:id="61" w:name="_heading=h.1ksv4uv" w:colFirst="0" w:colLast="0"/>
      <w:bookmarkStart w:id="62" w:name="_Toc191310532"/>
      <w:bookmarkEnd w:id="61"/>
      <w:r w:rsidRPr="003F1C8B">
        <w:t>ICANN Bylaws 18.3.(h)</w:t>
      </w:r>
      <w:bookmarkEnd w:id="62"/>
    </w:p>
    <w:p w14:paraId="76FB47D5" w14:textId="77777777" w:rsidR="003F1C8B" w:rsidRDefault="003F1C8B" w:rsidP="003F1C8B">
      <w:pPr>
        <w:pBdr>
          <w:top w:val="nil"/>
          <w:left w:val="nil"/>
          <w:bottom w:val="nil"/>
          <w:right w:val="nil"/>
          <w:between w:val="nil"/>
        </w:pBdr>
        <w:shd w:val="clear" w:color="auto" w:fill="FFFFFF"/>
        <w:rPr>
          <w:i/>
          <w:sz w:val="24"/>
          <w:szCs w:val="24"/>
        </w:rPr>
      </w:pPr>
    </w:p>
    <w:p w14:paraId="20FFA965" w14:textId="77777777" w:rsidR="003F1C8B" w:rsidRDefault="003F1C8B" w:rsidP="003F1C8B">
      <w:pPr>
        <w:pBdr>
          <w:top w:val="nil"/>
          <w:left w:val="nil"/>
          <w:bottom w:val="nil"/>
          <w:right w:val="nil"/>
          <w:between w:val="nil"/>
        </w:pBdr>
        <w:shd w:val="clear" w:color="auto" w:fill="FFFFFF"/>
        <w:rPr>
          <w:i/>
        </w:rPr>
      </w:pPr>
      <w:r>
        <w:rPr>
          <w:i/>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14:paraId="0B125AA4" w14:textId="77777777" w:rsidR="003F1C8B" w:rsidRDefault="003F1C8B" w:rsidP="003F1C8B">
      <w:pPr>
        <w:pBdr>
          <w:top w:val="nil"/>
          <w:left w:val="nil"/>
          <w:bottom w:val="nil"/>
          <w:right w:val="nil"/>
          <w:between w:val="nil"/>
        </w:pBdr>
        <w:shd w:val="clear" w:color="auto" w:fill="FFFFFF"/>
      </w:pPr>
    </w:p>
    <w:p w14:paraId="5A2BFBFA" w14:textId="77777777" w:rsidR="003F1C8B" w:rsidRDefault="003F1C8B" w:rsidP="003F1C8B">
      <w:pPr>
        <w:pBdr>
          <w:top w:val="nil"/>
          <w:left w:val="nil"/>
          <w:bottom w:val="nil"/>
          <w:right w:val="nil"/>
          <w:between w:val="nil"/>
        </w:pBdr>
        <w:shd w:val="clear" w:color="auto" w:fill="FFFFFF"/>
      </w:pPr>
      <w:r>
        <w:rPr>
          <w:b/>
        </w:rPr>
        <w:t>Objective</w:t>
      </w:r>
    </w:p>
    <w:p w14:paraId="646E7AB6" w14:textId="77777777" w:rsidR="003F1C8B" w:rsidRDefault="003F1C8B" w:rsidP="003F1C8B">
      <w:pPr>
        <w:pBdr>
          <w:top w:val="nil"/>
          <w:left w:val="nil"/>
          <w:bottom w:val="nil"/>
          <w:right w:val="nil"/>
          <w:between w:val="nil"/>
        </w:pBdr>
        <w:shd w:val="clear" w:color="auto" w:fill="FFFFFF"/>
      </w:pPr>
      <w:r>
        <w:t>Consistent with ICANN’s mission and Bylaws, Section 18.3(h), the review team will solicit input from the community on PTI’s performance though such means as holding consultations with the community; a Public Comment period such as for an Initial Draft; and other methods that the review team deems appropriate.</w:t>
      </w:r>
    </w:p>
    <w:p w14:paraId="7D669099" w14:textId="77777777" w:rsidR="003F1C8B" w:rsidRDefault="003F1C8B" w:rsidP="003F1C8B">
      <w:pPr>
        <w:pBdr>
          <w:top w:val="nil"/>
          <w:left w:val="nil"/>
          <w:bottom w:val="nil"/>
          <w:right w:val="nil"/>
          <w:between w:val="nil"/>
        </w:pBdr>
        <w:shd w:val="clear" w:color="auto" w:fill="FFFFFF"/>
      </w:pPr>
    </w:p>
    <w:p w14:paraId="62C640C8" w14:textId="77777777" w:rsidR="003F1C8B" w:rsidRDefault="003F1C8B" w:rsidP="003F1C8B">
      <w:pPr>
        <w:pBdr>
          <w:top w:val="nil"/>
          <w:left w:val="nil"/>
          <w:bottom w:val="nil"/>
          <w:right w:val="nil"/>
          <w:between w:val="nil"/>
        </w:pBdr>
        <w:shd w:val="clear" w:color="auto" w:fill="FFFFFF"/>
      </w:pPr>
      <w:r>
        <w:rPr>
          <w:b/>
        </w:rPr>
        <w:t>Findings</w:t>
      </w:r>
    </w:p>
    <w:p w14:paraId="6AB01497" w14:textId="77777777" w:rsidR="003F1C8B" w:rsidRDefault="003F1C8B" w:rsidP="003F1C8B">
      <w:pPr>
        <w:shd w:val="clear" w:color="auto" w:fill="FFFFFF"/>
      </w:pPr>
      <w:r>
        <w:t>The review team briefed the Registry Stakeholder Group (</w:t>
      </w:r>
      <w:proofErr w:type="spellStart"/>
      <w:r>
        <w:t>RySG</w:t>
      </w:r>
      <w:proofErr w:type="spellEnd"/>
      <w:r>
        <w:t xml:space="preserve">) and held an Open Review Team Meeting (November 13) at ICANN81 where the review team provided an update on the review and sought feedback from the </w:t>
      </w:r>
      <w:proofErr w:type="spellStart"/>
      <w:r>
        <w:t>RySG</w:t>
      </w:r>
      <w:proofErr w:type="spellEnd"/>
      <w:r>
        <w:t xml:space="preserve"> on the following questions:</w:t>
      </w:r>
    </w:p>
    <w:p w14:paraId="0012E031" w14:textId="77777777" w:rsidR="003F1C8B" w:rsidRDefault="003F1C8B" w:rsidP="003F1C8B">
      <w:pPr>
        <w:shd w:val="clear" w:color="auto" w:fill="FFFFFF"/>
      </w:pPr>
    </w:p>
    <w:p w14:paraId="6F2F6A86" w14:textId="77777777" w:rsidR="003F1C8B" w:rsidRDefault="003F1C8B" w:rsidP="003F1C8B">
      <w:pPr>
        <w:numPr>
          <w:ilvl w:val="0"/>
          <w:numId w:val="26"/>
        </w:numPr>
        <w:shd w:val="clear" w:color="auto" w:fill="FFFFFF"/>
      </w:pPr>
      <w:r>
        <w:t>Is PTI’s performance meeting members’ needs?</w:t>
      </w:r>
    </w:p>
    <w:p w14:paraId="091695C3" w14:textId="77777777" w:rsidR="003F1C8B" w:rsidRDefault="003F1C8B" w:rsidP="003F1C8B">
      <w:pPr>
        <w:numPr>
          <w:ilvl w:val="0"/>
          <w:numId w:val="26"/>
        </w:numPr>
        <w:shd w:val="clear" w:color="auto" w:fill="FFFFFF"/>
      </w:pPr>
      <w:r>
        <w:t>Do members experience any systemic issues</w:t>
      </w:r>
    </w:p>
    <w:p w14:paraId="427C1D5A" w14:textId="77777777" w:rsidR="003F1C8B" w:rsidRDefault="003F1C8B" w:rsidP="003F1C8B">
      <w:pPr>
        <w:numPr>
          <w:ilvl w:val="0"/>
          <w:numId w:val="26"/>
        </w:numPr>
        <w:shd w:val="clear" w:color="auto" w:fill="FFFFFF"/>
      </w:pPr>
      <w:r>
        <w:t>Do the IANA Naming Function contract and SOW meet their needs?</w:t>
      </w:r>
      <w:r>
        <w:rPr>
          <w:vertAlign w:val="superscript"/>
        </w:rPr>
        <w:footnoteReference w:id="15"/>
      </w:r>
    </w:p>
    <w:p w14:paraId="2E7ED26C" w14:textId="77777777" w:rsidR="003F1C8B" w:rsidRDefault="003F1C8B" w:rsidP="003F1C8B">
      <w:pPr>
        <w:pBdr>
          <w:top w:val="nil"/>
          <w:left w:val="nil"/>
          <w:bottom w:val="nil"/>
          <w:right w:val="nil"/>
          <w:between w:val="nil"/>
        </w:pBdr>
        <w:shd w:val="clear" w:color="auto" w:fill="FFFFFF"/>
        <w:rPr>
          <w:color w:val="FF0000"/>
        </w:rPr>
      </w:pPr>
    </w:p>
    <w:p w14:paraId="525B5313" w14:textId="77777777" w:rsidR="003F1C8B" w:rsidRDefault="003F1C8B" w:rsidP="003F1C8B">
      <w:pPr>
        <w:pBdr>
          <w:top w:val="nil"/>
          <w:left w:val="nil"/>
          <w:bottom w:val="nil"/>
          <w:right w:val="nil"/>
          <w:between w:val="nil"/>
        </w:pBdr>
        <w:shd w:val="clear" w:color="auto" w:fill="FFFFFF"/>
      </w:pPr>
      <w:r>
        <w:lastRenderedPageBreak/>
        <w:t xml:space="preserve">This Draft Report is being released for public comments at this time and further updates will be added to this section. </w:t>
      </w:r>
    </w:p>
    <w:p w14:paraId="148ED194" w14:textId="77777777" w:rsidR="003F1C8B" w:rsidRDefault="003F1C8B" w:rsidP="003F1C8B">
      <w:pPr>
        <w:pBdr>
          <w:top w:val="nil"/>
          <w:left w:val="nil"/>
          <w:bottom w:val="nil"/>
          <w:right w:val="nil"/>
          <w:between w:val="nil"/>
        </w:pBdr>
        <w:shd w:val="clear" w:color="auto" w:fill="FFFFFF"/>
      </w:pPr>
    </w:p>
    <w:p w14:paraId="460ACDCB" w14:textId="77777777" w:rsidR="003F1C8B" w:rsidRDefault="003F1C8B" w:rsidP="003F1C8B">
      <w:pPr>
        <w:shd w:val="clear" w:color="auto" w:fill="FFFFFF"/>
        <w:rPr>
          <w:b/>
        </w:rPr>
      </w:pPr>
      <w:r>
        <w:rPr>
          <w:b/>
        </w:rPr>
        <w:t>Recommendations</w:t>
      </w:r>
    </w:p>
    <w:p w14:paraId="2785B2F9" w14:textId="77777777" w:rsidR="003F1C8B" w:rsidRDefault="003F1C8B" w:rsidP="003F1C8B">
      <w:pPr>
        <w:shd w:val="clear" w:color="auto" w:fill="FFFFFF"/>
        <w:rPr>
          <w:b/>
        </w:rPr>
      </w:pPr>
      <w:r>
        <w:t>There are no recommendations related to this section.</w:t>
      </w:r>
    </w:p>
    <w:p w14:paraId="4F2FC635" w14:textId="77777777" w:rsidR="003F1C8B" w:rsidRDefault="003F1C8B" w:rsidP="003F1C8B"/>
    <w:p w14:paraId="76D3D197" w14:textId="77777777" w:rsidR="003F1C8B" w:rsidRPr="003F1C8B" w:rsidRDefault="003F1C8B" w:rsidP="003F1C8B">
      <w:pPr>
        <w:pStyle w:val="Heading2"/>
      </w:pPr>
      <w:bookmarkStart w:id="63" w:name="_heading=h.44sinio" w:colFirst="0" w:colLast="0"/>
      <w:bookmarkStart w:id="64" w:name="_Toc191310533"/>
      <w:bookmarkEnd w:id="63"/>
      <w:r w:rsidRPr="003F1C8B">
        <w:t>ICANN Bylaws 18.3.(</w:t>
      </w:r>
      <w:proofErr w:type="spellStart"/>
      <w:r w:rsidRPr="003F1C8B">
        <w:t>i</w:t>
      </w:r>
      <w:proofErr w:type="spellEnd"/>
      <w:r w:rsidRPr="003F1C8B">
        <w:t>)</w:t>
      </w:r>
      <w:bookmarkEnd w:id="64"/>
    </w:p>
    <w:p w14:paraId="371C951A" w14:textId="77777777" w:rsidR="003F1C8B" w:rsidRDefault="003F1C8B" w:rsidP="003F1C8B">
      <w:pPr>
        <w:pBdr>
          <w:top w:val="nil"/>
          <w:left w:val="nil"/>
          <w:bottom w:val="nil"/>
          <w:right w:val="nil"/>
          <w:between w:val="nil"/>
        </w:pBdr>
        <w:shd w:val="clear" w:color="auto" w:fill="FFFFFF"/>
        <w:rPr>
          <w:i/>
          <w:sz w:val="24"/>
          <w:szCs w:val="24"/>
        </w:rPr>
      </w:pPr>
    </w:p>
    <w:p w14:paraId="5E90DB0A" w14:textId="77777777" w:rsidR="003F1C8B" w:rsidRDefault="003F1C8B" w:rsidP="003F1C8B">
      <w:pPr>
        <w:pBdr>
          <w:top w:val="nil"/>
          <w:left w:val="nil"/>
          <w:bottom w:val="nil"/>
          <w:right w:val="nil"/>
          <w:between w:val="nil"/>
        </w:pBdr>
        <w:shd w:val="clear" w:color="auto" w:fill="FFFFFF"/>
        <w:rPr>
          <w:i/>
        </w:rPr>
      </w:pPr>
      <w:r>
        <w:rPr>
          <w:i/>
        </w:rPr>
        <w:t>“Consider input from the CSC and the community on PTI's performance under the IANA Naming Function Contract and IANA Naming Function SOW.”</w:t>
      </w:r>
    </w:p>
    <w:p w14:paraId="762FEB3E" w14:textId="77777777" w:rsidR="003F1C8B" w:rsidRDefault="003F1C8B" w:rsidP="003F1C8B">
      <w:pPr>
        <w:pBdr>
          <w:top w:val="nil"/>
          <w:left w:val="nil"/>
          <w:bottom w:val="nil"/>
          <w:right w:val="nil"/>
          <w:between w:val="nil"/>
        </w:pBdr>
        <w:shd w:val="clear" w:color="auto" w:fill="FFFFFF"/>
      </w:pPr>
    </w:p>
    <w:p w14:paraId="276096D8" w14:textId="77777777" w:rsidR="003F1C8B" w:rsidRDefault="003F1C8B" w:rsidP="003F1C8B">
      <w:pPr>
        <w:pBdr>
          <w:top w:val="nil"/>
          <w:left w:val="nil"/>
          <w:bottom w:val="nil"/>
          <w:right w:val="nil"/>
          <w:between w:val="nil"/>
        </w:pBdr>
        <w:shd w:val="clear" w:color="auto" w:fill="FFFFFF"/>
        <w:rPr>
          <w:i/>
        </w:rPr>
      </w:pPr>
      <w:r>
        <w:rPr>
          <w:b/>
        </w:rPr>
        <w:t>Objective</w:t>
      </w:r>
    </w:p>
    <w:p w14:paraId="3F87B6E8" w14:textId="77777777" w:rsidR="003F1C8B" w:rsidRDefault="003F1C8B" w:rsidP="003F1C8B">
      <w:pPr>
        <w:pBdr>
          <w:top w:val="nil"/>
          <w:left w:val="nil"/>
          <w:bottom w:val="nil"/>
          <w:right w:val="nil"/>
          <w:between w:val="nil"/>
        </w:pBdr>
        <w:shd w:val="clear" w:color="auto" w:fill="FFFFFF"/>
      </w:pPr>
      <w:r>
        <w:t>Consistent with ICANN’s mission and Bylaws, Section 18.3(</w:t>
      </w:r>
      <w:proofErr w:type="spellStart"/>
      <w:r>
        <w:t>i</w:t>
      </w:r>
      <w:proofErr w:type="spellEnd"/>
      <w:r>
        <w:t>), the review team will discuss PTI’s performance with the Customer Standing Committee (CSC) and solicit input from the community through such means as holding consultations with the community; a Public Comment period such as for an Initial Draft; and other methods that the review team deems appropriate.</w:t>
      </w:r>
    </w:p>
    <w:p w14:paraId="5480C556" w14:textId="77777777" w:rsidR="003F1C8B" w:rsidRDefault="003F1C8B" w:rsidP="003F1C8B">
      <w:pPr>
        <w:pBdr>
          <w:top w:val="nil"/>
          <w:left w:val="nil"/>
          <w:bottom w:val="nil"/>
          <w:right w:val="nil"/>
          <w:between w:val="nil"/>
        </w:pBdr>
        <w:shd w:val="clear" w:color="auto" w:fill="FFFFFF"/>
      </w:pPr>
      <w:r>
        <w:t> </w:t>
      </w:r>
    </w:p>
    <w:p w14:paraId="6B1F5306" w14:textId="77777777" w:rsidR="003F1C8B" w:rsidRDefault="003F1C8B" w:rsidP="003F1C8B">
      <w:pPr>
        <w:pBdr>
          <w:top w:val="nil"/>
          <w:left w:val="nil"/>
          <w:bottom w:val="nil"/>
          <w:right w:val="nil"/>
          <w:between w:val="nil"/>
        </w:pBdr>
        <w:shd w:val="clear" w:color="auto" w:fill="FFFFFF"/>
      </w:pPr>
      <w:r>
        <w:rPr>
          <w:b/>
        </w:rPr>
        <w:t>Findings</w:t>
      </w:r>
    </w:p>
    <w:p w14:paraId="2BC104C4" w14:textId="77777777" w:rsidR="003F1C8B" w:rsidRDefault="003F1C8B" w:rsidP="003F1C8B">
      <w:pPr>
        <w:pBdr>
          <w:top w:val="nil"/>
          <w:left w:val="nil"/>
          <w:bottom w:val="nil"/>
          <w:right w:val="nil"/>
          <w:between w:val="nil"/>
        </w:pBdr>
        <w:shd w:val="clear" w:color="auto" w:fill="FFFFFF"/>
      </w:pPr>
    </w:p>
    <w:p w14:paraId="26E0A926" w14:textId="77777777" w:rsidR="003F1C8B" w:rsidRDefault="003F1C8B" w:rsidP="003F1C8B">
      <w:pPr>
        <w:shd w:val="clear" w:color="auto" w:fill="FFFFFF"/>
        <w:rPr>
          <w:color w:val="FF0000"/>
        </w:rPr>
      </w:pPr>
      <w:r>
        <w:t xml:space="preserve">This Draft Report is being released for public comments at this time and further updates will be added to this section. </w:t>
      </w:r>
      <w:r>
        <w:rPr>
          <w:color w:val="FF0000"/>
        </w:rPr>
        <w:t>Please could someone (Brett?) provide additional commentary about how/where/when we sought input from CSC?</w:t>
      </w:r>
    </w:p>
    <w:p w14:paraId="13C5D765" w14:textId="77777777" w:rsidR="003F1C8B" w:rsidRDefault="003F1C8B" w:rsidP="003F1C8B">
      <w:pPr>
        <w:shd w:val="clear" w:color="auto" w:fill="FFFFFF"/>
      </w:pPr>
    </w:p>
    <w:p w14:paraId="27E50733" w14:textId="77777777" w:rsidR="003F1C8B" w:rsidRDefault="003F1C8B" w:rsidP="003F1C8B">
      <w:pPr>
        <w:shd w:val="clear" w:color="auto" w:fill="FFFFFF"/>
      </w:pPr>
      <w:r>
        <w:rPr>
          <w:b/>
        </w:rPr>
        <w:t>Recommendations</w:t>
      </w:r>
    </w:p>
    <w:p w14:paraId="1851EA46" w14:textId="77777777" w:rsidR="003F1C8B" w:rsidRDefault="003F1C8B" w:rsidP="003F1C8B">
      <w:pPr>
        <w:shd w:val="clear" w:color="auto" w:fill="FFFFFF"/>
      </w:pPr>
      <w:r>
        <w:t>There are no recommendations related to this section.</w:t>
      </w:r>
    </w:p>
    <w:p w14:paraId="1995427E" w14:textId="77777777" w:rsidR="003F1C8B" w:rsidRDefault="003F1C8B" w:rsidP="003F1C8B">
      <w:pPr>
        <w:shd w:val="clear" w:color="auto" w:fill="FFFFFF"/>
      </w:pPr>
    </w:p>
    <w:p w14:paraId="0E24A50F" w14:textId="5D08B666" w:rsidR="003F1C8B" w:rsidRPr="003F1C8B" w:rsidRDefault="003F1C8B" w:rsidP="003F1C8B">
      <w:pPr>
        <w:pStyle w:val="Heading2"/>
      </w:pPr>
      <w:bookmarkStart w:id="65" w:name="_heading=h.2jxsxqh" w:colFirst="0" w:colLast="0"/>
      <w:bookmarkEnd w:id="65"/>
      <w:r w:rsidRPr="003F1C8B">
        <w:t xml:space="preserve"> </w:t>
      </w:r>
      <w:bookmarkStart w:id="66" w:name="_Toc191310534"/>
      <w:r w:rsidRPr="003F1C8B">
        <w:t>ICANN Bylaws 18.3.(j)</w:t>
      </w:r>
      <w:bookmarkEnd w:id="66"/>
    </w:p>
    <w:p w14:paraId="2EDCD64A" w14:textId="77777777" w:rsidR="003F1C8B" w:rsidRDefault="003F1C8B" w:rsidP="003F1C8B">
      <w:pPr>
        <w:pBdr>
          <w:top w:val="nil"/>
          <w:left w:val="nil"/>
          <w:bottom w:val="nil"/>
          <w:right w:val="nil"/>
          <w:between w:val="nil"/>
        </w:pBdr>
        <w:shd w:val="clear" w:color="auto" w:fill="FFFFFF"/>
        <w:rPr>
          <w:i/>
          <w:sz w:val="24"/>
          <w:szCs w:val="24"/>
        </w:rPr>
      </w:pPr>
    </w:p>
    <w:p w14:paraId="6915A44E" w14:textId="77777777" w:rsidR="003F1C8B" w:rsidRDefault="003F1C8B" w:rsidP="003F1C8B">
      <w:pPr>
        <w:pBdr>
          <w:top w:val="nil"/>
          <w:left w:val="nil"/>
          <w:bottom w:val="nil"/>
          <w:right w:val="nil"/>
          <w:between w:val="nil"/>
        </w:pBdr>
        <w:shd w:val="clear" w:color="auto" w:fill="FFFFFF"/>
        <w:rPr>
          <w:i/>
        </w:rPr>
      </w:pPr>
      <w:r>
        <w:rPr>
          <w:i/>
        </w:rPr>
        <w:t>“Identify process or other areas for improvement in the performance of the IANA naming function under the IANA Naming Function Contract and IANA Naming Function SOW and the performance of the CSC and the EC as it relates to oversight of PTI.”</w:t>
      </w:r>
    </w:p>
    <w:p w14:paraId="7E4D32DA" w14:textId="77777777" w:rsidR="003F1C8B" w:rsidRDefault="003F1C8B" w:rsidP="003F1C8B">
      <w:pPr>
        <w:pBdr>
          <w:top w:val="nil"/>
          <w:left w:val="nil"/>
          <w:bottom w:val="nil"/>
          <w:right w:val="nil"/>
          <w:between w:val="nil"/>
        </w:pBdr>
        <w:shd w:val="clear" w:color="auto" w:fill="FFFFFF"/>
      </w:pPr>
    </w:p>
    <w:p w14:paraId="72A4D253" w14:textId="77777777" w:rsidR="003F1C8B" w:rsidRDefault="003F1C8B" w:rsidP="003F1C8B">
      <w:pPr>
        <w:pBdr>
          <w:top w:val="nil"/>
          <w:left w:val="nil"/>
          <w:bottom w:val="nil"/>
          <w:right w:val="nil"/>
          <w:between w:val="nil"/>
        </w:pBdr>
        <w:shd w:val="clear" w:color="auto" w:fill="FFFFFF"/>
        <w:rPr>
          <w:b/>
          <w:i/>
        </w:rPr>
      </w:pPr>
      <w:r>
        <w:rPr>
          <w:b/>
        </w:rPr>
        <w:t>Objective</w:t>
      </w:r>
    </w:p>
    <w:p w14:paraId="3825A108" w14:textId="77777777" w:rsidR="003F1C8B" w:rsidRDefault="003F1C8B" w:rsidP="003F1C8B">
      <w:pPr>
        <w:pBdr>
          <w:top w:val="nil"/>
          <w:left w:val="nil"/>
          <w:bottom w:val="nil"/>
          <w:right w:val="nil"/>
          <w:between w:val="nil"/>
        </w:pBdr>
        <w:shd w:val="clear" w:color="auto" w:fill="FFFFFF"/>
      </w:pPr>
      <w:r>
        <w:t xml:space="preserve">Consistent with ICANN’s mission and </w:t>
      </w:r>
      <w:hyperlink r:id="rId41">
        <w:r>
          <w:rPr>
            <w:u w:val="single"/>
          </w:rPr>
          <w:t>Bylaws</w:t>
        </w:r>
      </w:hyperlink>
      <w:r>
        <w:t>, Section 18.3(j), based on the review team’s findings from 18.3.(a) to 18.3.(</w:t>
      </w:r>
      <w:proofErr w:type="spellStart"/>
      <w:r>
        <w:t>i</w:t>
      </w:r>
      <w:proofErr w:type="spellEnd"/>
      <w:r>
        <w:t>), the review team will make recommendations for specific measurable steps that can be taken to improve any deficiencies or gaps.</w:t>
      </w:r>
    </w:p>
    <w:p w14:paraId="169F7285" w14:textId="77777777" w:rsidR="003F1C8B" w:rsidRDefault="003F1C8B" w:rsidP="003F1C8B">
      <w:pPr>
        <w:pBdr>
          <w:top w:val="nil"/>
          <w:left w:val="nil"/>
          <w:bottom w:val="nil"/>
          <w:right w:val="nil"/>
          <w:between w:val="nil"/>
        </w:pBdr>
        <w:shd w:val="clear" w:color="auto" w:fill="FFFFFF"/>
      </w:pPr>
    </w:p>
    <w:p w14:paraId="7DF91E25" w14:textId="77777777" w:rsidR="003F1C8B" w:rsidRDefault="003F1C8B" w:rsidP="003F1C8B">
      <w:pPr>
        <w:pBdr>
          <w:top w:val="nil"/>
          <w:left w:val="nil"/>
          <w:bottom w:val="nil"/>
          <w:right w:val="nil"/>
          <w:between w:val="nil"/>
        </w:pBdr>
        <w:shd w:val="clear" w:color="auto" w:fill="FFFFFF"/>
      </w:pPr>
      <w:r>
        <w:rPr>
          <w:b/>
        </w:rPr>
        <w:t>Findings</w:t>
      </w:r>
    </w:p>
    <w:p w14:paraId="59067CBB" w14:textId="77777777" w:rsidR="003F1C8B" w:rsidRDefault="003F1C8B" w:rsidP="003F1C8B">
      <w:pPr>
        <w:pBdr>
          <w:top w:val="nil"/>
          <w:left w:val="nil"/>
          <w:bottom w:val="nil"/>
          <w:right w:val="nil"/>
          <w:between w:val="nil"/>
        </w:pBdr>
        <w:shd w:val="clear" w:color="auto" w:fill="FFFFFF"/>
      </w:pPr>
    </w:p>
    <w:p w14:paraId="68EC058C" w14:textId="77777777" w:rsidR="003F1C8B" w:rsidRDefault="003F1C8B" w:rsidP="003F1C8B">
      <w:pPr>
        <w:shd w:val="clear" w:color="auto" w:fill="FFFFFF"/>
        <w:rPr>
          <w:b/>
        </w:rPr>
      </w:pPr>
      <w:r>
        <w:rPr>
          <w:b/>
        </w:rPr>
        <w:t>Recommendations</w:t>
      </w:r>
    </w:p>
    <w:p w14:paraId="419DB01D" w14:textId="77777777" w:rsidR="003F1C8B" w:rsidRDefault="003F1C8B" w:rsidP="003F1C8B">
      <w:pPr>
        <w:shd w:val="clear" w:color="auto" w:fill="FFFFFF"/>
      </w:pPr>
      <w:r>
        <w:t>There are no recommendations related to this section.</w:t>
      </w:r>
    </w:p>
    <w:p w14:paraId="597A23B9" w14:textId="77777777" w:rsidR="003F1C8B" w:rsidRDefault="003F1C8B" w:rsidP="003F1C8B">
      <w:pPr>
        <w:shd w:val="clear" w:color="auto" w:fill="FFFFFF"/>
        <w:rPr>
          <w:b/>
        </w:rPr>
      </w:pPr>
    </w:p>
    <w:p w14:paraId="3DB94C38" w14:textId="77777777" w:rsidR="003F1C8B" w:rsidRDefault="003F1C8B" w:rsidP="003F1C8B">
      <w:pPr>
        <w:widowControl w:val="0"/>
        <w:spacing w:line="276" w:lineRule="auto"/>
      </w:pPr>
    </w:p>
    <w:p w14:paraId="08ADDC49" w14:textId="324A5EF1" w:rsidR="003F1C8B" w:rsidRPr="003F1C8B" w:rsidRDefault="003F1C8B" w:rsidP="003F1C8B">
      <w:pPr>
        <w:pStyle w:val="Heading2"/>
      </w:pPr>
      <w:bookmarkStart w:id="67" w:name="_heading=h.z337ya" w:colFirst="0" w:colLast="0"/>
      <w:bookmarkEnd w:id="67"/>
      <w:r w:rsidRPr="003F1C8B">
        <w:t xml:space="preserve"> </w:t>
      </w:r>
      <w:bookmarkStart w:id="68" w:name="_Toc191310535"/>
      <w:r w:rsidRPr="003F1C8B">
        <w:t>ICANN Bylaws 18.3.(k)</w:t>
      </w:r>
      <w:bookmarkEnd w:id="68"/>
    </w:p>
    <w:p w14:paraId="10E88B21" w14:textId="77777777" w:rsidR="003F1C8B" w:rsidRDefault="003F1C8B" w:rsidP="003F1C8B">
      <w:pPr>
        <w:pBdr>
          <w:top w:val="nil"/>
          <w:left w:val="nil"/>
          <w:bottom w:val="nil"/>
          <w:right w:val="nil"/>
          <w:between w:val="nil"/>
        </w:pBdr>
        <w:shd w:val="clear" w:color="auto" w:fill="FFFFFF"/>
        <w:rPr>
          <w:i/>
          <w:sz w:val="24"/>
          <w:szCs w:val="24"/>
        </w:rPr>
      </w:pPr>
    </w:p>
    <w:p w14:paraId="442E23B7" w14:textId="77777777" w:rsidR="003F1C8B" w:rsidRDefault="003F1C8B" w:rsidP="003F1C8B">
      <w:pPr>
        <w:pBdr>
          <w:top w:val="nil"/>
          <w:left w:val="nil"/>
          <w:bottom w:val="nil"/>
          <w:right w:val="nil"/>
          <w:between w:val="nil"/>
        </w:pBdr>
        <w:shd w:val="clear" w:color="auto" w:fill="FFFFFF"/>
        <w:rPr>
          <w:i/>
        </w:rPr>
      </w:pPr>
      <w:r>
        <w:rPr>
          <w:i/>
        </w:rPr>
        <w:lastRenderedPageBreak/>
        <w:t>“Consider and assess any changes implemented since the immediately preceding IFR and their implications for the performance of PTI under the IANA Naming Function Contract and IANA Naming Function SOW.”</w:t>
      </w:r>
    </w:p>
    <w:p w14:paraId="391CFC32" w14:textId="77777777" w:rsidR="003F1C8B" w:rsidRDefault="003F1C8B" w:rsidP="003F1C8B">
      <w:pPr>
        <w:pBdr>
          <w:top w:val="nil"/>
          <w:left w:val="nil"/>
          <w:bottom w:val="nil"/>
          <w:right w:val="nil"/>
          <w:between w:val="nil"/>
        </w:pBdr>
        <w:shd w:val="clear" w:color="auto" w:fill="FFFFFF"/>
      </w:pPr>
    </w:p>
    <w:p w14:paraId="2803E667" w14:textId="77777777" w:rsidR="003F1C8B" w:rsidRDefault="003F1C8B" w:rsidP="003F1C8B">
      <w:pPr>
        <w:pBdr>
          <w:top w:val="nil"/>
          <w:left w:val="nil"/>
          <w:bottom w:val="nil"/>
          <w:right w:val="nil"/>
          <w:between w:val="nil"/>
        </w:pBdr>
        <w:shd w:val="clear" w:color="auto" w:fill="FFFFFF"/>
        <w:rPr>
          <w:i/>
        </w:rPr>
      </w:pPr>
      <w:r>
        <w:rPr>
          <w:b/>
        </w:rPr>
        <w:t>Objective</w:t>
      </w:r>
    </w:p>
    <w:p w14:paraId="38AAC7E6" w14:textId="77777777" w:rsidR="003F1C8B" w:rsidRDefault="003F1C8B" w:rsidP="003F1C8B">
      <w:pPr>
        <w:pBdr>
          <w:top w:val="nil"/>
          <w:left w:val="nil"/>
          <w:bottom w:val="nil"/>
          <w:right w:val="nil"/>
          <w:between w:val="nil"/>
        </w:pBdr>
        <w:shd w:val="clear" w:color="auto" w:fill="FFFFFF"/>
      </w:pPr>
      <w:r>
        <w:t>The review team will review the implementation of recommendations provided by the first IFR and the impact of implementation on performance of PTI under the IANA Naming Function Contract and the IANA Naming Function SOW.</w:t>
      </w:r>
    </w:p>
    <w:p w14:paraId="0AC38B2A" w14:textId="77777777" w:rsidR="003F1C8B" w:rsidRDefault="003F1C8B" w:rsidP="003F1C8B">
      <w:pPr>
        <w:pBdr>
          <w:top w:val="nil"/>
          <w:left w:val="nil"/>
          <w:bottom w:val="nil"/>
          <w:right w:val="nil"/>
          <w:between w:val="nil"/>
        </w:pBdr>
        <w:shd w:val="clear" w:color="auto" w:fill="FFFFFF"/>
      </w:pPr>
    </w:p>
    <w:p w14:paraId="0ABE7E1D" w14:textId="77777777" w:rsidR="003F1C8B" w:rsidRDefault="003F1C8B" w:rsidP="003F1C8B">
      <w:pPr>
        <w:shd w:val="clear" w:color="auto" w:fill="FFFFFF"/>
        <w:rPr>
          <w:b/>
        </w:rPr>
      </w:pPr>
      <w:r>
        <w:rPr>
          <w:b/>
        </w:rPr>
        <w:t>Findings</w:t>
      </w:r>
    </w:p>
    <w:p w14:paraId="48F8C652" w14:textId="77777777" w:rsidR="003F1C8B" w:rsidRDefault="003F1C8B" w:rsidP="003F1C8B">
      <w:pPr>
        <w:shd w:val="clear" w:color="auto" w:fill="FFFFFF"/>
      </w:pPr>
      <w:r>
        <w:t>As a result of reviewing the Public Comments on the implementation of IFR1 recommendations, the IFRT2 found that there may be insufficient time to judge the impact of implementation prior to subsequent IFRs.</w:t>
      </w:r>
    </w:p>
    <w:p w14:paraId="0ADD22F1" w14:textId="77777777" w:rsidR="003F1C8B" w:rsidRDefault="003F1C8B" w:rsidP="003F1C8B">
      <w:pPr>
        <w:shd w:val="clear" w:color="auto" w:fill="FFFFFF"/>
        <w:rPr>
          <w:b/>
        </w:rPr>
      </w:pPr>
    </w:p>
    <w:p w14:paraId="60922149" w14:textId="77777777" w:rsidR="003F1C8B" w:rsidRDefault="003F1C8B" w:rsidP="003F1C8B">
      <w:pPr>
        <w:shd w:val="clear" w:color="auto" w:fill="FFFFFF"/>
        <w:rPr>
          <w:b/>
        </w:rPr>
      </w:pPr>
      <w:r>
        <w:rPr>
          <w:b/>
        </w:rPr>
        <w:t>Recommendation</w:t>
      </w:r>
    </w:p>
    <w:p w14:paraId="6113CE07" w14:textId="77777777" w:rsidR="003F1C8B" w:rsidRDefault="003F1C8B" w:rsidP="003F1C8B">
      <w:pPr>
        <w:shd w:val="clear" w:color="auto" w:fill="FFFFFF"/>
        <w:rPr>
          <w:color w:val="000000"/>
        </w:rPr>
      </w:pPr>
      <w:r>
        <w:t>Recommendation 4 “Frequency of Reviews” resulted from this finding.</w:t>
      </w:r>
      <w:r>
        <w:br w:type="page"/>
      </w:r>
    </w:p>
    <w:p w14:paraId="4FD3BA95" w14:textId="77777777" w:rsidR="003F1C8B" w:rsidRPr="003F1C8B" w:rsidRDefault="003F1C8B" w:rsidP="003F1C8B">
      <w:pPr>
        <w:pStyle w:val="Heading1"/>
      </w:pPr>
      <w:bookmarkStart w:id="69" w:name="_heading=h.wszl7zvjcf70" w:colFirst="0" w:colLast="0"/>
      <w:bookmarkStart w:id="70" w:name="_Toc191310536"/>
      <w:bookmarkEnd w:id="69"/>
      <w:r w:rsidRPr="003F1C8B">
        <w:lastRenderedPageBreak/>
        <w:t>Appendices</w:t>
      </w:r>
      <w:bookmarkEnd w:id="70"/>
    </w:p>
    <w:p w14:paraId="08A9D062" w14:textId="77777777" w:rsidR="003F1C8B" w:rsidRDefault="003F1C8B" w:rsidP="003F1C8B"/>
    <w:p w14:paraId="75ABE271" w14:textId="77777777" w:rsidR="003F1C8B" w:rsidRPr="003F1C8B" w:rsidRDefault="003F1C8B" w:rsidP="003F1C8B">
      <w:pPr>
        <w:pStyle w:val="Heading2"/>
      </w:pPr>
      <w:bookmarkStart w:id="71" w:name="_heading=h.1y810tw" w:colFirst="0" w:colLast="0"/>
      <w:bookmarkStart w:id="72" w:name="_Toc191310537"/>
      <w:bookmarkEnd w:id="71"/>
      <w:r w:rsidRPr="003F1C8B">
        <w:t>Appendix A: Definitions</w:t>
      </w:r>
      <w:bookmarkEnd w:id="72"/>
    </w:p>
    <w:p w14:paraId="5E1AF4A5" w14:textId="77777777" w:rsidR="003F1C8B" w:rsidRDefault="003F1C8B" w:rsidP="003F1C8B"/>
    <w:p w14:paraId="4B2857D9" w14:textId="77777777" w:rsidR="003F1C8B" w:rsidRDefault="003F1C8B" w:rsidP="003F1C8B">
      <w:r>
        <w:t>An assessment of this type requires a common understanding of the key terms associated with the review. Initially, the IFR Review Team is operating under the following definitions as well as the definitions from the IANA Naming Function Contract’s Definition Section:</w:t>
      </w:r>
    </w:p>
    <w:p w14:paraId="65BF0DFA" w14:textId="77777777" w:rsidR="003F1C8B" w:rsidRDefault="003F1C8B" w:rsidP="003F1C8B">
      <w:pPr>
        <w:ind w:left="720"/>
        <w:rPr>
          <w:b/>
        </w:rPr>
      </w:pPr>
      <w:r>
        <w:rPr>
          <w:b/>
        </w:rPr>
        <w:t xml:space="preserve"> </w:t>
      </w:r>
    </w:p>
    <w:p w14:paraId="6D880A1B" w14:textId="77777777" w:rsidR="003F1C8B" w:rsidRDefault="003F1C8B" w:rsidP="003F1C8B">
      <w:r>
        <w:t>From</w:t>
      </w:r>
      <w:hyperlink r:id="rId42">
        <w:r>
          <w:t xml:space="preserve"> </w:t>
        </w:r>
      </w:hyperlink>
      <w:hyperlink r:id="rId43">
        <w:r>
          <w:rPr>
            <w:color w:val="0563C1"/>
            <w:u w:val="single"/>
          </w:rPr>
          <w:t>Glossary of IANA Terms</w:t>
        </w:r>
      </w:hyperlink>
      <w:r>
        <w:t>:</w:t>
      </w:r>
    </w:p>
    <w:p w14:paraId="16F8A94B" w14:textId="77777777" w:rsidR="003F1C8B" w:rsidRDefault="003F1C8B" w:rsidP="003F1C8B">
      <w:pPr>
        <w:shd w:val="clear" w:color="auto" w:fill="FFFFFF"/>
        <w:spacing w:before="280" w:after="120"/>
        <w:ind w:left="720"/>
      </w:pPr>
      <w:r>
        <w:t xml:space="preserve">● </w:t>
      </w:r>
      <w:r>
        <w:tab/>
      </w:r>
      <w:r>
        <w:rPr>
          <w:b/>
        </w:rPr>
        <w:t xml:space="preserve">Customer: </w:t>
      </w:r>
      <w:r>
        <w:t>A generic top-level domain (gTLD) registry operator, a ccTLD manager or registry operator or other direct customer of the IANA naming Services provider, as defined by the IANA Naming Function Contract, Article 1, Section 1.1 (k).</w:t>
      </w:r>
    </w:p>
    <w:p w14:paraId="5C8362E8" w14:textId="77777777" w:rsidR="003F1C8B" w:rsidRDefault="003F1C8B" w:rsidP="003F1C8B">
      <w:pPr>
        <w:shd w:val="clear" w:color="auto" w:fill="FFFFFF"/>
        <w:spacing w:before="280" w:after="120"/>
        <w:ind w:left="720"/>
      </w:pPr>
      <w:proofErr w:type="gramStart"/>
      <w:r>
        <w:t xml:space="preserve">●  </w:t>
      </w:r>
      <w:r>
        <w:tab/>
      </w:r>
      <w:proofErr w:type="gramEnd"/>
      <w:r>
        <w:rPr>
          <w:b/>
        </w:rPr>
        <w:t>Country code top-level domain (ccTLD):</w:t>
      </w:r>
      <w:r>
        <w:t xml:space="preserve"> A class of top-level domains only assignable to represent countries listed in the ISO 3166-1 standard. At present these are two-letter codes like “.UK”, “.DE” etc., however in the future it is expected there will be non-Latin equivalents also available. Much of the </w:t>
      </w:r>
      <w:proofErr w:type="gramStart"/>
      <w:r>
        <w:t>policy-making</w:t>
      </w:r>
      <w:proofErr w:type="gramEnd"/>
      <w:r>
        <w:t xml:space="preserve"> for individual country-code top-level domains is vested with a local sponsoring </w:t>
      </w:r>
      <w:proofErr w:type="spellStart"/>
      <w:r>
        <w:t>organisation</w:t>
      </w:r>
      <w:proofErr w:type="spellEnd"/>
      <w:r>
        <w:t>, as opposed to other top-level domains where ICANN sets the policy. It is a requirement that ccTLDs are operated within the country they are designated so appropriate local laws, governments etc. have a say in how the domain is run.</w:t>
      </w:r>
    </w:p>
    <w:p w14:paraId="3776551E" w14:textId="77777777" w:rsidR="003F1C8B" w:rsidRDefault="003F1C8B" w:rsidP="003F1C8B">
      <w:pPr>
        <w:shd w:val="clear" w:color="auto" w:fill="FFFFFF"/>
        <w:spacing w:before="280" w:after="120"/>
        <w:ind w:left="720"/>
        <w:rPr>
          <w:i/>
        </w:rPr>
      </w:pPr>
      <w:proofErr w:type="gramStart"/>
      <w:r>
        <w:t xml:space="preserve">●  </w:t>
      </w:r>
      <w:r>
        <w:tab/>
      </w:r>
      <w:proofErr w:type="gramEnd"/>
      <w:r>
        <w:rPr>
          <w:b/>
        </w:rPr>
        <w:t>Delegation:</w:t>
      </w:r>
      <w:r>
        <w:t xml:space="preserve"> Refers to the process by which the operator of the IANA naming function initially assigns management responsibility or assigns previously assigned responsibility or assigns previously assigned responsibility (after a revocation) for the management of a ccTLD, as further defined in the RFC 1591 as interpreted by the FOI. [</w:t>
      </w:r>
      <w:r>
        <w:rPr>
          <w:i/>
        </w:rPr>
        <w:t>pulled from IANA Naming Function Contract]</w:t>
      </w:r>
    </w:p>
    <w:p w14:paraId="51AC3CE2" w14:textId="77777777" w:rsidR="003F1C8B" w:rsidRDefault="003F1C8B" w:rsidP="003F1C8B">
      <w:pPr>
        <w:shd w:val="clear" w:color="auto" w:fill="FFFFFF"/>
        <w:spacing w:after="120"/>
        <w:ind w:left="720"/>
      </w:pPr>
      <w:r>
        <w:t xml:space="preserve">●  </w:t>
      </w:r>
      <w:r>
        <w:tab/>
      </w:r>
      <w:hyperlink r:id="rId44" w:anchor="field-section-20">
        <w:r>
          <w:rPr>
            <w:b/>
          </w:rPr>
          <w:t>DNS: Domain Name System</w:t>
        </w:r>
      </w:hyperlink>
      <w:r>
        <w:rPr>
          <w:b/>
        </w:rPr>
        <w:t>:</w:t>
      </w:r>
      <w:r>
        <w:t xml:space="preserve"> 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t>
      </w:r>
      <w:hyperlink r:id="rId45">
        <w:r>
          <w:t>www.internic.net</w:t>
        </w:r>
      </w:hyperlink>
      <w:r>
        <w:t>. It is a "mnemonic" device that makes addresses easier to remember.</w:t>
      </w:r>
    </w:p>
    <w:p w14:paraId="57A893E6" w14:textId="77777777" w:rsidR="003F1C8B" w:rsidRDefault="003F1C8B" w:rsidP="003F1C8B">
      <w:pPr>
        <w:shd w:val="clear" w:color="auto" w:fill="FFFFFF"/>
        <w:spacing w:after="120"/>
        <w:ind w:left="720"/>
      </w:pPr>
      <w:proofErr w:type="gramStart"/>
      <w:r>
        <w:t xml:space="preserve">●  </w:t>
      </w:r>
      <w:r>
        <w:tab/>
      </w:r>
      <w:proofErr w:type="gramEnd"/>
      <w:r>
        <w:rPr>
          <w:b/>
        </w:rPr>
        <w:t xml:space="preserve">Domain Name System Security Extensions </w:t>
      </w:r>
      <w:r>
        <w:t>(</w:t>
      </w:r>
      <w:r>
        <w:rPr>
          <w:b/>
        </w:rPr>
        <w:t>DNSSEC):</w:t>
      </w:r>
      <w:r>
        <w:t xml:space="preserve"> A technology that can be added to the Domain Name System to verify the authenticity of its data. The works by adding verifiable chains of trust that can be validated to the domain name system.</w:t>
      </w:r>
    </w:p>
    <w:p w14:paraId="793ECAAC" w14:textId="77777777" w:rsidR="003F1C8B" w:rsidRDefault="003F1C8B" w:rsidP="003F1C8B">
      <w:pPr>
        <w:shd w:val="clear" w:color="auto" w:fill="FFFFFF"/>
        <w:spacing w:after="120"/>
        <w:ind w:left="720"/>
      </w:pPr>
      <w:proofErr w:type="gramStart"/>
      <w:r>
        <w:t xml:space="preserve">●  </w:t>
      </w:r>
      <w:r>
        <w:tab/>
      </w:r>
      <w:proofErr w:type="gramEnd"/>
      <w:r>
        <w:rPr>
          <w:b/>
        </w:rPr>
        <w:t>DNS zone:</w:t>
      </w:r>
      <w:r>
        <w:t xml:space="preserve"> a section of the Domain Name System name space. By default, the root zone contains all domain names, however in practice sections of this are delegated into smaller zones in a hierarchical fashion. For example, the “.COM” zone would refer to the portion of the DNS delegated that ends in “.COM”.</w:t>
      </w:r>
    </w:p>
    <w:p w14:paraId="78F22CCE" w14:textId="77777777" w:rsidR="003F1C8B" w:rsidRDefault="003F1C8B" w:rsidP="003F1C8B">
      <w:pPr>
        <w:shd w:val="clear" w:color="auto" w:fill="FFFFFF"/>
        <w:spacing w:after="120"/>
        <w:ind w:left="720"/>
      </w:pPr>
      <w:proofErr w:type="gramStart"/>
      <w:r>
        <w:t xml:space="preserve">●  </w:t>
      </w:r>
      <w:r>
        <w:tab/>
      </w:r>
      <w:proofErr w:type="gramEnd"/>
      <w:r>
        <w:rPr>
          <w:b/>
        </w:rPr>
        <w:t>Domain name</w:t>
      </w:r>
      <w:r>
        <w:t xml:space="preserve">: A unique identifier with a set of properties attached to it so that computers can perform conversions. A typical domain name is “icann.org”. Most commonly the property attached is an IP address, like “208.77.188.103”, so that </w:t>
      </w:r>
      <w:r>
        <w:lastRenderedPageBreak/>
        <w:t xml:space="preserve">computers can convert the domain name into an IP address. </w:t>
      </w:r>
      <w:proofErr w:type="gramStart"/>
      <w:r>
        <w:t>However</w:t>
      </w:r>
      <w:proofErr w:type="gramEnd"/>
      <w:r>
        <w:t xml:space="preserve"> the DNS is used for many other purposes. The domain name may also be a delegation, which transfers responsibility of all sub-domains within that domain to another entity.</w:t>
      </w:r>
    </w:p>
    <w:p w14:paraId="7DADD27E" w14:textId="77777777" w:rsidR="003F1C8B" w:rsidRDefault="003F1C8B" w:rsidP="003F1C8B">
      <w:pPr>
        <w:shd w:val="clear" w:color="auto" w:fill="FFFFFF"/>
        <w:spacing w:after="120"/>
        <w:ind w:left="720"/>
      </w:pPr>
      <w:proofErr w:type="gramStart"/>
      <w:r>
        <w:t xml:space="preserve">●  </w:t>
      </w:r>
      <w:r>
        <w:tab/>
      </w:r>
      <w:proofErr w:type="gramEnd"/>
      <w:r>
        <w:rPr>
          <w:b/>
        </w:rPr>
        <w:t>Domain name label:</w:t>
      </w:r>
      <w:r>
        <w:t xml:space="preserve"> a constituent part of a domain name. The labels of domain names are connected by dots. For example, “www.iana.org" contains three labels — “www”, “</w:t>
      </w:r>
      <w:proofErr w:type="spellStart"/>
      <w:r>
        <w:t>iana</w:t>
      </w:r>
      <w:proofErr w:type="spellEnd"/>
      <w:r>
        <w:t xml:space="preserve">” and “org”. For </w:t>
      </w:r>
      <w:proofErr w:type="spellStart"/>
      <w:r>
        <w:t>internationalised</w:t>
      </w:r>
      <w:proofErr w:type="spellEnd"/>
      <w:r>
        <w:t xml:space="preserve"> domain names, the labels may be referred to as A-labels and U-labels.</w:t>
      </w:r>
    </w:p>
    <w:p w14:paraId="10712F20" w14:textId="77777777" w:rsidR="003F1C8B" w:rsidRDefault="003F1C8B" w:rsidP="003F1C8B">
      <w:pPr>
        <w:shd w:val="clear" w:color="auto" w:fill="FFFFFF"/>
        <w:spacing w:after="120"/>
        <w:ind w:left="720"/>
      </w:pPr>
      <w:proofErr w:type="gramStart"/>
      <w:r>
        <w:t xml:space="preserve">●  </w:t>
      </w:r>
      <w:r>
        <w:tab/>
      </w:r>
      <w:proofErr w:type="gramEnd"/>
      <w:r>
        <w:rPr>
          <w:b/>
        </w:rPr>
        <w:t>Domain name registrar:</w:t>
      </w:r>
      <w:r>
        <w:t xml:space="preserve"> An entity offering domain name registration services, as an agent between registrants and registries. </w:t>
      </w:r>
      <w:proofErr w:type="gramStart"/>
      <w:r>
        <w:t>Usually</w:t>
      </w:r>
      <w:proofErr w:type="gramEnd"/>
      <w:r>
        <w:t xml:space="preserve"> multiple registrars exist who compete with each other, and are accredited. For most generic top-level domains, domain name registrars are accredited by ICANN.</w:t>
      </w:r>
    </w:p>
    <w:p w14:paraId="6129A222" w14:textId="77777777" w:rsidR="003F1C8B" w:rsidRDefault="003F1C8B" w:rsidP="003F1C8B">
      <w:pPr>
        <w:shd w:val="clear" w:color="auto" w:fill="FFFFFF"/>
        <w:spacing w:after="120"/>
        <w:ind w:left="720"/>
      </w:pPr>
      <w:proofErr w:type="gramStart"/>
      <w:r>
        <w:t xml:space="preserve">●  </w:t>
      </w:r>
      <w:r>
        <w:tab/>
      </w:r>
      <w:proofErr w:type="gramEnd"/>
      <w:r>
        <w:rPr>
          <w:b/>
        </w:rPr>
        <w:t>Domain name registry</w:t>
      </w:r>
      <w:r>
        <w:t>: A registry tasked with managing the contents of a DNS zone, by giving registrations of sub-domains to registrants.</w:t>
      </w:r>
    </w:p>
    <w:p w14:paraId="153DE572" w14:textId="77777777" w:rsidR="003F1C8B" w:rsidRDefault="003F1C8B" w:rsidP="003F1C8B">
      <w:pPr>
        <w:shd w:val="clear" w:color="auto" w:fill="FFFFFF"/>
        <w:spacing w:after="120"/>
        <w:ind w:left="720"/>
      </w:pPr>
      <w:proofErr w:type="gramStart"/>
      <w:r>
        <w:t xml:space="preserve">●  </w:t>
      </w:r>
      <w:r>
        <w:tab/>
      </w:r>
      <w:proofErr w:type="gramEnd"/>
      <w:r>
        <w:rPr>
          <w:b/>
        </w:rPr>
        <w:t>Domain name server</w:t>
      </w:r>
      <w:r>
        <w:t xml:space="preserve">: A general term for a system on the Internet that answers requests to convert domain names into something else. These can be subdivided into authoritative name servers, which store the database for a particular DNS </w:t>
      </w:r>
      <w:proofErr w:type="gramStart"/>
      <w:r>
        <w:t>zone;</w:t>
      </w:r>
      <w:proofErr w:type="gramEnd"/>
      <w:r>
        <w:t xml:space="preserve"> as well as recursive name servers and caching name servers.</w:t>
      </w:r>
    </w:p>
    <w:p w14:paraId="0297F9E5" w14:textId="77777777" w:rsidR="003F1C8B" w:rsidRDefault="003F1C8B" w:rsidP="003F1C8B">
      <w:pPr>
        <w:shd w:val="clear" w:color="auto" w:fill="FFFFFF"/>
        <w:spacing w:after="120"/>
        <w:ind w:left="720"/>
      </w:pPr>
      <w:proofErr w:type="gramStart"/>
      <w:r>
        <w:t xml:space="preserve">●  </w:t>
      </w:r>
      <w:r>
        <w:tab/>
      </w:r>
      <w:proofErr w:type="gramEnd"/>
      <w:r>
        <w:rPr>
          <w:b/>
        </w:rPr>
        <w:t>Domain Name System (DNS)</w:t>
      </w:r>
      <w:r>
        <w:t xml:space="preserve">: The global hierarchical system of domain names. A global distributed database contains the information to perform the domain name conversations, and the most central part of that database, known as the root </w:t>
      </w:r>
      <w:proofErr w:type="gramStart"/>
      <w:r>
        <w:t>zone</w:t>
      </w:r>
      <w:proofErr w:type="gramEnd"/>
      <w:r>
        <w:t xml:space="preserve"> is coordinated by us.</w:t>
      </w:r>
    </w:p>
    <w:p w14:paraId="1B5A7181" w14:textId="77777777" w:rsidR="003F1C8B" w:rsidRDefault="003F1C8B" w:rsidP="003F1C8B">
      <w:pPr>
        <w:shd w:val="clear" w:color="auto" w:fill="FFFFFF"/>
        <w:spacing w:after="120"/>
        <w:ind w:left="720"/>
      </w:pPr>
      <w:proofErr w:type="gramStart"/>
      <w:r>
        <w:t xml:space="preserve">●  </w:t>
      </w:r>
      <w:r>
        <w:tab/>
      </w:r>
      <w:proofErr w:type="gramEnd"/>
      <w:r>
        <w:rPr>
          <w:b/>
        </w:rPr>
        <w:t>Domain Name System Root</w:t>
      </w:r>
      <w:r>
        <w:t>: see Root Zone.</w:t>
      </w:r>
    </w:p>
    <w:p w14:paraId="77C114E4" w14:textId="77777777" w:rsidR="003F1C8B" w:rsidRDefault="003F1C8B" w:rsidP="003F1C8B">
      <w:pPr>
        <w:shd w:val="clear" w:color="auto" w:fill="FFFFFF"/>
        <w:spacing w:after="120"/>
        <w:ind w:left="720"/>
      </w:pPr>
      <w:r>
        <w:t xml:space="preserve">●  </w:t>
      </w:r>
      <w:r>
        <w:tab/>
      </w:r>
      <w:hyperlink r:id="rId46" w:anchor="field-section-20">
        <w:r>
          <w:rPr>
            <w:b/>
          </w:rPr>
          <w:t>Domain</w:t>
        </w:r>
      </w:hyperlink>
      <w:r>
        <w:rPr>
          <w:b/>
        </w:rPr>
        <w:t>:</w:t>
      </w:r>
      <w:r>
        <w:t xml:space="preserve"> A set of host names consisting of a single domain name and all the domain names below it.</w:t>
      </w:r>
    </w:p>
    <w:p w14:paraId="454B540E" w14:textId="77777777" w:rsidR="003F1C8B" w:rsidRDefault="003F1C8B" w:rsidP="003F1C8B">
      <w:pPr>
        <w:shd w:val="clear" w:color="auto" w:fill="FFFFFF"/>
        <w:spacing w:after="120"/>
        <w:ind w:left="720"/>
      </w:pPr>
      <w:r>
        <w:t xml:space="preserve">●  </w:t>
      </w:r>
      <w:r>
        <w:tab/>
      </w:r>
      <w:hyperlink r:id="rId47" w:anchor="field-section-21">
        <w:r>
          <w:rPr>
            <w:b/>
          </w:rPr>
          <w:t>Domain Name</w:t>
        </w:r>
      </w:hyperlink>
      <w:r>
        <w:rPr>
          <w:b/>
        </w:rPr>
        <w:t>:</w:t>
      </w:r>
      <w:r>
        <w:t xml:space="preserve"> As part of the Domain Name System, domain names identify IP resources, such as an Internet website.</w:t>
      </w:r>
    </w:p>
    <w:p w14:paraId="75E48635" w14:textId="77777777" w:rsidR="003F1C8B" w:rsidRDefault="003F1C8B" w:rsidP="003F1C8B">
      <w:pPr>
        <w:shd w:val="clear" w:color="auto" w:fill="FFFFFF"/>
        <w:spacing w:after="120"/>
        <w:ind w:left="720"/>
      </w:pPr>
      <w:r>
        <w:t xml:space="preserve">●  </w:t>
      </w:r>
      <w:r>
        <w:tab/>
      </w:r>
      <w:hyperlink r:id="rId48" w:anchor="field-section-24">
        <w:r>
          <w:rPr>
            <w:b/>
          </w:rPr>
          <w:t>GNSO: Generic Names Supporting Organization</w:t>
        </w:r>
      </w:hyperlink>
      <w:r>
        <w:rPr>
          <w:b/>
        </w:rPr>
        <w:t>:</w:t>
      </w:r>
      <w: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5AFD9963" w14:textId="77777777" w:rsidR="003F1C8B" w:rsidRDefault="003F1C8B" w:rsidP="003F1C8B">
      <w:pPr>
        <w:shd w:val="clear" w:color="auto" w:fill="FFFFFF"/>
        <w:spacing w:after="240"/>
        <w:ind w:left="720"/>
      </w:pPr>
      <w:r>
        <w:t xml:space="preserve">●  </w:t>
      </w:r>
      <w:r>
        <w:tab/>
      </w:r>
      <w:hyperlink r:id="rId49" w:anchor="field-section-25">
        <w:r>
          <w:rPr>
            <w:b/>
          </w:rPr>
          <w:t>Generic Top Level Domain</w:t>
        </w:r>
      </w:hyperlink>
      <w:r>
        <w:rPr>
          <w:b/>
        </w:rPr>
        <w:t xml:space="preserve"> (gTLD):</w:t>
      </w:r>
      <w:r>
        <w:t xml:space="preserve"> Most TLDs with three or more characters are referred to as "generic" TLDs, or "gTLDs", such as .COM, .NET, and .ORG. In addition, many new gTLDs such </w:t>
      </w:r>
      <w:proofErr w:type="gramStart"/>
      <w:r>
        <w:t>as .HOTELS</w:t>
      </w:r>
      <w:proofErr w:type="gramEnd"/>
      <w:r>
        <w:t xml:space="preserve"> and .DOCTOR are now being delegated.</w:t>
      </w:r>
    </w:p>
    <w:p w14:paraId="4DF247A7" w14:textId="77777777" w:rsidR="003F1C8B" w:rsidRDefault="003F1C8B" w:rsidP="003F1C8B">
      <w:pPr>
        <w:shd w:val="clear" w:color="auto" w:fill="FFFFFF"/>
        <w:spacing w:after="120"/>
        <w:ind w:left="720"/>
      </w:pPr>
      <w:r>
        <w:t xml:space="preserve">●  </w:t>
      </w:r>
      <w:r>
        <w:tab/>
      </w:r>
      <w:r>
        <w:rPr>
          <w:b/>
        </w:rPr>
        <w:t xml:space="preserve">Internationalized Domain Names </w:t>
      </w:r>
      <w:r>
        <w:t>(</w:t>
      </w:r>
      <w:hyperlink r:id="rId50" w:anchor="field-section-29">
        <w:r>
          <w:rPr>
            <w:b/>
          </w:rPr>
          <w:t xml:space="preserve">IDNs): </w:t>
        </w:r>
      </w:hyperlink>
      <w:r>
        <w:t>: 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 together with the European-Arabic digits are, for the purpose of domain names, termed "ASCII characters" (ASCII = American Standard Code for Information Interchange). These are also included in the broader range of "Unicode characters" that provides the basis for IDNs.</w:t>
      </w:r>
    </w:p>
    <w:p w14:paraId="62B39F97" w14:textId="77777777" w:rsidR="003F1C8B" w:rsidRDefault="003F1C8B" w:rsidP="003F1C8B">
      <w:pPr>
        <w:shd w:val="clear" w:color="auto" w:fill="FFFFFF"/>
        <w:spacing w:after="120"/>
        <w:ind w:left="720"/>
      </w:pPr>
      <w:proofErr w:type="gramStart"/>
      <w:r>
        <w:lastRenderedPageBreak/>
        <w:t xml:space="preserve">●  </w:t>
      </w:r>
      <w:r>
        <w:tab/>
      </w:r>
      <w:proofErr w:type="gramEnd"/>
      <w:r>
        <w:rPr>
          <w:b/>
        </w:rPr>
        <w:t>Internet Architecture Board (IAB)</w:t>
      </w:r>
      <w:r>
        <w:t xml:space="preserve">: The oversight body of the IETF, responsible for overall strategic direction of Internet </w:t>
      </w:r>
      <w:proofErr w:type="spellStart"/>
      <w:r>
        <w:t>standardisation</w:t>
      </w:r>
      <w:proofErr w:type="spellEnd"/>
      <w:r>
        <w:t xml:space="preserve"> efforts. The IAB works with us on how the protocol parameter registries should be managed. The IAB is an activity of the Internet Society, a non-profit </w:t>
      </w:r>
      <w:proofErr w:type="spellStart"/>
      <w:r>
        <w:t>organisation</w:t>
      </w:r>
      <w:proofErr w:type="spellEnd"/>
      <w:r>
        <w:t>.</w:t>
      </w:r>
    </w:p>
    <w:p w14:paraId="1FFE6077" w14:textId="77777777" w:rsidR="003F1C8B" w:rsidRDefault="003F1C8B" w:rsidP="003F1C8B">
      <w:pPr>
        <w:shd w:val="clear" w:color="auto" w:fill="FFFFFF"/>
        <w:spacing w:after="120"/>
        <w:ind w:left="720"/>
      </w:pPr>
      <w:proofErr w:type="gramStart"/>
      <w:r>
        <w:t xml:space="preserve">●  </w:t>
      </w:r>
      <w:r>
        <w:tab/>
      </w:r>
      <w:proofErr w:type="gramEnd"/>
      <w:r>
        <w:rPr>
          <w:b/>
        </w:rPr>
        <w:t>Internet Assigned Numbers Authority (IANA):</w:t>
      </w:r>
      <w:r>
        <w:t xml:space="preserve"> A suite of various Internet coordination functions, relating to ensuring globally-unique protocol parameter assignment, including management of the root of the Domain Name System and IP Address Space.</w:t>
      </w:r>
    </w:p>
    <w:p w14:paraId="7CC76B53" w14:textId="77777777" w:rsidR="003F1C8B" w:rsidRDefault="003F1C8B" w:rsidP="003F1C8B">
      <w:pPr>
        <w:shd w:val="clear" w:color="auto" w:fill="FFFFFF"/>
        <w:spacing w:after="120"/>
        <w:ind w:left="720"/>
      </w:pPr>
      <w:proofErr w:type="gramStart"/>
      <w:r>
        <w:t xml:space="preserve">●  </w:t>
      </w:r>
      <w:r>
        <w:tab/>
      </w:r>
      <w:proofErr w:type="gramEnd"/>
      <w:r>
        <w:rPr>
          <w:b/>
        </w:rPr>
        <w:t>Internet Coordination Policy (ICP):</w:t>
      </w:r>
      <w:r>
        <w:t xml:space="preserve"> A series of documents created by ICANN between 1999 and 2000 describing management procedures. Three such documents were published before the numbering system stopped being used. Subsequent ICANN publications have not been given ICP numbers.</w:t>
      </w:r>
    </w:p>
    <w:p w14:paraId="096D54E7" w14:textId="77777777" w:rsidR="003F1C8B" w:rsidRDefault="003F1C8B" w:rsidP="003F1C8B">
      <w:pPr>
        <w:shd w:val="clear" w:color="auto" w:fill="FFFFFF"/>
        <w:spacing w:after="120"/>
        <w:ind w:left="720"/>
      </w:pPr>
      <w:proofErr w:type="gramStart"/>
      <w:r>
        <w:t xml:space="preserve">●  </w:t>
      </w:r>
      <w:r>
        <w:tab/>
      </w:r>
      <w:proofErr w:type="gramEnd"/>
      <w:r>
        <w:rPr>
          <w:b/>
        </w:rPr>
        <w:t>Internet Engineering Steering Group (IESG)</w:t>
      </w:r>
      <w:r>
        <w:t>: The committee of area experts of the IETF’s areas of work, that acts as its board of management.</w:t>
      </w:r>
    </w:p>
    <w:p w14:paraId="425EDE3C" w14:textId="77777777" w:rsidR="003F1C8B" w:rsidRDefault="003F1C8B" w:rsidP="003F1C8B">
      <w:pPr>
        <w:shd w:val="clear" w:color="auto" w:fill="FFFFFF"/>
        <w:spacing w:after="120"/>
        <w:ind w:left="720"/>
      </w:pPr>
      <w:proofErr w:type="gramStart"/>
      <w:r>
        <w:t xml:space="preserve">●  </w:t>
      </w:r>
      <w:r>
        <w:tab/>
      </w:r>
      <w:proofErr w:type="gramEnd"/>
      <w:r>
        <w:rPr>
          <w:b/>
        </w:rPr>
        <w:t>Internet Engineering Task Force (IETF)</w:t>
      </w:r>
      <w:r>
        <w:t xml:space="preserve">: The key Internet </w:t>
      </w:r>
      <w:proofErr w:type="spellStart"/>
      <w:r>
        <w:t>standardisation</w:t>
      </w:r>
      <w:proofErr w:type="spellEnd"/>
      <w:r>
        <w:t xml:space="preserve"> forum. The standards developed within the IETF are published as RFCs. Our protocol parameter registries are closely aligned with the work of the IETF.</w:t>
      </w:r>
    </w:p>
    <w:p w14:paraId="4C80861A" w14:textId="77777777" w:rsidR="003F1C8B" w:rsidRDefault="003F1C8B" w:rsidP="003F1C8B">
      <w:pPr>
        <w:shd w:val="clear" w:color="auto" w:fill="FFFFFF"/>
        <w:spacing w:after="120"/>
        <w:ind w:left="720"/>
      </w:pPr>
      <w:proofErr w:type="gramStart"/>
      <w:r>
        <w:t xml:space="preserve">●  </w:t>
      </w:r>
      <w:r>
        <w:tab/>
      </w:r>
      <w:proofErr w:type="gramEnd"/>
      <w:r>
        <w:rPr>
          <w:b/>
        </w:rPr>
        <w:t>Internet Protocol (IP)</w:t>
      </w:r>
      <w:r>
        <w:t xml:space="preserve">: The fundamental protocol that is used to transmit information over the Internet. Data transmitted over the Internet is transmitted using the Internet Protocol, usually in conjunction with a more </w:t>
      </w:r>
      <w:proofErr w:type="spellStart"/>
      <w:r>
        <w:t>specialised</w:t>
      </w:r>
      <w:proofErr w:type="spellEnd"/>
      <w:r>
        <w:t xml:space="preserve"> protocol. Computers are uniquely identified on the Internet using an IP Address.</w:t>
      </w:r>
    </w:p>
    <w:p w14:paraId="79A57945" w14:textId="77777777" w:rsidR="003F1C8B" w:rsidRDefault="003F1C8B" w:rsidP="003F1C8B">
      <w:pPr>
        <w:shd w:val="clear" w:color="auto" w:fill="FFFFFF"/>
        <w:spacing w:after="120"/>
        <w:ind w:left="720"/>
      </w:pPr>
      <w:proofErr w:type="gramStart"/>
      <w:r>
        <w:t xml:space="preserve">●  </w:t>
      </w:r>
      <w:r>
        <w:tab/>
      </w:r>
      <w:proofErr w:type="gramEnd"/>
      <w:r>
        <w:rPr>
          <w:b/>
        </w:rPr>
        <w:t>IP address</w:t>
      </w:r>
      <w:r>
        <w:t>: A unique identifier for a device on the Internet. The identifier is used to accurately route Internet traffic to that device. IP addresses must be unique on the global Internet, although some are re-used within private networks using a system of private IP addresses and network address translation.</w:t>
      </w:r>
    </w:p>
    <w:p w14:paraId="5C2A467F" w14:textId="77777777" w:rsidR="003F1C8B" w:rsidRDefault="003F1C8B" w:rsidP="003F1C8B">
      <w:pPr>
        <w:shd w:val="clear" w:color="auto" w:fill="FFFFFF"/>
        <w:spacing w:after="120"/>
        <w:ind w:left="720"/>
      </w:pPr>
      <w:proofErr w:type="gramStart"/>
      <w:r>
        <w:t xml:space="preserve">●  </w:t>
      </w:r>
      <w:r>
        <w:tab/>
      </w:r>
      <w:proofErr w:type="gramEnd"/>
      <w:r>
        <w:rPr>
          <w:b/>
        </w:rPr>
        <w:t>ISO</w:t>
      </w:r>
      <w:r>
        <w:t xml:space="preserve">: International </w:t>
      </w:r>
      <w:proofErr w:type="spellStart"/>
      <w:r>
        <w:t>Organisation</w:t>
      </w:r>
      <w:proofErr w:type="spellEnd"/>
      <w:r>
        <w:t xml:space="preserve"> for </w:t>
      </w:r>
      <w:proofErr w:type="spellStart"/>
      <w:r>
        <w:t>Standardisation</w:t>
      </w:r>
      <w:proofErr w:type="spellEnd"/>
      <w:r>
        <w:t xml:space="preserve">. An international </w:t>
      </w:r>
      <w:proofErr w:type="spellStart"/>
      <w:r>
        <w:t>organisation</w:t>
      </w:r>
      <w:proofErr w:type="spellEnd"/>
      <w:r>
        <w:t xml:space="preserve"> comprised mostly of national </w:t>
      </w:r>
      <w:proofErr w:type="spellStart"/>
      <w:r>
        <w:t>standardisation</w:t>
      </w:r>
      <w:proofErr w:type="spellEnd"/>
      <w:r>
        <w:t xml:space="preserve"> agencies.</w:t>
      </w:r>
    </w:p>
    <w:p w14:paraId="5CDF6EB2" w14:textId="77777777" w:rsidR="003F1C8B" w:rsidRDefault="003F1C8B" w:rsidP="003F1C8B">
      <w:pPr>
        <w:shd w:val="clear" w:color="auto" w:fill="FFFFFF"/>
        <w:spacing w:after="120"/>
        <w:ind w:left="720"/>
      </w:pPr>
      <w:proofErr w:type="gramStart"/>
      <w:r>
        <w:t xml:space="preserve">●  </w:t>
      </w:r>
      <w:r>
        <w:tab/>
      </w:r>
      <w:proofErr w:type="gramEnd"/>
      <w:r>
        <w:rPr>
          <w:b/>
        </w:rPr>
        <w:t>ISO 3166</w:t>
      </w:r>
      <w:r>
        <w:t>: A suite of international standards for labelling countries, territories, sub-national entities and former countries. Most notable, Part 1 of ISO 3166 (aka ISO 3166-1) is used to determine country-codes for top-level domains.</w:t>
      </w:r>
    </w:p>
    <w:p w14:paraId="02A68679" w14:textId="77777777" w:rsidR="003F1C8B" w:rsidRDefault="003F1C8B" w:rsidP="003F1C8B">
      <w:pPr>
        <w:shd w:val="clear" w:color="auto" w:fill="FFFFFF"/>
        <w:spacing w:after="120"/>
        <w:ind w:left="720"/>
      </w:pPr>
      <w:proofErr w:type="gramStart"/>
      <w:r>
        <w:t xml:space="preserve">●  </w:t>
      </w:r>
      <w:r>
        <w:tab/>
      </w:r>
      <w:proofErr w:type="gramEnd"/>
      <w:r>
        <w:rPr>
          <w:b/>
        </w:rPr>
        <w:t>Recursive name server</w:t>
      </w:r>
      <w:r>
        <w:t xml:space="preserve">: A domain name server configured to perform DNS lookups on behalf of other computers. This is often configured at corporate network boundaries and ISPs for their network customers to use. As an individual domain name lookup can often involve multiple queries to different servers, these name servers do these iterative lookups and only provide back to the computer the final answer. They are often combined with the functions of a caching name server to improve network </w:t>
      </w:r>
      <w:proofErr w:type="gramStart"/>
      <w:r>
        <w:t>performance, and</w:t>
      </w:r>
      <w:proofErr w:type="gramEnd"/>
      <w:r>
        <w:t xml:space="preserve"> therefore are also known as caching resolvers.</w:t>
      </w:r>
    </w:p>
    <w:p w14:paraId="49818156" w14:textId="77777777" w:rsidR="003F1C8B" w:rsidRDefault="003F1C8B" w:rsidP="003F1C8B">
      <w:pPr>
        <w:shd w:val="clear" w:color="auto" w:fill="FFFFFF"/>
        <w:spacing w:after="120"/>
        <w:ind w:left="720"/>
      </w:pPr>
      <w:proofErr w:type="gramStart"/>
      <w:r>
        <w:t xml:space="preserve">●  </w:t>
      </w:r>
      <w:r>
        <w:tab/>
      </w:r>
      <w:proofErr w:type="gramEnd"/>
      <w:r>
        <w:rPr>
          <w:b/>
        </w:rPr>
        <w:t>Redelegation</w:t>
      </w:r>
      <w:r>
        <w:t xml:space="preserve">: The transfer of a delegation from one entity to another. </w:t>
      </w:r>
      <w:proofErr w:type="gramStart"/>
      <w:r>
        <w:t>Most commonly used</w:t>
      </w:r>
      <w:proofErr w:type="gramEnd"/>
      <w:r>
        <w:t xml:space="preserve"> to refer to the redelegation process used for top-level domains.</w:t>
      </w:r>
    </w:p>
    <w:p w14:paraId="084B8EA0" w14:textId="77777777" w:rsidR="003F1C8B" w:rsidRDefault="003F1C8B" w:rsidP="003F1C8B">
      <w:pPr>
        <w:shd w:val="clear" w:color="auto" w:fill="FFFFFF"/>
        <w:spacing w:after="120"/>
        <w:ind w:left="720"/>
      </w:pPr>
      <w:proofErr w:type="gramStart"/>
      <w:r>
        <w:t xml:space="preserve">●  </w:t>
      </w:r>
      <w:r>
        <w:tab/>
      </w:r>
      <w:proofErr w:type="gramEnd"/>
      <w:r>
        <w:rPr>
          <w:b/>
        </w:rPr>
        <w:t>Redelegation process:</w:t>
      </w:r>
      <w:r>
        <w:t xml:space="preserve"> A special type of root zone change where there is a significant change involving the transfer of operations of a top-level domain to a new entity. Such a change must be evaluated by ICANN staff to ensure that the new entity meets a number of </w:t>
      </w:r>
      <w:proofErr w:type="gramStart"/>
      <w:r>
        <w:t>criteria, and</w:t>
      </w:r>
      <w:proofErr w:type="gramEnd"/>
      <w:r>
        <w:t xml:space="preserve"> must be voted on and agreed by the ICANN Board of Directors.</w:t>
      </w:r>
    </w:p>
    <w:p w14:paraId="55AB3417" w14:textId="77777777" w:rsidR="003F1C8B" w:rsidRDefault="003F1C8B" w:rsidP="003F1C8B">
      <w:pPr>
        <w:shd w:val="clear" w:color="auto" w:fill="FFFFFF"/>
        <w:spacing w:after="120"/>
        <w:ind w:left="720"/>
      </w:pPr>
      <w:proofErr w:type="gramStart"/>
      <w:r>
        <w:lastRenderedPageBreak/>
        <w:t xml:space="preserve">●  </w:t>
      </w:r>
      <w:r>
        <w:tab/>
      </w:r>
      <w:proofErr w:type="gramEnd"/>
      <w:r>
        <w:rPr>
          <w:b/>
        </w:rPr>
        <w:t>Registrant</w:t>
      </w:r>
      <w:r>
        <w:t>: The entity that has acquired the right to use an Internet resource. Usually this is via some form of revocable grant given by a registrar to list their registration in a registry.</w:t>
      </w:r>
    </w:p>
    <w:p w14:paraId="23FA3764" w14:textId="77777777" w:rsidR="003F1C8B" w:rsidRDefault="003F1C8B" w:rsidP="003F1C8B">
      <w:pPr>
        <w:shd w:val="clear" w:color="auto" w:fill="FFFFFF"/>
        <w:spacing w:after="120"/>
        <w:ind w:left="720"/>
      </w:pPr>
      <w:r>
        <w:t xml:space="preserve">●  </w:t>
      </w:r>
      <w:r>
        <w:tab/>
      </w:r>
      <w:hyperlink r:id="rId51" w:anchor="field-section-38">
        <w:r>
          <w:rPr>
            <w:b/>
          </w:rPr>
          <w:t>Registrar</w:t>
        </w:r>
      </w:hyperlink>
      <w:r>
        <w:rPr>
          <w:b/>
        </w:rPr>
        <w:t xml:space="preserve">: </w:t>
      </w:r>
      <w:r>
        <w:t>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512BB36B" w14:textId="77777777" w:rsidR="003F1C8B" w:rsidRDefault="003F1C8B" w:rsidP="003F1C8B">
      <w:pPr>
        <w:shd w:val="clear" w:color="auto" w:fill="FFFFFF"/>
        <w:spacing w:after="120"/>
        <w:ind w:left="720"/>
      </w:pPr>
      <w:r>
        <w:t xml:space="preserve">●  </w:t>
      </w:r>
      <w:r>
        <w:tab/>
      </w:r>
      <w:hyperlink r:id="rId52" w:anchor="field-section-39">
        <w:r>
          <w:rPr>
            <w:b/>
          </w:rPr>
          <w:t>Registry</w:t>
        </w:r>
      </w:hyperlink>
      <w:r>
        <w:rPr>
          <w:b/>
        </w:rPr>
        <w:t>:</w:t>
      </w:r>
      <w:r>
        <w:t xml:space="preserve"> The "Registry" is the authoritative, master database of all domain names registered in each Top Level Domain. The registry operator keeps the master database </w:t>
      </w:r>
      <w:proofErr w:type="gramStart"/>
      <w:r>
        <w:t>and also</w:t>
      </w:r>
      <w:proofErr w:type="gramEnd"/>
      <w:r>
        <w:t xml:space="preserve">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148F03A3" w14:textId="77777777" w:rsidR="003F1C8B" w:rsidRDefault="003F1C8B" w:rsidP="003F1C8B">
      <w:pPr>
        <w:shd w:val="clear" w:color="auto" w:fill="FFFFFF"/>
        <w:spacing w:after="120"/>
        <w:ind w:left="720"/>
      </w:pPr>
      <w:proofErr w:type="gramStart"/>
      <w:r>
        <w:t xml:space="preserve">●  </w:t>
      </w:r>
      <w:r>
        <w:tab/>
      </w:r>
      <w:proofErr w:type="gramEnd"/>
      <w:r>
        <w:rPr>
          <w:b/>
        </w:rPr>
        <w:t xml:space="preserve">Registry operator: </w:t>
      </w:r>
      <w:r>
        <w:t>The entity that runs a registry.</w:t>
      </w:r>
    </w:p>
    <w:p w14:paraId="4D8B500B" w14:textId="77777777" w:rsidR="003F1C8B" w:rsidRDefault="003F1C8B" w:rsidP="003F1C8B">
      <w:pPr>
        <w:shd w:val="clear" w:color="auto" w:fill="FFFFFF"/>
        <w:spacing w:after="120"/>
        <w:ind w:left="720"/>
      </w:pPr>
      <w:proofErr w:type="gramStart"/>
      <w:r>
        <w:t xml:space="preserve">●  </w:t>
      </w:r>
      <w:r>
        <w:tab/>
      </w:r>
      <w:proofErr w:type="gramEnd"/>
      <w:r>
        <w:rPr>
          <w:b/>
        </w:rPr>
        <w:t xml:space="preserve">Reverse IP: </w:t>
      </w:r>
      <w:r>
        <w:t xml:space="preserve">A method of translating an IP address into a domain name, so-called as it is the opposite of a typical lookup that converts a domain name to an IP address. </w:t>
      </w:r>
      <w:proofErr w:type="spellStart"/>
      <w:r>
        <w:t>Utilises</w:t>
      </w:r>
      <w:proofErr w:type="spellEnd"/>
      <w:r>
        <w:t xml:space="preserve"> PTR records in the IN-ADDR.ARPA zone for IPv4, and IP6.ARPA for IPv6.</w:t>
      </w:r>
    </w:p>
    <w:p w14:paraId="748A88F0" w14:textId="77777777" w:rsidR="003F1C8B" w:rsidRDefault="003F1C8B" w:rsidP="003F1C8B">
      <w:pPr>
        <w:shd w:val="clear" w:color="auto" w:fill="FFFFFF"/>
        <w:spacing w:after="120"/>
        <w:ind w:left="720"/>
      </w:pPr>
      <w:proofErr w:type="gramStart"/>
      <w:r>
        <w:t xml:space="preserve">●  </w:t>
      </w:r>
      <w:r>
        <w:tab/>
      </w:r>
      <w:proofErr w:type="gramEnd"/>
      <w:r>
        <w:rPr>
          <w:b/>
        </w:rPr>
        <w:t xml:space="preserve">RFCs: </w:t>
      </w:r>
      <w:r>
        <w:t>A series of Internet engineering documents describing Internet standards, as well as discussion papers, informational memorandums and best practices. Internet standards that are published in an RFC originate from the IETF. The RFC series is published by the RFC Editor.</w:t>
      </w:r>
    </w:p>
    <w:p w14:paraId="01B46251" w14:textId="77777777" w:rsidR="003F1C8B" w:rsidRDefault="003F1C8B" w:rsidP="003F1C8B">
      <w:pPr>
        <w:shd w:val="clear" w:color="auto" w:fill="FFFFFF"/>
        <w:spacing w:after="120"/>
        <w:ind w:left="720"/>
      </w:pPr>
      <w:proofErr w:type="gramStart"/>
      <w:r>
        <w:t xml:space="preserve">●  </w:t>
      </w:r>
      <w:r>
        <w:tab/>
      </w:r>
      <w:proofErr w:type="gramEnd"/>
      <w:r>
        <w:rPr>
          <w:b/>
        </w:rPr>
        <w:t>Root:</w:t>
      </w:r>
      <w:r>
        <w:t xml:space="preserve"> the most central (or all-encompassing) authority of any naming or numbering system. Usually used to refer to the domain name system root (see Root Zone). However, we are also the root for IP addresses, and other systems.</w:t>
      </w:r>
    </w:p>
    <w:p w14:paraId="002C6BF6" w14:textId="77777777" w:rsidR="003F1C8B" w:rsidRDefault="003F1C8B" w:rsidP="003F1C8B">
      <w:pPr>
        <w:shd w:val="clear" w:color="auto" w:fill="FFFFFF"/>
        <w:spacing w:after="120"/>
        <w:ind w:left="720"/>
      </w:pPr>
      <w:proofErr w:type="gramStart"/>
      <w:r>
        <w:t xml:space="preserve">●  </w:t>
      </w:r>
      <w:r>
        <w:tab/>
      </w:r>
      <w:proofErr w:type="gramEnd"/>
      <w:r>
        <w:rPr>
          <w:b/>
        </w:rPr>
        <w:t xml:space="preserve">Root servers: </w:t>
      </w:r>
      <w:r>
        <w:t xml:space="preserve">the authoritative name servers for the root zone. These are considered unlike regular name servers in part because they are generally the most critical and </w:t>
      </w:r>
      <w:proofErr w:type="gramStart"/>
      <w:r>
        <w:t>heavily-used</w:t>
      </w:r>
      <w:proofErr w:type="gramEnd"/>
      <w:r>
        <w:t xml:space="preserve"> name servers. They are also special as they are not easily replaced, as changes to them needs to be stored in every name server worldwide in a hints file.</w:t>
      </w:r>
    </w:p>
    <w:p w14:paraId="43366821" w14:textId="77777777" w:rsidR="003F1C8B" w:rsidRDefault="003F1C8B" w:rsidP="003F1C8B">
      <w:pPr>
        <w:shd w:val="clear" w:color="auto" w:fill="FFFFFF"/>
        <w:spacing w:after="120"/>
        <w:ind w:left="720"/>
      </w:pPr>
      <w:proofErr w:type="gramStart"/>
      <w:r>
        <w:t xml:space="preserve">●  </w:t>
      </w:r>
      <w:r>
        <w:tab/>
      </w:r>
      <w:proofErr w:type="gramEnd"/>
      <w:r>
        <w:rPr>
          <w:b/>
        </w:rPr>
        <w:t xml:space="preserve">Root Zone: </w:t>
      </w:r>
      <w:r>
        <w:t xml:space="preserve">The top of the domain name system hierarchy. The root zone contains </w:t>
      </w:r>
      <w:proofErr w:type="gramStart"/>
      <w:r>
        <w:t>all of</w:t>
      </w:r>
      <w:proofErr w:type="gramEnd"/>
      <w:r>
        <w:t xml:space="preserve"> the delegations for top-level domains, as well as the list of root servers, and is managed by us.</w:t>
      </w:r>
    </w:p>
    <w:p w14:paraId="19458776" w14:textId="77777777" w:rsidR="003F1C8B" w:rsidRDefault="003F1C8B" w:rsidP="003F1C8B">
      <w:pPr>
        <w:shd w:val="clear" w:color="auto" w:fill="FFFFFF"/>
        <w:spacing w:after="120"/>
        <w:ind w:left="720"/>
      </w:pPr>
      <w:proofErr w:type="gramStart"/>
      <w:r>
        <w:t xml:space="preserve">●  </w:t>
      </w:r>
      <w:r>
        <w:tab/>
      </w:r>
      <w:proofErr w:type="gramEnd"/>
      <w:r>
        <w:rPr>
          <w:b/>
        </w:rPr>
        <w:t xml:space="preserve">Root Zone Management: </w:t>
      </w:r>
      <w:r>
        <w:t>The management of the DNS Root Zone by us.</w:t>
      </w:r>
    </w:p>
    <w:p w14:paraId="1B6A7C68" w14:textId="77777777" w:rsidR="003F1C8B" w:rsidRDefault="003F1C8B" w:rsidP="003F1C8B">
      <w:pPr>
        <w:shd w:val="clear" w:color="auto" w:fill="FFFFFF"/>
        <w:spacing w:after="120"/>
        <w:ind w:left="720"/>
      </w:pPr>
      <w:proofErr w:type="gramStart"/>
      <w:r>
        <w:t xml:space="preserve">●  </w:t>
      </w:r>
      <w:r>
        <w:tab/>
      </w:r>
      <w:proofErr w:type="gramEnd"/>
      <w:r>
        <w:rPr>
          <w:b/>
        </w:rPr>
        <w:t xml:space="preserve">RZM: </w:t>
      </w:r>
      <w:r>
        <w:t>see Root Zone Management.</w:t>
      </w:r>
    </w:p>
    <w:p w14:paraId="5F3360A5" w14:textId="77777777" w:rsidR="003F1C8B" w:rsidRDefault="003F1C8B" w:rsidP="003F1C8B">
      <w:pPr>
        <w:shd w:val="clear" w:color="auto" w:fill="FFFFFF"/>
        <w:spacing w:before="280" w:after="120"/>
        <w:ind w:left="720"/>
      </w:pPr>
      <w:proofErr w:type="gramStart"/>
      <w:r>
        <w:t xml:space="preserve">●  </w:t>
      </w:r>
      <w:r>
        <w:tab/>
      </w:r>
      <w:proofErr w:type="gramEnd"/>
      <w:r>
        <w:rPr>
          <w:b/>
        </w:rPr>
        <w:t xml:space="preserve">Sponsoring organization: </w:t>
      </w:r>
      <w:r>
        <w:t xml:space="preserve">The entity acting as the trustee of a top-level domain on behalf of its designated community. Sponsoring </w:t>
      </w:r>
      <w:proofErr w:type="spellStart"/>
      <w:r>
        <w:t>organisations</w:t>
      </w:r>
      <w:proofErr w:type="spellEnd"/>
      <w:r>
        <w:t xml:space="preserve"> are not assigned ownership of a domain, rather, are custodians appointed by their local Internet community to act as proper stewards in that community’s best interests. The Sponsoring </w:t>
      </w:r>
      <w:proofErr w:type="spellStart"/>
      <w:r>
        <w:lastRenderedPageBreak/>
        <w:t>Organisation</w:t>
      </w:r>
      <w:proofErr w:type="spellEnd"/>
      <w:r>
        <w:t xml:space="preserve"> can generally be re-assigned if the local Internet community wishes using the redelegation process.</w:t>
      </w:r>
    </w:p>
    <w:p w14:paraId="510F82FD" w14:textId="77777777" w:rsidR="003F1C8B" w:rsidRDefault="003F1C8B" w:rsidP="003F1C8B">
      <w:pPr>
        <w:shd w:val="clear" w:color="auto" w:fill="FFFFFF"/>
        <w:spacing w:after="120"/>
        <w:ind w:left="720"/>
      </w:pPr>
      <w:proofErr w:type="gramStart"/>
      <w:r>
        <w:t xml:space="preserve">●  </w:t>
      </w:r>
      <w:r>
        <w:tab/>
      </w:r>
      <w:proofErr w:type="gramEnd"/>
      <w:r>
        <w:rPr>
          <w:b/>
        </w:rPr>
        <w:t xml:space="preserve">Sub-domain: </w:t>
      </w:r>
      <w:r>
        <w:t>A domain that resides within another domain. For example, “www.icann.org" is a sub-domain of “icann.org”, and “icann.org” is a sub-domain of “org”. Sub-domains are entrusted to other entities through a process of delegation.</w:t>
      </w:r>
    </w:p>
    <w:p w14:paraId="5B211713" w14:textId="77777777" w:rsidR="003F1C8B" w:rsidRDefault="003F1C8B" w:rsidP="003F1C8B">
      <w:pPr>
        <w:shd w:val="clear" w:color="auto" w:fill="FFFFFF"/>
        <w:spacing w:after="120"/>
        <w:ind w:left="720"/>
      </w:pPr>
      <w:proofErr w:type="gramStart"/>
      <w:r>
        <w:t xml:space="preserve">●  </w:t>
      </w:r>
      <w:r>
        <w:tab/>
      </w:r>
      <w:proofErr w:type="gramEnd"/>
      <w:r>
        <w:rPr>
          <w:b/>
        </w:rPr>
        <w:t xml:space="preserve">TLD: </w:t>
      </w:r>
      <w:r>
        <w:t>see top-level domain.</w:t>
      </w:r>
    </w:p>
    <w:p w14:paraId="1F7F14B6" w14:textId="77777777" w:rsidR="003F1C8B" w:rsidRDefault="003F1C8B" w:rsidP="003F1C8B">
      <w:pPr>
        <w:shd w:val="clear" w:color="auto" w:fill="FFFFFF"/>
        <w:spacing w:after="120"/>
        <w:ind w:left="720"/>
      </w:pPr>
      <w:proofErr w:type="gramStart"/>
      <w:r>
        <w:t xml:space="preserve">●  </w:t>
      </w:r>
      <w:r>
        <w:tab/>
      </w:r>
      <w:proofErr w:type="gramEnd"/>
      <w:r>
        <w:rPr>
          <w:b/>
        </w:rPr>
        <w:t>Top-level domain (TLD)</w:t>
      </w:r>
      <w:r>
        <w:t>: The highest level of subdivisions with the domain name system. These domains, such as “.COM” and “.UK” are delegated from the DNS Root zone. They are generally divided into two distinct categories, generic top-level domains and country code top-level domains.</w:t>
      </w:r>
    </w:p>
    <w:p w14:paraId="694A57AA" w14:textId="77777777" w:rsidR="003F1C8B" w:rsidRDefault="003F1C8B" w:rsidP="003F1C8B">
      <w:pPr>
        <w:shd w:val="clear" w:color="auto" w:fill="FFFFFF"/>
        <w:spacing w:after="120"/>
        <w:ind w:left="720"/>
      </w:pPr>
      <w:proofErr w:type="gramStart"/>
      <w:r>
        <w:t xml:space="preserve">●  </w:t>
      </w:r>
      <w:r>
        <w:tab/>
      </w:r>
      <w:proofErr w:type="gramEnd"/>
      <w:r>
        <w:rPr>
          <w:b/>
        </w:rPr>
        <w:t xml:space="preserve">Trustee: </w:t>
      </w:r>
      <w:r>
        <w:t xml:space="preserve">An entity entrusted with the operations of an Internet resource for the benefit of the wider community. In root zone management, usually in reference to the sponsoring </w:t>
      </w:r>
      <w:proofErr w:type="spellStart"/>
      <w:r>
        <w:t>organisation</w:t>
      </w:r>
      <w:proofErr w:type="spellEnd"/>
      <w:r>
        <w:t xml:space="preserve"> of a top-level domain.</w:t>
      </w:r>
    </w:p>
    <w:p w14:paraId="641214E2" w14:textId="77777777" w:rsidR="003F1C8B" w:rsidRDefault="003F1C8B" w:rsidP="003F1C8B">
      <w:pPr>
        <w:shd w:val="clear" w:color="auto" w:fill="FFFFFF"/>
        <w:spacing w:after="120"/>
        <w:ind w:left="720"/>
      </w:pPr>
      <w:proofErr w:type="gramStart"/>
      <w:r>
        <w:t xml:space="preserve">●  </w:t>
      </w:r>
      <w:r>
        <w:tab/>
      </w:r>
      <w:proofErr w:type="gramEnd"/>
      <w:r>
        <w:rPr>
          <w:b/>
        </w:rPr>
        <w:t xml:space="preserve">U-label: </w:t>
      </w:r>
      <w:r>
        <w:t xml:space="preserve">The Unicode representation of an </w:t>
      </w:r>
      <w:proofErr w:type="spellStart"/>
      <w:r>
        <w:t>internationalised</w:t>
      </w:r>
      <w:proofErr w:type="spellEnd"/>
      <w:r>
        <w:t xml:space="preserve"> domain name, i.e. how it is shown to the end-user. Contrast with A-label.</w:t>
      </w:r>
    </w:p>
    <w:p w14:paraId="24B8132C" w14:textId="77777777" w:rsidR="003F1C8B" w:rsidRDefault="003F1C8B" w:rsidP="003F1C8B">
      <w:pPr>
        <w:shd w:val="clear" w:color="auto" w:fill="FFFFFF"/>
        <w:spacing w:after="120"/>
        <w:ind w:left="720"/>
      </w:pPr>
      <w:proofErr w:type="gramStart"/>
      <w:r>
        <w:t xml:space="preserve">●  </w:t>
      </w:r>
      <w:r>
        <w:tab/>
      </w:r>
      <w:proofErr w:type="gramEnd"/>
      <w:r>
        <w:rPr>
          <w:b/>
        </w:rPr>
        <w:t xml:space="preserve">Unicode: </w:t>
      </w:r>
      <w:r>
        <w:t xml:space="preserve">A standard describing a repertoire of characters used to represent most of the worlds languages in written form. The collection of scripts used to do this is maintained by the Unicode Consortium and is constantly growing. Unicode is the basis for </w:t>
      </w:r>
      <w:proofErr w:type="spellStart"/>
      <w:r>
        <w:t>internationalised</w:t>
      </w:r>
      <w:proofErr w:type="spellEnd"/>
      <w:r>
        <w:t xml:space="preserve"> domain names.</w:t>
      </w:r>
    </w:p>
    <w:p w14:paraId="44C43622" w14:textId="77777777" w:rsidR="003F1C8B" w:rsidRDefault="003F1C8B" w:rsidP="003F1C8B">
      <w:pPr>
        <w:shd w:val="clear" w:color="auto" w:fill="FFFFFF"/>
        <w:spacing w:after="120"/>
        <w:ind w:left="720"/>
      </w:pPr>
      <w:proofErr w:type="gramStart"/>
      <w:r>
        <w:t xml:space="preserve">●  </w:t>
      </w:r>
      <w:r>
        <w:tab/>
      </w:r>
      <w:proofErr w:type="gramEnd"/>
      <w:r>
        <w:rPr>
          <w:b/>
        </w:rPr>
        <w:t xml:space="preserve">Unsponsored top-level domain: </w:t>
      </w:r>
      <w:r>
        <w:t>a sub-classification of generic top-level domain, where there is no formal community of interest.</w:t>
      </w:r>
    </w:p>
    <w:p w14:paraId="365D8434" w14:textId="77777777" w:rsidR="003F1C8B" w:rsidRDefault="003F1C8B" w:rsidP="003F1C8B">
      <w:pPr>
        <w:shd w:val="clear" w:color="auto" w:fill="FFFFFF"/>
        <w:spacing w:after="120"/>
        <w:ind w:left="720"/>
      </w:pPr>
      <w:proofErr w:type="gramStart"/>
      <w:r>
        <w:t xml:space="preserve">●  </w:t>
      </w:r>
      <w:r>
        <w:tab/>
      </w:r>
      <w:proofErr w:type="gramEnd"/>
      <w:r>
        <w:rPr>
          <w:b/>
        </w:rPr>
        <w:t xml:space="preserve">Variant: </w:t>
      </w:r>
      <w:r>
        <w:t xml:space="preserve">In the context of </w:t>
      </w:r>
      <w:proofErr w:type="spellStart"/>
      <w:r>
        <w:t>internationalised</w:t>
      </w:r>
      <w:proofErr w:type="spellEnd"/>
      <w:r>
        <w:t xml:space="preserve"> domain names, an alternative domain name that can be registered, or mean the same thing, because some of its characters can be registered in multiple different ways due to the way the language works. Depending on registry policy, variants may be registered together in one block called a variant bundle. For example, “</w:t>
      </w:r>
      <w:proofErr w:type="spellStart"/>
      <w:r>
        <w:t>internationalise</w:t>
      </w:r>
      <w:proofErr w:type="spellEnd"/>
      <w:r>
        <w:t>” and “internationalize” may be considered variants in English.</w:t>
      </w:r>
    </w:p>
    <w:p w14:paraId="3CA58E2A" w14:textId="77777777" w:rsidR="003F1C8B" w:rsidRDefault="003F1C8B" w:rsidP="003F1C8B">
      <w:pPr>
        <w:shd w:val="clear" w:color="auto" w:fill="FFFFFF"/>
        <w:spacing w:after="120"/>
        <w:ind w:left="720"/>
      </w:pPr>
      <w:proofErr w:type="gramStart"/>
      <w:r>
        <w:t xml:space="preserve">●  </w:t>
      </w:r>
      <w:r>
        <w:tab/>
      </w:r>
      <w:proofErr w:type="gramEnd"/>
      <w:r>
        <w:rPr>
          <w:b/>
        </w:rPr>
        <w:t xml:space="preserve">Variant bundle: </w:t>
      </w:r>
      <w:r>
        <w:t>A collection of multiple domain names that are grouped together because some of the characters are considered variants of the others.</w:t>
      </w:r>
    </w:p>
    <w:p w14:paraId="364BC1D7" w14:textId="77777777" w:rsidR="003F1C8B" w:rsidRDefault="003F1C8B" w:rsidP="003F1C8B">
      <w:pPr>
        <w:shd w:val="clear" w:color="auto" w:fill="FFFFFF"/>
        <w:spacing w:after="120"/>
        <w:ind w:left="720"/>
      </w:pPr>
      <w:proofErr w:type="gramStart"/>
      <w:r>
        <w:t xml:space="preserve">●  </w:t>
      </w:r>
      <w:r>
        <w:tab/>
      </w:r>
      <w:proofErr w:type="gramEnd"/>
      <w:r>
        <w:rPr>
          <w:b/>
        </w:rPr>
        <w:t xml:space="preserve">Variant table: </w:t>
      </w:r>
      <w:r>
        <w:t>A type of IDN table that describes the variants for a particular language or script. For example, a variant table may map Simplified Chinese characters to Traditional Chinese characters for the purpose of constructing a variant bundle.</w:t>
      </w:r>
    </w:p>
    <w:p w14:paraId="1358341E" w14:textId="77777777" w:rsidR="003F1C8B" w:rsidRDefault="003F1C8B" w:rsidP="003F1C8B">
      <w:pPr>
        <w:shd w:val="clear" w:color="auto" w:fill="FFFFFF"/>
        <w:spacing w:after="120"/>
        <w:ind w:left="720"/>
      </w:pPr>
      <w:r>
        <w:t xml:space="preserve">●  </w:t>
      </w:r>
      <w:r>
        <w:tab/>
      </w:r>
      <w:sdt>
        <w:sdtPr>
          <w:tag w:val="goog_rdk_6"/>
          <w:id w:val="867022644"/>
        </w:sdtPr>
        <w:sdtContent/>
      </w:sdt>
      <w:hyperlink r:id="rId53" w:anchor="field-section-46">
        <w:r>
          <w:rPr>
            <w:b/>
          </w:rPr>
          <w:t>WHOIS</w:t>
        </w:r>
      </w:hyperlink>
      <w:r>
        <w:rPr>
          <w:b/>
        </w:rPr>
        <w:t>:</w:t>
      </w:r>
      <w: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w:t>
      </w:r>
      <w:proofErr w:type="gramStart"/>
      <w:r>
        <w:t>are able to</w:t>
      </w:r>
      <w:proofErr w:type="gramEnd"/>
      <w:r>
        <w:t xml:space="preserve"> correct technical problems associated with the registered domain.</w:t>
      </w:r>
    </w:p>
    <w:p w14:paraId="1C97027E" w14:textId="1A8F1DAD" w:rsidR="003F1C8B" w:rsidRPr="003F1C8B" w:rsidRDefault="003F1C8B" w:rsidP="003F1C8B">
      <w:pPr>
        <w:shd w:val="clear" w:color="auto" w:fill="FFFFFF"/>
        <w:spacing w:after="120"/>
        <w:ind w:left="720"/>
        <w:rPr>
          <w:color w:val="FF0000"/>
        </w:rPr>
      </w:pPr>
      <w:r w:rsidRPr="003F1C8B">
        <w:rPr>
          <w:color w:val="FF0000"/>
        </w:rPr>
        <w:lastRenderedPageBreak/>
        <w:t xml:space="preserve">Comment from Allan: </w:t>
      </w:r>
      <w:r w:rsidRPr="003F1C8B">
        <w:rPr>
          <w:rFonts w:ascii="Helvetica Neue" w:hAnsi="Helvetica Neue" w:cs="Helvetica Neue"/>
          <w:color w:val="FF0000"/>
          <w:sz w:val="26"/>
          <w:szCs w:val="26"/>
        </w:rPr>
        <w:t>This describes the WHOIS protocol, which is being replaced by RDAP. The IANA Naming Services Contract refers to WHOIS only once (section 7.1(a)), in the context of a database, not a protocol.</w:t>
      </w:r>
    </w:p>
    <w:p w14:paraId="39D422AA" w14:textId="77777777" w:rsidR="003F1C8B" w:rsidRDefault="003F1C8B" w:rsidP="003F1C8B">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 </w:t>
      </w:r>
    </w:p>
    <w:p w14:paraId="1A429D57" w14:textId="77777777" w:rsidR="003F1C8B" w:rsidRDefault="003F1C8B" w:rsidP="003F1C8B"/>
    <w:p w14:paraId="089AD452" w14:textId="77777777" w:rsidR="003F1C8B" w:rsidRDefault="003F1C8B" w:rsidP="003F1C8B"/>
    <w:p w14:paraId="36D00CBB" w14:textId="77777777" w:rsidR="003F1C8B" w:rsidRDefault="003F1C8B" w:rsidP="003F1C8B"/>
    <w:p w14:paraId="66852B96" w14:textId="77777777" w:rsidR="003F1C8B" w:rsidRDefault="003F1C8B" w:rsidP="003F1C8B"/>
    <w:p w14:paraId="1DE6088A" w14:textId="77777777" w:rsidR="003F1C8B" w:rsidRDefault="003F1C8B" w:rsidP="003F1C8B"/>
    <w:p w14:paraId="1CE250F4" w14:textId="77777777" w:rsidR="003F1C8B" w:rsidRDefault="003F1C8B" w:rsidP="003F1C8B"/>
    <w:p w14:paraId="31486AAC" w14:textId="77777777" w:rsidR="003F1C8B" w:rsidRDefault="003F1C8B" w:rsidP="003F1C8B">
      <w:r>
        <w:br/>
      </w:r>
    </w:p>
    <w:p w14:paraId="42310DA5" w14:textId="77777777" w:rsidR="003F1C8B" w:rsidRDefault="003F1C8B" w:rsidP="003F1C8B"/>
    <w:p w14:paraId="6EE53F84" w14:textId="77777777" w:rsidR="003F1C8B" w:rsidRDefault="003F1C8B" w:rsidP="003F1C8B"/>
    <w:p w14:paraId="6BC29D37" w14:textId="77777777" w:rsidR="003F1C8B" w:rsidRDefault="003F1C8B" w:rsidP="003F1C8B"/>
    <w:p w14:paraId="24164756" w14:textId="77777777" w:rsidR="003F1C8B" w:rsidRDefault="003F1C8B" w:rsidP="003F1C8B"/>
    <w:p w14:paraId="05BB6791" w14:textId="77777777" w:rsidR="003F1C8B" w:rsidRDefault="003F1C8B" w:rsidP="003F1C8B"/>
    <w:p w14:paraId="0180D76F" w14:textId="77777777" w:rsidR="003F1C8B" w:rsidRDefault="003F1C8B" w:rsidP="003F1C8B"/>
    <w:p w14:paraId="46D561D0" w14:textId="77777777" w:rsidR="003F1C8B" w:rsidRDefault="003F1C8B" w:rsidP="003F1C8B"/>
    <w:p w14:paraId="03165404" w14:textId="77777777" w:rsidR="003F1C8B" w:rsidRDefault="003F1C8B" w:rsidP="003F1C8B">
      <w:r>
        <w:br w:type="page"/>
      </w:r>
    </w:p>
    <w:p w14:paraId="0AA1C82A" w14:textId="77777777" w:rsidR="003F1C8B" w:rsidRPr="003F1C8B" w:rsidRDefault="003F1C8B" w:rsidP="003F1C8B">
      <w:pPr>
        <w:pStyle w:val="Heading2"/>
      </w:pPr>
      <w:bookmarkStart w:id="73" w:name="_heading=h.1fob9te" w:colFirst="0" w:colLast="0"/>
      <w:bookmarkStart w:id="74" w:name="_Toc191310538"/>
      <w:bookmarkEnd w:id="73"/>
      <w:r w:rsidRPr="003F1C8B">
        <w:lastRenderedPageBreak/>
        <w:t>Appendix B: Contract Revisions and Findings</w:t>
      </w:r>
      <w:bookmarkEnd w:id="74"/>
    </w:p>
    <w:p w14:paraId="7B88BB43" w14:textId="77777777" w:rsidR="003F1C8B" w:rsidRDefault="003F1C8B" w:rsidP="003F1C8B">
      <w:pPr>
        <w:shd w:val="clear" w:color="auto" w:fill="FFFFFF"/>
        <w:rPr>
          <w:sz w:val="24"/>
          <w:szCs w:val="24"/>
        </w:rPr>
      </w:pP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4845"/>
        <w:gridCol w:w="4170"/>
      </w:tblGrid>
      <w:tr w:rsidR="003F1C8B" w14:paraId="77672FF2" w14:textId="77777777" w:rsidTr="00774A44">
        <w:trPr>
          <w:trHeight w:val="345"/>
        </w:trPr>
        <w:tc>
          <w:tcPr>
            <w:tcW w:w="4845" w:type="dxa"/>
            <w:tcBorders>
              <w:top w:val="nil"/>
              <w:left w:val="single" w:sz="6" w:space="0" w:color="FFFFFF"/>
              <w:bottom w:val="single" w:sz="6" w:space="0" w:color="FFFFFF"/>
              <w:right w:val="single" w:sz="6" w:space="0" w:color="FFFFFF"/>
            </w:tcBorders>
            <w:shd w:val="clear" w:color="auto" w:fill="0D436C"/>
            <w:tcMar>
              <w:top w:w="20" w:type="dxa"/>
              <w:left w:w="20" w:type="dxa"/>
              <w:bottom w:w="100" w:type="dxa"/>
              <w:right w:w="20" w:type="dxa"/>
            </w:tcMar>
            <w:vAlign w:val="center"/>
          </w:tcPr>
          <w:p w14:paraId="4784FF87" w14:textId="77777777" w:rsidR="003F1C8B" w:rsidRDefault="003F1C8B" w:rsidP="00774A44">
            <w:pPr>
              <w:widowControl w:val="0"/>
              <w:spacing w:line="276" w:lineRule="auto"/>
              <w:jc w:val="center"/>
              <w:rPr>
                <w:b/>
                <w:color w:val="FFFFFF"/>
              </w:rPr>
            </w:pPr>
            <w:r>
              <w:rPr>
                <w:b/>
                <w:color w:val="FFFFFF"/>
              </w:rPr>
              <w:t>Contract Section</w:t>
            </w:r>
          </w:p>
        </w:tc>
        <w:tc>
          <w:tcPr>
            <w:tcW w:w="4170" w:type="dxa"/>
            <w:tcBorders>
              <w:top w:val="nil"/>
              <w:left w:val="single" w:sz="6" w:space="0" w:color="FFFFFF"/>
              <w:bottom w:val="single" w:sz="6" w:space="0" w:color="FFFFFF"/>
              <w:right w:val="single" w:sz="6" w:space="0" w:color="FFFFFF"/>
            </w:tcBorders>
            <w:shd w:val="clear" w:color="auto" w:fill="0D436C"/>
            <w:tcMar>
              <w:top w:w="20" w:type="dxa"/>
              <w:left w:w="20" w:type="dxa"/>
              <w:bottom w:w="100" w:type="dxa"/>
              <w:right w:w="20" w:type="dxa"/>
            </w:tcMar>
            <w:vAlign w:val="center"/>
          </w:tcPr>
          <w:p w14:paraId="544BB4E2" w14:textId="77777777" w:rsidR="003F1C8B" w:rsidRDefault="003F1C8B" w:rsidP="00774A44">
            <w:pPr>
              <w:widowControl w:val="0"/>
              <w:spacing w:line="276" w:lineRule="auto"/>
              <w:jc w:val="center"/>
              <w:rPr>
                <w:b/>
                <w:color w:val="FFFFFF"/>
              </w:rPr>
            </w:pPr>
            <w:r>
              <w:rPr>
                <w:b/>
                <w:color w:val="FFFFFF"/>
              </w:rPr>
              <w:t>Revisions and Findings</w:t>
            </w:r>
          </w:p>
        </w:tc>
      </w:tr>
      <w:tr w:rsidR="003F1C8B" w14:paraId="5517E76A" w14:textId="77777777" w:rsidTr="00774A44">
        <w:trPr>
          <w:trHeight w:val="2460"/>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4CA73BB1" w14:textId="77777777" w:rsidR="003F1C8B" w:rsidRDefault="003F1C8B" w:rsidP="00774A44">
            <w:pPr>
              <w:widowControl w:val="0"/>
              <w:spacing w:line="276" w:lineRule="auto"/>
              <w:rPr>
                <w:b/>
              </w:rPr>
            </w:pPr>
            <w:r>
              <w:rPr>
                <w:b/>
              </w:rPr>
              <w:t>Article I: Definitions and Construction</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46A9DAFA" w14:textId="77777777" w:rsidR="003F1C8B" w:rsidRDefault="003F1C8B" w:rsidP="00774A44">
            <w:pPr>
              <w:widowControl w:val="0"/>
              <w:spacing w:line="276" w:lineRule="auto"/>
            </w:pPr>
            <w:r>
              <w:t>The Review Team found that a significant number of terms were not clearly defined in the sections of text to which Article I points. This may be remedied at a time when other changes are being made to the contract.</w:t>
            </w:r>
          </w:p>
          <w:p w14:paraId="7D429550" w14:textId="77777777" w:rsidR="003F1C8B" w:rsidRDefault="003F1C8B" w:rsidP="00774A44">
            <w:pPr>
              <w:widowControl w:val="0"/>
              <w:spacing w:line="276" w:lineRule="auto"/>
            </w:pPr>
          </w:p>
          <w:p w14:paraId="7E671EDC" w14:textId="1E32FF3D" w:rsidR="003F1C8B" w:rsidRDefault="003F1C8B" w:rsidP="00774A44">
            <w:pPr>
              <w:widowControl w:val="0"/>
              <w:spacing w:line="276" w:lineRule="auto"/>
            </w:pPr>
            <w:r>
              <w:t xml:space="preserve">The Review team catalogued the definitions </w:t>
            </w:r>
            <w:sdt>
              <w:sdtPr>
                <w:tag w:val="goog_rdk_7"/>
                <w:id w:val="-916786001"/>
              </w:sdtPr>
              <w:sdtContent/>
            </w:sdt>
            <w:r>
              <w:t>here.</w:t>
            </w:r>
            <w:r>
              <w:t xml:space="preserve"> </w:t>
            </w:r>
            <w:r w:rsidRPr="003F1C8B">
              <w:rPr>
                <w:color w:val="FF0000"/>
              </w:rPr>
              <w:t>Does the review team believe there should be another appendix or a link or neither?</w:t>
            </w:r>
          </w:p>
        </w:tc>
      </w:tr>
      <w:tr w:rsidR="003F1C8B" w14:paraId="40CAD542" w14:textId="77777777" w:rsidTr="00774A44">
        <w:trPr>
          <w:trHeight w:val="58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1115B357" w14:textId="77777777" w:rsidR="003F1C8B" w:rsidRDefault="003F1C8B" w:rsidP="00774A44">
            <w:pPr>
              <w:widowControl w:val="0"/>
              <w:spacing w:line="276" w:lineRule="auto"/>
              <w:rPr>
                <w:b/>
              </w:rPr>
            </w:pPr>
            <w:r>
              <w:rPr>
                <w:b/>
              </w:rPr>
              <w:t>Article II: Conditions Precedent</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088DBE51" w14:textId="77777777" w:rsidR="003F1C8B" w:rsidRDefault="003F1C8B" w:rsidP="00774A44">
            <w:pPr>
              <w:widowControl w:val="0"/>
              <w:spacing w:line="276" w:lineRule="auto"/>
            </w:pPr>
            <w:r>
              <w:t>No findings</w:t>
            </w:r>
          </w:p>
        </w:tc>
      </w:tr>
      <w:tr w:rsidR="003F1C8B" w14:paraId="2CB50F6E" w14:textId="77777777" w:rsidTr="00774A44">
        <w:trPr>
          <w:trHeight w:val="58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406428C8" w14:textId="77777777" w:rsidR="003F1C8B" w:rsidRDefault="003F1C8B" w:rsidP="00774A44">
            <w:pPr>
              <w:widowControl w:val="0"/>
              <w:spacing w:line="276" w:lineRule="auto"/>
              <w:rPr>
                <w:b/>
              </w:rPr>
            </w:pPr>
            <w:r>
              <w:rPr>
                <w:b/>
              </w:rPr>
              <w:t>Article III: Representations and Warranties</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5D7D5865" w14:textId="77777777" w:rsidR="003F1C8B" w:rsidRDefault="003F1C8B" w:rsidP="00774A44">
            <w:pPr>
              <w:widowControl w:val="0"/>
              <w:spacing w:line="276" w:lineRule="auto"/>
            </w:pPr>
            <w:r>
              <w:t>No findings</w:t>
            </w:r>
          </w:p>
        </w:tc>
      </w:tr>
      <w:tr w:rsidR="003F1C8B" w14:paraId="20DCBB0D" w14:textId="77777777" w:rsidTr="00774A44">
        <w:trPr>
          <w:trHeight w:val="465"/>
        </w:trPr>
        <w:tc>
          <w:tcPr>
            <w:tcW w:w="4845" w:type="dxa"/>
            <w:tcBorders>
              <w:top w:val="single" w:sz="6" w:space="0" w:color="FFFFFF"/>
              <w:left w:val="single" w:sz="6" w:space="0" w:color="FFFFFF"/>
              <w:bottom w:val="single" w:sz="6" w:space="0" w:color="EFEFEF"/>
              <w:right w:val="single" w:sz="6" w:space="0" w:color="FFFFFF"/>
            </w:tcBorders>
            <w:shd w:val="clear" w:color="auto" w:fill="EFEFEF"/>
            <w:tcMar>
              <w:top w:w="20" w:type="dxa"/>
              <w:left w:w="20" w:type="dxa"/>
              <w:bottom w:w="100" w:type="dxa"/>
              <w:right w:w="20" w:type="dxa"/>
            </w:tcMar>
            <w:vAlign w:val="center"/>
          </w:tcPr>
          <w:p w14:paraId="391DC8A7" w14:textId="77777777" w:rsidR="003F1C8B" w:rsidRDefault="003F1C8B" w:rsidP="00774A44">
            <w:pPr>
              <w:widowControl w:val="0"/>
              <w:spacing w:line="276" w:lineRule="auto"/>
              <w:rPr>
                <w:b/>
              </w:rPr>
            </w:pPr>
            <w:r>
              <w:rPr>
                <w:b/>
              </w:rPr>
              <w:t>Article IV: Services and Requirements</w:t>
            </w:r>
          </w:p>
        </w:tc>
        <w:tc>
          <w:tcPr>
            <w:tcW w:w="4170" w:type="dxa"/>
            <w:tcBorders>
              <w:top w:val="single" w:sz="6" w:space="0" w:color="FFFFFF"/>
              <w:left w:val="single" w:sz="6" w:space="0" w:color="FFFFFF"/>
              <w:bottom w:val="single" w:sz="6" w:space="0" w:color="EFEFEF"/>
              <w:right w:val="single" w:sz="6" w:space="0" w:color="FFFFFF"/>
            </w:tcBorders>
            <w:shd w:val="clear" w:color="auto" w:fill="EFEFEF"/>
            <w:tcMar>
              <w:top w:w="20" w:type="dxa"/>
              <w:left w:w="20" w:type="dxa"/>
              <w:bottom w:w="100" w:type="dxa"/>
              <w:right w:w="20" w:type="dxa"/>
            </w:tcMar>
            <w:vAlign w:val="center"/>
          </w:tcPr>
          <w:p w14:paraId="46A77267" w14:textId="77777777" w:rsidR="003F1C8B" w:rsidRDefault="003F1C8B" w:rsidP="00774A44">
            <w:pPr>
              <w:widowControl w:val="0"/>
              <w:spacing w:line="276" w:lineRule="auto"/>
            </w:pPr>
            <w:r>
              <w:t>Finding highlighted in section 4.4(b)</w:t>
            </w:r>
          </w:p>
        </w:tc>
      </w:tr>
      <w:tr w:rsidR="003F1C8B" w14:paraId="14EEE0FB" w14:textId="77777777" w:rsidTr="00774A44">
        <w:trPr>
          <w:trHeight w:val="465"/>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4F00AF33" w14:textId="77777777" w:rsidR="003F1C8B" w:rsidRDefault="003F1C8B" w:rsidP="00774A44">
            <w:pPr>
              <w:widowControl w:val="0"/>
              <w:spacing w:line="276" w:lineRule="auto"/>
              <w:rPr>
                <w:b/>
              </w:rPr>
            </w:pPr>
            <w:r>
              <w:rPr>
                <w:b/>
              </w:rPr>
              <w:t>Section 4.1 “Designation”</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684E0A52" w14:textId="77777777" w:rsidR="003F1C8B" w:rsidRDefault="003F1C8B" w:rsidP="00774A44">
            <w:pPr>
              <w:widowControl w:val="0"/>
              <w:spacing w:line="276" w:lineRule="auto"/>
            </w:pPr>
            <w:r>
              <w:t>No findings</w:t>
            </w:r>
          </w:p>
        </w:tc>
      </w:tr>
      <w:tr w:rsidR="003F1C8B" w14:paraId="6CBE39C1" w14:textId="77777777" w:rsidTr="00774A44">
        <w:trPr>
          <w:trHeight w:val="465"/>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2B39B3F5" w14:textId="77777777" w:rsidR="003F1C8B" w:rsidRDefault="003F1C8B" w:rsidP="00774A44">
            <w:pPr>
              <w:widowControl w:val="0"/>
              <w:spacing w:line="276" w:lineRule="auto"/>
              <w:rPr>
                <w:b/>
              </w:rPr>
            </w:pPr>
            <w:r>
              <w:rPr>
                <w:b/>
              </w:rPr>
              <w:t>Section 4.2 “U.S. Presence”</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5FB98F60" w14:textId="77777777" w:rsidR="003F1C8B" w:rsidRDefault="003F1C8B" w:rsidP="00774A44">
            <w:pPr>
              <w:widowControl w:val="0"/>
              <w:spacing w:line="276" w:lineRule="auto"/>
            </w:pPr>
            <w:r>
              <w:t>No findings</w:t>
            </w:r>
          </w:p>
        </w:tc>
      </w:tr>
      <w:tr w:rsidR="003F1C8B" w14:paraId="2CF21D59" w14:textId="77777777" w:rsidTr="00774A44">
        <w:trPr>
          <w:trHeight w:val="570"/>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58BA7FD2" w14:textId="77777777" w:rsidR="003F1C8B" w:rsidRDefault="003F1C8B" w:rsidP="00774A44">
            <w:pPr>
              <w:widowControl w:val="0"/>
              <w:spacing w:line="276" w:lineRule="auto"/>
              <w:rPr>
                <w:b/>
              </w:rPr>
            </w:pPr>
            <w:r>
              <w:rPr>
                <w:b/>
              </w:rPr>
              <w:t>Section 4.3 “Scope of the IANA Naming Function”</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05C68BE9" w14:textId="77777777" w:rsidR="003F1C8B" w:rsidRDefault="003F1C8B" w:rsidP="00774A44">
            <w:pPr>
              <w:widowControl w:val="0"/>
              <w:spacing w:line="276" w:lineRule="auto"/>
            </w:pPr>
            <w:r>
              <w:t>No findings</w:t>
            </w:r>
          </w:p>
        </w:tc>
      </w:tr>
      <w:tr w:rsidR="003F1C8B" w14:paraId="5C19F5D0" w14:textId="77777777" w:rsidTr="00774A44">
        <w:trPr>
          <w:trHeight w:val="645"/>
        </w:trPr>
        <w:tc>
          <w:tcPr>
            <w:tcW w:w="4845" w:type="dxa"/>
            <w:tcBorders>
              <w:top w:val="single" w:sz="6" w:space="0" w:color="EFEFEF"/>
              <w:left w:val="single" w:sz="6" w:space="0" w:color="EFEFEF"/>
              <w:bottom w:val="single" w:sz="6" w:space="0" w:color="F3F3F3"/>
              <w:right w:val="single" w:sz="6" w:space="0" w:color="EFEFEF"/>
            </w:tcBorders>
            <w:shd w:val="clear" w:color="auto" w:fill="FFFFFF"/>
            <w:tcMar>
              <w:top w:w="20" w:type="dxa"/>
              <w:left w:w="20" w:type="dxa"/>
              <w:bottom w:w="100" w:type="dxa"/>
              <w:right w:w="20" w:type="dxa"/>
            </w:tcMar>
          </w:tcPr>
          <w:p w14:paraId="5F5C9F8B" w14:textId="77777777" w:rsidR="003F1C8B" w:rsidRDefault="003F1C8B" w:rsidP="00774A44">
            <w:pPr>
              <w:widowControl w:val="0"/>
              <w:spacing w:line="276" w:lineRule="auto"/>
              <w:rPr>
                <w:b/>
              </w:rPr>
            </w:pPr>
            <w:r>
              <w:rPr>
                <w:b/>
              </w:rPr>
              <w:t>Section 4.4 “Performance of IANA Naming Function”</w:t>
            </w:r>
          </w:p>
        </w:tc>
        <w:tc>
          <w:tcPr>
            <w:tcW w:w="4170" w:type="dxa"/>
            <w:tcBorders>
              <w:top w:val="single" w:sz="6" w:space="0" w:color="EFEFEF"/>
              <w:left w:val="single" w:sz="6" w:space="0" w:color="EFEFEF"/>
              <w:bottom w:val="single" w:sz="6" w:space="0" w:color="F3F3F3"/>
              <w:right w:val="single" w:sz="6" w:space="0" w:color="EFEFEF"/>
            </w:tcBorders>
            <w:shd w:val="clear" w:color="auto" w:fill="FFFFFF"/>
            <w:tcMar>
              <w:top w:w="20" w:type="dxa"/>
              <w:left w:w="20" w:type="dxa"/>
              <w:bottom w:w="100" w:type="dxa"/>
              <w:right w:w="20" w:type="dxa"/>
            </w:tcMar>
          </w:tcPr>
          <w:p w14:paraId="7F618AE2" w14:textId="77777777" w:rsidR="003F1C8B" w:rsidRDefault="003F1C8B" w:rsidP="00774A44">
            <w:pPr>
              <w:widowControl w:val="0"/>
              <w:spacing w:line="276" w:lineRule="auto"/>
            </w:pPr>
            <w:r>
              <w:t>Drafting suggestion identified in Section 4.4(b)</w:t>
            </w:r>
          </w:p>
        </w:tc>
      </w:tr>
      <w:tr w:rsidR="003F1C8B" w14:paraId="7BC0BAA0" w14:textId="77777777" w:rsidTr="00774A44">
        <w:trPr>
          <w:trHeight w:val="64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AF81430" w14:textId="77777777" w:rsidR="003F1C8B" w:rsidRDefault="003F1C8B" w:rsidP="00774A44">
            <w:pPr>
              <w:widowControl w:val="0"/>
              <w:spacing w:line="276" w:lineRule="auto"/>
            </w:pPr>
            <w:r>
              <w:t xml:space="preserve">(b) Contractor shall treat the IANA Naming Function with equal priority as the other IANA functions performed by </w:t>
            </w:r>
            <w:proofErr w:type="gramStart"/>
            <w:r>
              <w:t>Contractor, and</w:t>
            </w:r>
            <w:proofErr w:type="gramEnd"/>
            <w:r>
              <w:t xml:space="preserve"> process all requests promptly and efficiently.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A2B574B" w14:textId="77777777" w:rsidR="003F1C8B" w:rsidRDefault="003F1C8B" w:rsidP="00774A44">
            <w:pPr>
              <w:widowControl w:val="0"/>
              <w:spacing w:line="276" w:lineRule="auto"/>
            </w:pPr>
            <w:r>
              <w:t>Clarify that “requests” means Naming Function requests.</w:t>
            </w:r>
          </w:p>
        </w:tc>
      </w:tr>
      <w:tr w:rsidR="003F1C8B" w14:paraId="142F9D26" w14:textId="77777777" w:rsidTr="00774A44">
        <w:trPr>
          <w:trHeight w:val="7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C478EC" w14:textId="77777777" w:rsidR="003F1C8B" w:rsidRDefault="003F1C8B" w:rsidP="00774A44">
            <w:pPr>
              <w:widowControl w:val="0"/>
              <w:spacing w:line="276" w:lineRule="auto"/>
            </w:pPr>
            <w:r>
              <w:rPr>
                <w:b/>
              </w:rPr>
              <w:t>Section 4.5: Separation of Policy Development and Operational Roles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5FC5AF" w14:textId="77777777" w:rsidR="003F1C8B" w:rsidRDefault="003F1C8B" w:rsidP="00774A44">
            <w:pPr>
              <w:widowControl w:val="0"/>
              <w:spacing w:line="276" w:lineRule="auto"/>
            </w:pPr>
            <w:r>
              <w:t>No findings</w:t>
            </w:r>
          </w:p>
        </w:tc>
      </w:tr>
      <w:tr w:rsidR="003F1C8B" w14:paraId="2F01DE01"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1AC74BA" w14:textId="77777777" w:rsidR="003F1C8B" w:rsidRDefault="003F1C8B" w:rsidP="00774A44">
            <w:pPr>
              <w:widowControl w:val="0"/>
              <w:spacing w:line="276" w:lineRule="auto"/>
            </w:pPr>
            <w:r>
              <w:rPr>
                <w:b/>
              </w:rPr>
              <w:t>Section 4.6: User Instructions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006C6B5" w14:textId="77777777" w:rsidR="003F1C8B" w:rsidRDefault="003F1C8B" w:rsidP="00774A44">
            <w:pPr>
              <w:widowControl w:val="0"/>
              <w:spacing w:line="276" w:lineRule="auto"/>
            </w:pPr>
            <w:r>
              <w:t>No findings</w:t>
            </w:r>
          </w:p>
        </w:tc>
      </w:tr>
      <w:tr w:rsidR="003F1C8B" w14:paraId="58B6640C"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5AEAB72" w14:textId="77777777" w:rsidR="003F1C8B" w:rsidRDefault="003F1C8B" w:rsidP="00774A44">
            <w:pPr>
              <w:widowControl w:val="0"/>
              <w:spacing w:line="276" w:lineRule="auto"/>
            </w:pPr>
            <w:r>
              <w:rPr>
                <w:b/>
              </w:rPr>
              <w:t>Section 4.7: Responsibility and Respect for Stakeholders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F42182" w14:textId="77777777" w:rsidR="003F1C8B" w:rsidRDefault="003F1C8B" w:rsidP="00774A44">
            <w:pPr>
              <w:widowControl w:val="0"/>
              <w:spacing w:line="276" w:lineRule="auto"/>
            </w:pPr>
            <w:r>
              <w:t>No findings</w:t>
            </w:r>
          </w:p>
        </w:tc>
      </w:tr>
      <w:tr w:rsidR="003F1C8B" w14:paraId="09684E9A"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2908CF" w14:textId="77777777" w:rsidR="003F1C8B" w:rsidRDefault="003F1C8B" w:rsidP="00774A44">
            <w:pPr>
              <w:widowControl w:val="0"/>
              <w:spacing w:line="276" w:lineRule="auto"/>
              <w:rPr>
                <w:b/>
              </w:rPr>
            </w:pPr>
            <w:r>
              <w:rPr>
                <w:b/>
              </w:rPr>
              <w:lastRenderedPageBreak/>
              <w:t>Section 4.8: Management of the .INT TLD</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943CEFC" w14:textId="77777777" w:rsidR="003F1C8B" w:rsidRDefault="003F1C8B" w:rsidP="00774A44">
            <w:pPr>
              <w:widowControl w:val="0"/>
              <w:spacing w:line="276" w:lineRule="auto"/>
            </w:pPr>
            <w:r>
              <w:t>No findings</w:t>
            </w:r>
          </w:p>
        </w:tc>
      </w:tr>
      <w:tr w:rsidR="003F1C8B" w14:paraId="0A9800FB"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19C0E24" w14:textId="77777777" w:rsidR="003F1C8B" w:rsidRDefault="003F1C8B" w:rsidP="00774A44">
            <w:pPr>
              <w:widowControl w:val="0"/>
              <w:spacing w:line="276" w:lineRule="auto"/>
              <w:rPr>
                <w:b/>
              </w:rPr>
            </w:pPr>
            <w:r>
              <w:rPr>
                <w:b/>
              </w:rPr>
              <w:t>Section 4.9: General Manager; Key Personnel</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AD7244A" w14:textId="77777777" w:rsidR="003F1C8B" w:rsidRDefault="003F1C8B" w:rsidP="00774A44">
            <w:pPr>
              <w:widowControl w:val="0"/>
              <w:spacing w:line="276" w:lineRule="auto"/>
            </w:pPr>
            <w:r>
              <w:t>No findings</w:t>
            </w:r>
          </w:p>
        </w:tc>
      </w:tr>
      <w:tr w:rsidR="003F1C8B" w14:paraId="227E7A59" w14:textId="77777777" w:rsidTr="00774A44">
        <w:trPr>
          <w:trHeight w:val="405"/>
        </w:trPr>
        <w:tc>
          <w:tcPr>
            <w:tcW w:w="4845" w:type="dxa"/>
            <w:tcBorders>
              <w:top w:val="single" w:sz="6" w:space="0" w:color="F3F3F3"/>
              <w:left w:val="single" w:sz="6" w:space="0" w:color="F3F3F3"/>
              <w:bottom w:val="single" w:sz="6" w:space="0" w:color="FFFFFF"/>
              <w:right w:val="single" w:sz="6" w:space="0" w:color="F3F3F3"/>
            </w:tcBorders>
            <w:shd w:val="clear" w:color="auto" w:fill="FFFFFF"/>
            <w:tcMar>
              <w:top w:w="20" w:type="dxa"/>
              <w:left w:w="20" w:type="dxa"/>
              <w:bottom w:w="100" w:type="dxa"/>
              <w:right w:w="20" w:type="dxa"/>
            </w:tcMar>
          </w:tcPr>
          <w:p w14:paraId="046A50D0" w14:textId="77777777" w:rsidR="003F1C8B" w:rsidRDefault="003F1C8B" w:rsidP="00774A44">
            <w:pPr>
              <w:widowControl w:val="0"/>
              <w:spacing w:line="276" w:lineRule="auto"/>
              <w:rPr>
                <w:b/>
              </w:rPr>
            </w:pPr>
            <w:r>
              <w:rPr>
                <w:b/>
              </w:rPr>
              <w:t>Section 4.10: Inspection of All Deliverables and Reports Before Publication</w:t>
            </w:r>
          </w:p>
        </w:tc>
        <w:tc>
          <w:tcPr>
            <w:tcW w:w="4170" w:type="dxa"/>
            <w:tcBorders>
              <w:top w:val="single" w:sz="6" w:space="0" w:color="F3F3F3"/>
              <w:left w:val="single" w:sz="6" w:space="0" w:color="F3F3F3"/>
              <w:bottom w:val="single" w:sz="6" w:space="0" w:color="FFFFFF"/>
              <w:right w:val="single" w:sz="6" w:space="0" w:color="F3F3F3"/>
            </w:tcBorders>
            <w:shd w:val="clear" w:color="auto" w:fill="FFFFFF"/>
            <w:tcMar>
              <w:top w:w="20" w:type="dxa"/>
              <w:left w:w="20" w:type="dxa"/>
              <w:bottom w:w="100" w:type="dxa"/>
              <w:right w:w="20" w:type="dxa"/>
            </w:tcMar>
          </w:tcPr>
          <w:p w14:paraId="7DAAF4CE" w14:textId="77777777" w:rsidR="003F1C8B" w:rsidRDefault="003F1C8B" w:rsidP="00774A44">
            <w:pPr>
              <w:widowControl w:val="0"/>
              <w:spacing w:line="276" w:lineRule="auto"/>
            </w:pPr>
            <w:r>
              <w:t>No findings</w:t>
            </w:r>
          </w:p>
        </w:tc>
      </w:tr>
      <w:tr w:rsidR="003F1C8B" w14:paraId="41F5AD2A" w14:textId="77777777" w:rsidTr="00774A44">
        <w:trPr>
          <w:trHeight w:val="40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69287761" w14:textId="77777777" w:rsidR="003F1C8B" w:rsidRDefault="003F1C8B" w:rsidP="00774A44">
            <w:pPr>
              <w:widowControl w:val="0"/>
              <w:pBdr>
                <w:top w:val="nil"/>
                <w:left w:val="nil"/>
                <w:bottom w:val="nil"/>
                <w:right w:val="nil"/>
                <w:between w:val="nil"/>
              </w:pBdr>
              <w:spacing w:line="276" w:lineRule="auto"/>
              <w:rPr>
                <w:b/>
              </w:rPr>
            </w:pPr>
            <w:r>
              <w:rPr>
                <w:b/>
              </w:rPr>
              <w:t>Article V: Performance</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5078B647" w14:textId="77777777" w:rsidR="003F1C8B" w:rsidRDefault="003F1C8B" w:rsidP="00774A44">
            <w:pPr>
              <w:widowControl w:val="0"/>
              <w:pBdr>
                <w:top w:val="nil"/>
                <w:left w:val="nil"/>
                <w:bottom w:val="nil"/>
                <w:right w:val="nil"/>
                <w:between w:val="nil"/>
              </w:pBdr>
              <w:spacing w:line="276" w:lineRule="auto"/>
            </w:pPr>
            <w:r>
              <w:t>No findings</w:t>
            </w:r>
          </w:p>
        </w:tc>
      </w:tr>
      <w:tr w:rsidR="003F1C8B" w14:paraId="63D72536" w14:textId="77777777" w:rsidTr="00774A44">
        <w:trPr>
          <w:trHeight w:val="40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09010944" w14:textId="77777777" w:rsidR="003F1C8B" w:rsidRDefault="003F1C8B" w:rsidP="00774A44">
            <w:pPr>
              <w:widowControl w:val="0"/>
              <w:pBdr>
                <w:top w:val="nil"/>
                <w:left w:val="nil"/>
                <w:bottom w:val="nil"/>
                <w:right w:val="nil"/>
                <w:between w:val="nil"/>
              </w:pBdr>
              <w:spacing w:line="276" w:lineRule="auto"/>
              <w:rPr>
                <w:b/>
              </w:rPr>
            </w:pPr>
            <w:r>
              <w:rPr>
                <w:b/>
              </w:rPr>
              <w:t>Article VI: Transparency and Decision-Making</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07CD237D" w14:textId="77777777" w:rsidR="003F1C8B" w:rsidRDefault="003F1C8B" w:rsidP="00774A44">
            <w:pPr>
              <w:widowControl w:val="0"/>
              <w:pBdr>
                <w:top w:val="nil"/>
                <w:left w:val="nil"/>
                <w:bottom w:val="nil"/>
                <w:right w:val="nil"/>
                <w:between w:val="nil"/>
              </w:pBdr>
              <w:spacing w:line="276" w:lineRule="auto"/>
            </w:pPr>
            <w:r>
              <w:t>No findings</w:t>
            </w:r>
          </w:p>
        </w:tc>
      </w:tr>
      <w:tr w:rsidR="003F1C8B" w14:paraId="1F647F36" w14:textId="77777777" w:rsidTr="00774A44">
        <w:trPr>
          <w:trHeight w:val="40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FBB684D" w14:textId="77777777" w:rsidR="003F1C8B" w:rsidRDefault="003F1C8B" w:rsidP="00774A44">
            <w:pPr>
              <w:widowControl w:val="0"/>
              <w:pBdr>
                <w:top w:val="nil"/>
                <w:left w:val="nil"/>
                <w:bottom w:val="nil"/>
                <w:right w:val="nil"/>
                <w:between w:val="nil"/>
              </w:pBdr>
              <w:spacing w:line="276" w:lineRule="auto"/>
              <w:rPr>
                <w:b/>
              </w:rPr>
            </w:pPr>
            <w:r>
              <w:rPr>
                <w:b/>
              </w:rPr>
              <w:t>Article VII: Audits, Monitoring, and Reviews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639D2A16" w14:textId="77777777" w:rsidR="003F1C8B" w:rsidRDefault="003F1C8B" w:rsidP="00774A44">
            <w:pPr>
              <w:widowControl w:val="0"/>
              <w:pBdr>
                <w:top w:val="nil"/>
                <w:left w:val="nil"/>
                <w:bottom w:val="nil"/>
                <w:right w:val="nil"/>
                <w:between w:val="nil"/>
              </w:pBdr>
              <w:spacing w:line="276" w:lineRule="auto"/>
            </w:pPr>
            <w:r>
              <w:t>Findings highlighted in Section 7.1</w:t>
            </w:r>
          </w:p>
        </w:tc>
      </w:tr>
      <w:tr w:rsidR="003F1C8B" w14:paraId="79D26A18"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D70FFB3" w14:textId="77777777" w:rsidR="003F1C8B" w:rsidRDefault="003F1C8B" w:rsidP="00774A44">
            <w:pPr>
              <w:widowControl w:val="0"/>
              <w:pBdr>
                <w:top w:val="nil"/>
                <w:left w:val="nil"/>
                <w:bottom w:val="nil"/>
                <w:right w:val="nil"/>
                <w:between w:val="nil"/>
              </w:pBdr>
              <w:spacing w:line="276" w:lineRule="auto"/>
              <w:rPr>
                <w:b/>
              </w:rPr>
            </w:pPr>
            <w:r>
              <w:rPr>
                <w:b/>
              </w:rPr>
              <w:t>Section 7.1: Audits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30E6200" w14:textId="77777777" w:rsidR="003F1C8B" w:rsidRDefault="003F1C8B" w:rsidP="00774A44">
            <w:pPr>
              <w:widowControl w:val="0"/>
              <w:pBdr>
                <w:top w:val="nil"/>
                <w:left w:val="nil"/>
                <w:bottom w:val="nil"/>
                <w:right w:val="nil"/>
                <w:between w:val="nil"/>
              </w:pBdr>
              <w:spacing w:line="276" w:lineRule="auto"/>
            </w:pPr>
            <w:r>
              <w:t>Suggested clarification in Section 7.1(a)</w:t>
            </w:r>
          </w:p>
        </w:tc>
      </w:tr>
      <w:tr w:rsidR="003F1C8B" w14:paraId="033DBC72"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83D2198" w14:textId="77777777" w:rsidR="003F1C8B" w:rsidRDefault="003F1C8B" w:rsidP="00774A44">
            <w:pPr>
              <w:widowControl w:val="0"/>
              <w:pBdr>
                <w:top w:val="nil"/>
                <w:left w:val="nil"/>
                <w:bottom w:val="nil"/>
                <w:right w:val="nil"/>
                <w:between w:val="nil"/>
              </w:pBdr>
              <w:spacing w:line="276" w:lineRule="auto"/>
            </w:pPr>
            <w:r>
              <w:t>(a) Contractor shall generate and publish via the IANA Website a monthly audit report identifying each root zone file and root zone “WHOIS” database change request and its status. The relevant policies under which the changes are made shall be noted within each monthly report. Such audit report shall be due to ICANN no later than 15 calendar days following the end of each month.</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C3E75E5" w14:textId="77777777" w:rsidR="003F1C8B" w:rsidRDefault="003F1C8B" w:rsidP="00774A44">
            <w:pPr>
              <w:widowControl w:val="0"/>
              <w:pBdr>
                <w:top w:val="nil"/>
                <w:left w:val="nil"/>
                <w:bottom w:val="nil"/>
                <w:right w:val="nil"/>
                <w:between w:val="nil"/>
              </w:pBdr>
              <w:spacing w:line="276" w:lineRule="auto"/>
            </w:pPr>
            <w:r>
              <w:t xml:space="preserve">Suggest removing the term “WHOIS” </w:t>
            </w:r>
          </w:p>
        </w:tc>
      </w:tr>
      <w:tr w:rsidR="003F1C8B" w14:paraId="11A88B18"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2730441" w14:textId="77777777" w:rsidR="003F1C8B" w:rsidRDefault="003F1C8B" w:rsidP="00774A44">
            <w:pPr>
              <w:widowControl w:val="0"/>
              <w:pBdr>
                <w:top w:val="nil"/>
                <w:left w:val="nil"/>
                <w:bottom w:val="nil"/>
                <w:right w:val="nil"/>
                <w:between w:val="nil"/>
              </w:pBdr>
              <w:spacing w:line="276" w:lineRule="auto"/>
              <w:rPr>
                <w:b/>
              </w:rPr>
            </w:pPr>
            <w:r>
              <w:rPr>
                <w:b/>
              </w:rPr>
              <w:t>Section 7.2: Performance Monitoring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771D36" w14:textId="77777777" w:rsidR="003F1C8B" w:rsidRDefault="003F1C8B" w:rsidP="00774A44">
            <w:pPr>
              <w:widowControl w:val="0"/>
              <w:pBdr>
                <w:top w:val="nil"/>
                <w:left w:val="nil"/>
                <w:bottom w:val="nil"/>
                <w:right w:val="nil"/>
                <w:between w:val="nil"/>
              </w:pBdr>
              <w:spacing w:line="276" w:lineRule="auto"/>
            </w:pPr>
            <w:r>
              <w:t>No findings</w:t>
            </w:r>
          </w:p>
        </w:tc>
      </w:tr>
      <w:tr w:rsidR="003F1C8B" w14:paraId="14BF94E7"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9ECCF78" w14:textId="77777777" w:rsidR="003F1C8B" w:rsidRDefault="003F1C8B" w:rsidP="00774A44">
            <w:pPr>
              <w:widowControl w:val="0"/>
              <w:pBdr>
                <w:top w:val="nil"/>
                <w:left w:val="nil"/>
                <w:bottom w:val="nil"/>
                <w:right w:val="nil"/>
                <w:between w:val="nil"/>
              </w:pBdr>
              <w:spacing w:line="276" w:lineRule="auto"/>
              <w:rPr>
                <w:b/>
              </w:rPr>
            </w:pPr>
            <w:r>
              <w:rPr>
                <w:b/>
              </w:rPr>
              <w:t>Section 7.3: IANA Naming Function Reviews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DFE777" w14:textId="77777777" w:rsidR="003F1C8B" w:rsidRDefault="003F1C8B" w:rsidP="00774A44">
            <w:pPr>
              <w:widowControl w:val="0"/>
              <w:pBdr>
                <w:top w:val="nil"/>
                <w:left w:val="nil"/>
                <w:bottom w:val="nil"/>
                <w:right w:val="nil"/>
                <w:between w:val="nil"/>
              </w:pBdr>
              <w:spacing w:line="276" w:lineRule="auto"/>
            </w:pPr>
            <w:r>
              <w:t>No findings</w:t>
            </w:r>
          </w:p>
        </w:tc>
      </w:tr>
      <w:tr w:rsidR="003F1C8B" w14:paraId="5F8DAFF6" w14:textId="77777777" w:rsidTr="00774A44">
        <w:trPr>
          <w:trHeight w:val="40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4C01F23" w14:textId="77777777" w:rsidR="003F1C8B" w:rsidRDefault="003F1C8B" w:rsidP="00774A44">
            <w:pPr>
              <w:widowControl w:val="0"/>
              <w:spacing w:line="276" w:lineRule="auto"/>
              <w:rPr>
                <w:b/>
              </w:rPr>
            </w:pPr>
            <w:r>
              <w:rPr>
                <w:b/>
              </w:rPr>
              <w:t>Article VIII: Escalation Mechanisms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2977448D" w14:textId="77777777" w:rsidR="003F1C8B" w:rsidRDefault="003F1C8B" w:rsidP="00774A44">
            <w:pPr>
              <w:widowControl w:val="0"/>
              <w:spacing w:line="276" w:lineRule="auto"/>
            </w:pPr>
            <w:r>
              <w:t>See Incidental Finding 4 “Ombudsman” with reference to Article VIII Section 8.1(a)</w:t>
            </w:r>
          </w:p>
        </w:tc>
      </w:tr>
      <w:tr w:rsidR="003F1C8B" w14:paraId="1679E959"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9A448EE" w14:textId="77777777" w:rsidR="003F1C8B" w:rsidRDefault="003F1C8B" w:rsidP="00774A44">
            <w:pPr>
              <w:widowControl w:val="0"/>
              <w:spacing w:line="276" w:lineRule="auto"/>
              <w:rPr>
                <w:b/>
              </w:rPr>
            </w:pPr>
            <w:r>
              <w:t>(a) If Contractor receives a customer service complaint from a customer (a “Complaint”), Contractor will review the Complaint and attempt to resolve it to the reasonable satisfaction of the person or entity who brought the Complaint (the “Complainant”) as soon as reasonably practicable.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E8EC721" w14:textId="77777777" w:rsidR="003F1C8B" w:rsidRDefault="003F1C8B" w:rsidP="00774A44">
            <w:pPr>
              <w:widowControl w:val="0"/>
              <w:spacing w:line="276" w:lineRule="auto"/>
            </w:pPr>
            <w:r>
              <w:t>See Incidental Finding 4 in the main body of the report.</w:t>
            </w:r>
          </w:p>
        </w:tc>
      </w:tr>
      <w:tr w:rsidR="003F1C8B" w14:paraId="172F22AA" w14:textId="77777777" w:rsidTr="00774A44">
        <w:trPr>
          <w:trHeight w:val="405"/>
        </w:trPr>
        <w:tc>
          <w:tcPr>
            <w:tcW w:w="4845" w:type="dxa"/>
            <w:tcBorders>
              <w:top w:val="single" w:sz="6" w:space="0" w:color="F3F3F3"/>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5DF9C330" w14:textId="77777777" w:rsidR="003F1C8B" w:rsidRDefault="003F1C8B" w:rsidP="00774A44">
            <w:pPr>
              <w:widowControl w:val="0"/>
              <w:spacing w:line="276" w:lineRule="auto"/>
              <w:rPr>
                <w:b/>
              </w:rPr>
            </w:pPr>
            <w:r>
              <w:rPr>
                <w:b/>
              </w:rPr>
              <w:lastRenderedPageBreak/>
              <w:t>Article IX: Term; Renewal; Transition and Termination</w:t>
            </w:r>
          </w:p>
        </w:tc>
        <w:tc>
          <w:tcPr>
            <w:tcW w:w="4170" w:type="dxa"/>
            <w:tcBorders>
              <w:top w:val="single" w:sz="6" w:space="0" w:color="F3F3F3"/>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51C1E9B2" w14:textId="77777777" w:rsidR="003F1C8B" w:rsidRDefault="003F1C8B" w:rsidP="00774A44">
            <w:pPr>
              <w:widowControl w:val="0"/>
              <w:spacing w:line="276" w:lineRule="auto"/>
            </w:pPr>
            <w:r>
              <w:t>See Incidental Finding 2 “Transition Plan” with reference to Article IX Section 9.3 (d)</w:t>
            </w:r>
          </w:p>
        </w:tc>
      </w:tr>
      <w:tr w:rsidR="003F1C8B" w14:paraId="063BE532"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65194CD" w14:textId="77777777" w:rsidR="003F1C8B" w:rsidRDefault="003F1C8B" w:rsidP="00774A44">
            <w:pPr>
              <w:widowControl w:val="0"/>
              <w:spacing w:line="276" w:lineRule="auto"/>
            </w:pPr>
            <w:r>
              <w:rPr>
                <w:b/>
              </w:rPr>
              <w:t>Section 9.1: Initial Term</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2C62311" w14:textId="77777777" w:rsidR="003F1C8B" w:rsidRDefault="003F1C8B" w:rsidP="00774A44">
            <w:pPr>
              <w:widowControl w:val="0"/>
              <w:spacing w:line="276" w:lineRule="auto"/>
            </w:pPr>
            <w:r>
              <w:t>No finding</w:t>
            </w:r>
          </w:p>
        </w:tc>
      </w:tr>
      <w:tr w:rsidR="003F1C8B" w14:paraId="70ADCFE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2D4747A" w14:textId="77777777" w:rsidR="003F1C8B" w:rsidRDefault="003F1C8B" w:rsidP="00774A44">
            <w:pPr>
              <w:widowControl w:val="0"/>
              <w:spacing w:line="276" w:lineRule="auto"/>
              <w:rPr>
                <w:b/>
              </w:rPr>
            </w:pPr>
            <w:r>
              <w:rPr>
                <w:b/>
              </w:rPr>
              <w:t>Section 9.2: Renewal; Termination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853777" w14:textId="77777777" w:rsidR="003F1C8B" w:rsidRDefault="003F1C8B" w:rsidP="00774A44">
            <w:pPr>
              <w:widowControl w:val="0"/>
              <w:spacing w:line="276" w:lineRule="auto"/>
            </w:pPr>
            <w:r>
              <w:t>No finding</w:t>
            </w:r>
          </w:p>
        </w:tc>
      </w:tr>
      <w:tr w:rsidR="003F1C8B" w14:paraId="3CD2B43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70DE4E6" w14:textId="77777777" w:rsidR="003F1C8B" w:rsidRDefault="003F1C8B" w:rsidP="00774A44">
            <w:pPr>
              <w:widowControl w:val="0"/>
              <w:spacing w:line="276" w:lineRule="auto"/>
              <w:rPr>
                <w:b/>
              </w:rPr>
            </w:pPr>
            <w:r>
              <w:rPr>
                <w:b/>
              </w:rPr>
              <w:t>Section 9.3: Transition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B1341DE" w14:textId="77777777" w:rsidR="003F1C8B" w:rsidRDefault="003F1C8B" w:rsidP="00774A44">
            <w:pPr>
              <w:widowControl w:val="0"/>
              <w:spacing w:line="276" w:lineRule="auto"/>
            </w:pPr>
            <w:r>
              <w:t>See Incidental Finding 2 “Transition Plan” with reference to Article IX Section 9.3 (d)</w:t>
            </w:r>
          </w:p>
        </w:tc>
      </w:tr>
      <w:tr w:rsidR="003F1C8B" w14:paraId="4CE1295F"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A58A8A0" w14:textId="77777777" w:rsidR="003F1C8B" w:rsidRDefault="003F1C8B" w:rsidP="00774A44">
            <w:pPr>
              <w:widowControl w:val="0"/>
              <w:spacing w:line="276" w:lineRule="auto"/>
            </w:pPr>
            <w:r>
              <w:t>(d) ICANN, in conjunction with the CSC as necessary, shall review the transition plan at least every five years.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649EBA0" w14:textId="77777777" w:rsidR="003F1C8B" w:rsidRDefault="003F1C8B" w:rsidP="00774A44">
            <w:pPr>
              <w:widowControl w:val="0"/>
              <w:spacing w:line="276" w:lineRule="auto"/>
            </w:pPr>
            <w:r>
              <w:t>Process suggestion in Incidental Finding 2 “Transition Plan.” No drafting change identified.</w:t>
            </w:r>
          </w:p>
        </w:tc>
      </w:tr>
      <w:tr w:rsidR="003F1C8B" w14:paraId="35D1188C"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4FD0FF4" w14:textId="77777777" w:rsidR="003F1C8B" w:rsidRDefault="003F1C8B" w:rsidP="00774A44">
            <w:pPr>
              <w:widowControl w:val="0"/>
              <w:spacing w:line="276" w:lineRule="auto"/>
              <w:rPr>
                <w:b/>
              </w:rPr>
            </w:pPr>
            <w:r>
              <w:rPr>
                <w:b/>
              </w:rPr>
              <w:t>Section 9.4: Survival of Terms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59F9CE" w14:textId="77777777" w:rsidR="003F1C8B" w:rsidRDefault="003F1C8B" w:rsidP="00774A44">
            <w:pPr>
              <w:widowControl w:val="0"/>
              <w:spacing w:line="276" w:lineRule="auto"/>
            </w:pPr>
            <w:r>
              <w:t>No findings</w:t>
            </w:r>
          </w:p>
        </w:tc>
      </w:tr>
      <w:tr w:rsidR="003F1C8B" w14:paraId="6E78EECC"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1A77BFE" w14:textId="77777777" w:rsidR="003F1C8B" w:rsidRDefault="003F1C8B" w:rsidP="00774A44">
            <w:pPr>
              <w:widowControl w:val="0"/>
              <w:spacing w:line="276" w:lineRule="auto"/>
              <w:rPr>
                <w:b/>
              </w:rPr>
            </w:pPr>
            <w:r>
              <w:rPr>
                <w:b/>
              </w:rPr>
              <w:t>Article X: Resources, Fees, and Budget</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014C7D8B" w14:textId="77777777" w:rsidR="003F1C8B" w:rsidRDefault="003F1C8B" w:rsidP="00774A44">
            <w:pPr>
              <w:widowControl w:val="0"/>
              <w:spacing w:line="276" w:lineRule="auto"/>
            </w:pPr>
            <w:r>
              <w:t>Clarification suggested in Section 10.2</w:t>
            </w:r>
          </w:p>
        </w:tc>
      </w:tr>
      <w:tr w:rsidR="003F1C8B" w14:paraId="661A2ECB"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6DF5E2" w14:textId="77777777" w:rsidR="003F1C8B" w:rsidRDefault="003F1C8B" w:rsidP="00774A44">
            <w:pPr>
              <w:widowControl w:val="0"/>
              <w:spacing w:line="276" w:lineRule="auto"/>
              <w:rPr>
                <w:b/>
              </w:rPr>
            </w:pPr>
            <w:r>
              <w:rPr>
                <w:b/>
              </w:rPr>
              <w:t>Section 10.1: Resources and Fees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57EA204" w14:textId="77777777" w:rsidR="003F1C8B" w:rsidRDefault="003F1C8B" w:rsidP="00774A44">
            <w:pPr>
              <w:widowControl w:val="0"/>
              <w:spacing w:line="276" w:lineRule="auto"/>
            </w:pPr>
            <w:r>
              <w:t>No findings</w:t>
            </w:r>
          </w:p>
        </w:tc>
      </w:tr>
      <w:tr w:rsidR="003F1C8B" w14:paraId="2DDE3885"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5821C8E" w14:textId="77777777" w:rsidR="003F1C8B" w:rsidRDefault="003F1C8B" w:rsidP="00774A44">
            <w:pPr>
              <w:widowControl w:val="0"/>
              <w:spacing w:line="276" w:lineRule="auto"/>
              <w:rPr>
                <w:b/>
              </w:rPr>
            </w:pPr>
            <w:r>
              <w:rPr>
                <w:b/>
              </w:rPr>
              <w:t>Section 10.2: Budget</w:t>
            </w:r>
          </w:p>
          <w:p w14:paraId="3B8E4243" w14:textId="77777777" w:rsidR="003F1C8B" w:rsidRDefault="003F1C8B" w:rsidP="00774A44">
            <w:pPr>
              <w:widowControl w:val="0"/>
              <w:spacing w:line="276" w:lineRule="auto"/>
              <w:rPr>
                <w:b/>
              </w:rPr>
            </w:pPr>
          </w:p>
          <w:p w14:paraId="5B90D38A" w14:textId="77777777" w:rsidR="003F1C8B" w:rsidRDefault="003F1C8B" w:rsidP="00774A44">
            <w:pPr>
              <w:widowControl w:val="0"/>
              <w:spacing w:line="276" w:lineRule="auto"/>
            </w:pPr>
            <w:r>
              <w:t xml:space="preserve">Contractor shall comply with the requirements set forth in </w:t>
            </w:r>
            <w:r>
              <w:rPr>
                <w:shd w:val="clear" w:color="auto" w:fill="FFF2CC"/>
              </w:rPr>
              <w:t xml:space="preserve">its Bylaws </w:t>
            </w:r>
            <w:r>
              <w:t>relating to preparing, submitting and monitoring an annual budget. ICANN will meet annually with the General Manager of Contractor to review the annual budget for the IANA Naming Function, which shall be approved in accordance with Contractor’s Bylaws and ICANN’s Bylaws (“Approved IANA Budget”).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E102EBF" w14:textId="77777777" w:rsidR="003F1C8B" w:rsidRDefault="003F1C8B" w:rsidP="00774A44">
            <w:pPr>
              <w:widowControl w:val="0"/>
              <w:spacing w:line="276" w:lineRule="auto"/>
            </w:pPr>
            <w:r>
              <w:t xml:space="preserve">Review team suggests that “its Bylaws” (highlighted to the left) refer to “Contractor Bylaws” for clarity. </w:t>
            </w:r>
          </w:p>
        </w:tc>
      </w:tr>
      <w:tr w:rsidR="003F1C8B" w14:paraId="0E2E50E1"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12B05B5" w14:textId="77777777" w:rsidR="003F1C8B" w:rsidRDefault="003F1C8B" w:rsidP="00774A44">
            <w:pPr>
              <w:widowControl w:val="0"/>
              <w:spacing w:line="276" w:lineRule="auto"/>
              <w:rPr>
                <w:b/>
              </w:rPr>
            </w:pPr>
            <w:r>
              <w:rPr>
                <w:b/>
              </w:rPr>
              <w:t>Article XI: Security Requirements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2A86BDDB" w14:textId="77777777" w:rsidR="003F1C8B" w:rsidRDefault="003F1C8B" w:rsidP="00774A44">
            <w:pPr>
              <w:widowControl w:val="0"/>
              <w:spacing w:line="276" w:lineRule="auto"/>
            </w:pPr>
            <w:r>
              <w:t>No findings</w:t>
            </w:r>
          </w:p>
        </w:tc>
      </w:tr>
      <w:tr w:rsidR="003F1C8B" w14:paraId="0C13D811"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21E184CF" w14:textId="77777777" w:rsidR="003F1C8B" w:rsidRDefault="003F1C8B" w:rsidP="00774A44">
            <w:pPr>
              <w:widowControl w:val="0"/>
              <w:spacing w:line="276" w:lineRule="auto"/>
              <w:rPr>
                <w:b/>
              </w:rPr>
            </w:pPr>
            <w:r>
              <w:rPr>
                <w:b/>
              </w:rPr>
              <w:t>Article XII: Confidentiality</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63B0AE19" w14:textId="77777777" w:rsidR="003F1C8B" w:rsidRDefault="003F1C8B" w:rsidP="00774A44">
            <w:pPr>
              <w:widowControl w:val="0"/>
              <w:spacing w:line="276" w:lineRule="auto"/>
            </w:pPr>
            <w:r>
              <w:t>No findings</w:t>
            </w:r>
          </w:p>
        </w:tc>
      </w:tr>
      <w:tr w:rsidR="003F1C8B" w14:paraId="3B1ADF06"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054B5A0" w14:textId="77777777" w:rsidR="003F1C8B" w:rsidRDefault="003F1C8B" w:rsidP="00774A44">
            <w:pPr>
              <w:widowControl w:val="0"/>
              <w:spacing w:line="276" w:lineRule="auto"/>
              <w:rPr>
                <w:b/>
              </w:rPr>
            </w:pPr>
            <w:r>
              <w:rPr>
                <w:b/>
              </w:rPr>
              <w:t>Article XIII: Intellectual Property</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CC8B6D4" w14:textId="77777777" w:rsidR="003F1C8B" w:rsidRDefault="003F1C8B" w:rsidP="00774A44">
            <w:pPr>
              <w:widowControl w:val="0"/>
              <w:spacing w:line="276" w:lineRule="auto"/>
            </w:pPr>
            <w:r>
              <w:t>No findings</w:t>
            </w:r>
          </w:p>
        </w:tc>
      </w:tr>
      <w:tr w:rsidR="003F1C8B" w14:paraId="1BF44A3B"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0EAB456" w14:textId="77777777" w:rsidR="003F1C8B" w:rsidRDefault="003F1C8B" w:rsidP="00774A44">
            <w:pPr>
              <w:widowControl w:val="0"/>
              <w:spacing w:line="276" w:lineRule="auto"/>
              <w:rPr>
                <w:b/>
              </w:rPr>
            </w:pPr>
            <w:r>
              <w:rPr>
                <w:b/>
              </w:rPr>
              <w:t>Article XIV: Miscellaneous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71501D7" w14:textId="77777777" w:rsidR="003F1C8B" w:rsidRDefault="003F1C8B" w:rsidP="00774A44">
            <w:pPr>
              <w:widowControl w:val="0"/>
              <w:spacing w:line="276" w:lineRule="auto"/>
            </w:pPr>
            <w:r>
              <w:t>Suggested amendment in Section 14.2</w:t>
            </w:r>
          </w:p>
        </w:tc>
      </w:tr>
      <w:tr w:rsidR="003F1C8B" w14:paraId="5204F2F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5D08AF6" w14:textId="77777777" w:rsidR="003F1C8B" w:rsidRDefault="003F1C8B" w:rsidP="00774A44">
            <w:pPr>
              <w:widowControl w:val="0"/>
              <w:spacing w:line="276" w:lineRule="auto"/>
              <w:rPr>
                <w:b/>
              </w:rPr>
            </w:pPr>
            <w:r>
              <w:rPr>
                <w:b/>
              </w:rPr>
              <w:t>Section 14.1: Indemnification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C6FA475" w14:textId="77777777" w:rsidR="003F1C8B" w:rsidRDefault="003F1C8B" w:rsidP="00774A44">
            <w:pPr>
              <w:widowControl w:val="0"/>
              <w:spacing w:line="276" w:lineRule="auto"/>
            </w:pPr>
            <w:r>
              <w:t>No finding</w:t>
            </w:r>
          </w:p>
        </w:tc>
      </w:tr>
      <w:tr w:rsidR="003F1C8B" w14:paraId="3D415057"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2EA0576" w14:textId="77777777" w:rsidR="003F1C8B" w:rsidRDefault="003F1C8B" w:rsidP="00774A44">
            <w:pPr>
              <w:widowControl w:val="0"/>
              <w:spacing w:line="276" w:lineRule="auto"/>
              <w:rPr>
                <w:b/>
              </w:rPr>
            </w:pPr>
            <w:r>
              <w:rPr>
                <w:b/>
              </w:rPr>
              <w:t>Section 14.2: Notices</w:t>
            </w:r>
          </w:p>
          <w:p w14:paraId="06E052E4" w14:textId="77777777" w:rsidR="003F1C8B" w:rsidRDefault="003F1C8B" w:rsidP="00774A44">
            <w:pPr>
              <w:widowControl w:val="0"/>
              <w:spacing w:line="276" w:lineRule="auto"/>
              <w:rPr>
                <w:b/>
              </w:rPr>
            </w:pPr>
          </w:p>
          <w:p w14:paraId="66D8B231" w14:textId="77777777" w:rsidR="003F1C8B" w:rsidRDefault="003F1C8B" w:rsidP="00774A44">
            <w:pPr>
              <w:widowControl w:val="0"/>
              <w:spacing w:line="276" w:lineRule="auto"/>
            </w:pPr>
            <w:r>
              <w:t>All notices to be given under or in relation to this Contract will be given either (</w:t>
            </w:r>
            <w:proofErr w:type="spellStart"/>
            <w:r>
              <w:t>i</w:t>
            </w:r>
            <w:proofErr w:type="spellEnd"/>
            <w:r>
              <w:t xml:space="preserve">) in writing at the </w:t>
            </w:r>
            <w:r>
              <w:lastRenderedPageBreak/>
              <w:t>address of the appropriate Party as set forth below or (ii) via electronic mail as provided below, unless that Party has given a notice of change of postal or email address, as provided in this Contract.</w:t>
            </w:r>
          </w:p>
          <w:p w14:paraId="2238F8F0" w14:textId="77777777" w:rsidR="003F1C8B" w:rsidRDefault="003F1C8B" w:rsidP="00774A44">
            <w:pPr>
              <w:widowControl w:val="0"/>
              <w:spacing w:line="276" w:lineRule="auto"/>
            </w:pPr>
            <w:r>
              <w:t xml:space="preserve"> If to ICANN:</w:t>
            </w:r>
          </w:p>
          <w:p w14:paraId="7EB2E1AE" w14:textId="77777777" w:rsidR="003F1C8B" w:rsidRDefault="003F1C8B" w:rsidP="00774A44">
            <w:pPr>
              <w:widowControl w:val="0"/>
              <w:spacing w:line="276" w:lineRule="auto"/>
            </w:pPr>
          </w:p>
          <w:p w14:paraId="2F88CFE4" w14:textId="77777777" w:rsidR="003F1C8B" w:rsidRDefault="003F1C8B" w:rsidP="00774A44">
            <w:pPr>
              <w:widowControl w:val="0"/>
              <w:spacing w:line="276" w:lineRule="auto"/>
            </w:pPr>
            <w:r>
              <w:t xml:space="preserve">Internet Corporation for Assigned Names and Numbers </w:t>
            </w:r>
          </w:p>
          <w:p w14:paraId="2E9C2516" w14:textId="77777777" w:rsidR="003F1C8B" w:rsidRDefault="003F1C8B" w:rsidP="00774A44">
            <w:pPr>
              <w:widowControl w:val="0"/>
              <w:spacing w:line="276" w:lineRule="auto"/>
            </w:pPr>
            <w:r>
              <w:t xml:space="preserve">12025 Waterfront Drive, Suite 300 </w:t>
            </w:r>
          </w:p>
          <w:p w14:paraId="37478CDE" w14:textId="77777777" w:rsidR="003F1C8B" w:rsidRDefault="003F1C8B" w:rsidP="00774A44">
            <w:pPr>
              <w:widowControl w:val="0"/>
              <w:spacing w:line="276" w:lineRule="auto"/>
            </w:pPr>
            <w:r>
              <w:t xml:space="preserve">Los Angeles, CA 90094-2536 </w:t>
            </w:r>
          </w:p>
          <w:p w14:paraId="4EF3EC40" w14:textId="77777777" w:rsidR="003F1C8B" w:rsidRDefault="003F1C8B" w:rsidP="00774A44">
            <w:pPr>
              <w:widowControl w:val="0"/>
              <w:spacing w:line="276" w:lineRule="auto"/>
            </w:pPr>
            <w:r>
              <w:t xml:space="preserve">Attn: President and Chief Executive Officer </w:t>
            </w:r>
          </w:p>
          <w:p w14:paraId="7EBB37A7" w14:textId="77777777" w:rsidR="003F1C8B" w:rsidRDefault="003F1C8B" w:rsidP="00774A44">
            <w:pPr>
              <w:widowControl w:val="0"/>
              <w:spacing w:line="276" w:lineRule="auto"/>
            </w:pPr>
            <w:r>
              <w:t xml:space="preserve">Phone: +1-310-301-5800 </w:t>
            </w:r>
          </w:p>
          <w:p w14:paraId="6F52EACA" w14:textId="77777777" w:rsidR="003F1C8B" w:rsidRDefault="003F1C8B" w:rsidP="00774A44">
            <w:pPr>
              <w:widowControl w:val="0"/>
              <w:spacing w:line="276" w:lineRule="auto"/>
            </w:pPr>
            <w:r>
              <w:t>Email: goran.marby@icann.org</w:t>
            </w:r>
          </w:p>
          <w:p w14:paraId="5B064197" w14:textId="77777777" w:rsidR="003F1C8B" w:rsidRDefault="003F1C8B" w:rsidP="00774A44">
            <w:pPr>
              <w:widowControl w:val="0"/>
              <w:spacing w:line="276" w:lineRule="auto"/>
            </w:pPr>
          </w:p>
          <w:p w14:paraId="1A0F2196" w14:textId="77777777" w:rsidR="003F1C8B" w:rsidRDefault="003F1C8B" w:rsidP="00774A44">
            <w:pPr>
              <w:widowControl w:val="0"/>
              <w:spacing w:line="276" w:lineRule="auto"/>
            </w:pPr>
            <w:r>
              <w:t>With a copy to (which shall not constitute notice):</w:t>
            </w:r>
          </w:p>
          <w:p w14:paraId="51884844" w14:textId="77777777" w:rsidR="003F1C8B" w:rsidRDefault="003F1C8B" w:rsidP="00774A44">
            <w:pPr>
              <w:widowControl w:val="0"/>
              <w:spacing w:line="276" w:lineRule="auto"/>
            </w:pPr>
          </w:p>
          <w:p w14:paraId="74492B32" w14:textId="77777777" w:rsidR="003F1C8B" w:rsidRDefault="003F1C8B" w:rsidP="00774A44">
            <w:pPr>
              <w:widowControl w:val="0"/>
              <w:spacing w:line="276" w:lineRule="auto"/>
            </w:pPr>
            <w:r>
              <w:t xml:space="preserve">Internet Corporation for Assigned Names and Numbers </w:t>
            </w:r>
          </w:p>
          <w:p w14:paraId="360B1CD8" w14:textId="77777777" w:rsidR="003F1C8B" w:rsidRDefault="003F1C8B" w:rsidP="00774A44">
            <w:pPr>
              <w:widowControl w:val="0"/>
              <w:spacing w:line="276" w:lineRule="auto"/>
            </w:pPr>
            <w:r>
              <w:t xml:space="preserve">12025 Waterfront Drive, Suite 300 Los Angeles, CA 90094-2536 </w:t>
            </w:r>
          </w:p>
          <w:p w14:paraId="635E51B9" w14:textId="77777777" w:rsidR="003F1C8B" w:rsidRDefault="003F1C8B" w:rsidP="00774A44">
            <w:pPr>
              <w:widowControl w:val="0"/>
              <w:spacing w:line="276" w:lineRule="auto"/>
            </w:pPr>
            <w:r>
              <w:t xml:space="preserve">Attn: General Counsel </w:t>
            </w:r>
          </w:p>
          <w:p w14:paraId="34721C72" w14:textId="77777777" w:rsidR="003F1C8B" w:rsidRDefault="003F1C8B" w:rsidP="00774A44">
            <w:pPr>
              <w:widowControl w:val="0"/>
              <w:spacing w:line="276" w:lineRule="auto"/>
            </w:pPr>
            <w:r>
              <w:t xml:space="preserve">Phone: +1-310-301-5800 </w:t>
            </w:r>
          </w:p>
          <w:p w14:paraId="18BA0D05" w14:textId="77777777" w:rsidR="003F1C8B" w:rsidRDefault="003F1C8B" w:rsidP="00774A44">
            <w:pPr>
              <w:widowControl w:val="0"/>
              <w:spacing w:line="276" w:lineRule="auto"/>
            </w:pPr>
            <w:r>
              <w:t>Email: john.jeffrey@icann.org</w:t>
            </w:r>
          </w:p>
          <w:p w14:paraId="349236DC" w14:textId="77777777" w:rsidR="003F1C8B" w:rsidRDefault="003F1C8B" w:rsidP="00774A44">
            <w:pPr>
              <w:widowControl w:val="0"/>
              <w:spacing w:line="276" w:lineRule="auto"/>
            </w:pPr>
          </w:p>
          <w:p w14:paraId="684F58AE" w14:textId="77777777" w:rsidR="003F1C8B" w:rsidRDefault="003F1C8B" w:rsidP="00774A44">
            <w:pPr>
              <w:widowControl w:val="0"/>
              <w:spacing w:line="276" w:lineRule="auto"/>
            </w:pPr>
            <w:r>
              <w:t>With a copy to (which shall not constitute notice):</w:t>
            </w:r>
          </w:p>
          <w:p w14:paraId="470A0558" w14:textId="77777777" w:rsidR="003F1C8B" w:rsidRDefault="003F1C8B" w:rsidP="00774A44">
            <w:pPr>
              <w:widowControl w:val="0"/>
              <w:spacing w:line="276" w:lineRule="auto"/>
            </w:pPr>
          </w:p>
          <w:p w14:paraId="667BDDA7" w14:textId="77777777" w:rsidR="003F1C8B" w:rsidRDefault="003F1C8B" w:rsidP="00774A44">
            <w:pPr>
              <w:widowControl w:val="0"/>
              <w:spacing w:line="276" w:lineRule="auto"/>
            </w:pPr>
            <w:r>
              <w:t xml:space="preserve">Internet Corporation for Assigned Names and Numbers </w:t>
            </w:r>
          </w:p>
          <w:p w14:paraId="38F343F5" w14:textId="77777777" w:rsidR="003F1C8B" w:rsidRDefault="003F1C8B" w:rsidP="00774A44">
            <w:pPr>
              <w:widowControl w:val="0"/>
              <w:spacing w:line="276" w:lineRule="auto"/>
            </w:pPr>
            <w:r>
              <w:t xml:space="preserve">12025 Waterfront Drive, Suite 300 Los Angeles, CA 90094-2536 </w:t>
            </w:r>
          </w:p>
          <w:p w14:paraId="6782E43F" w14:textId="77777777" w:rsidR="003F1C8B" w:rsidRDefault="003F1C8B" w:rsidP="00774A44">
            <w:pPr>
              <w:widowControl w:val="0"/>
              <w:spacing w:line="276" w:lineRule="auto"/>
            </w:pPr>
            <w:r>
              <w:t xml:space="preserve">Attn: President, Global Domains Division </w:t>
            </w:r>
          </w:p>
          <w:p w14:paraId="237B215A" w14:textId="77777777" w:rsidR="003F1C8B" w:rsidRDefault="003F1C8B" w:rsidP="00774A44">
            <w:pPr>
              <w:widowControl w:val="0"/>
              <w:spacing w:line="276" w:lineRule="auto"/>
            </w:pPr>
            <w:r>
              <w:t xml:space="preserve">Phone: +1-310-301-5800 </w:t>
            </w:r>
          </w:p>
          <w:p w14:paraId="45BB32B7" w14:textId="77777777" w:rsidR="003F1C8B" w:rsidRDefault="003F1C8B" w:rsidP="00774A44">
            <w:pPr>
              <w:widowControl w:val="0"/>
              <w:spacing w:line="276" w:lineRule="auto"/>
            </w:pPr>
            <w:r>
              <w:t>Email: akram.atallah@icann.org</w:t>
            </w:r>
          </w:p>
          <w:p w14:paraId="39957916" w14:textId="77777777" w:rsidR="003F1C8B" w:rsidRDefault="003F1C8B" w:rsidP="00774A44">
            <w:pPr>
              <w:widowControl w:val="0"/>
              <w:spacing w:line="276" w:lineRule="auto"/>
            </w:pPr>
            <w:r>
              <w:t>18</w:t>
            </w:r>
          </w:p>
          <w:p w14:paraId="36531C55" w14:textId="77777777" w:rsidR="003F1C8B" w:rsidRDefault="003F1C8B" w:rsidP="00774A44">
            <w:pPr>
              <w:widowControl w:val="0"/>
              <w:spacing w:line="276" w:lineRule="auto"/>
            </w:pPr>
          </w:p>
          <w:p w14:paraId="2D72AC77" w14:textId="77777777" w:rsidR="003F1C8B" w:rsidRDefault="003F1C8B" w:rsidP="00774A44">
            <w:pPr>
              <w:widowControl w:val="0"/>
              <w:spacing w:line="276" w:lineRule="auto"/>
            </w:pPr>
            <w:r>
              <w:t xml:space="preserve">If to Contractor: </w:t>
            </w:r>
          </w:p>
          <w:p w14:paraId="234F24ED" w14:textId="77777777" w:rsidR="003F1C8B" w:rsidRDefault="003F1C8B" w:rsidP="00774A44">
            <w:pPr>
              <w:widowControl w:val="0"/>
              <w:spacing w:line="276" w:lineRule="auto"/>
            </w:pPr>
          </w:p>
          <w:p w14:paraId="2E486DD1" w14:textId="77777777" w:rsidR="003F1C8B" w:rsidRDefault="003F1C8B" w:rsidP="00774A44">
            <w:pPr>
              <w:widowControl w:val="0"/>
              <w:spacing w:line="276" w:lineRule="auto"/>
            </w:pPr>
            <w:r>
              <w:t xml:space="preserve">Public Technical Identifiers </w:t>
            </w:r>
          </w:p>
          <w:p w14:paraId="2BA9BCF9" w14:textId="77777777" w:rsidR="003F1C8B" w:rsidRDefault="003F1C8B" w:rsidP="00774A44">
            <w:pPr>
              <w:widowControl w:val="0"/>
              <w:spacing w:line="276" w:lineRule="auto"/>
            </w:pPr>
            <w:r>
              <w:t xml:space="preserve">12025 Waterfront Drive, Suite 300 Los Angeles, CA 90094-2536 </w:t>
            </w:r>
          </w:p>
          <w:p w14:paraId="29C37254" w14:textId="77777777" w:rsidR="003F1C8B" w:rsidRDefault="003F1C8B" w:rsidP="00774A44">
            <w:pPr>
              <w:widowControl w:val="0"/>
              <w:spacing w:line="276" w:lineRule="auto"/>
            </w:pPr>
            <w:r>
              <w:t xml:space="preserve">Attn: Elise </w:t>
            </w:r>
            <w:proofErr w:type="spellStart"/>
            <w:r>
              <w:t>Gerich</w:t>
            </w:r>
            <w:proofErr w:type="spellEnd"/>
            <w:r>
              <w:t xml:space="preserve"> </w:t>
            </w:r>
          </w:p>
          <w:p w14:paraId="4A05BA23" w14:textId="77777777" w:rsidR="003F1C8B" w:rsidRDefault="003F1C8B" w:rsidP="00774A44">
            <w:pPr>
              <w:widowControl w:val="0"/>
              <w:spacing w:line="276" w:lineRule="auto"/>
            </w:pPr>
            <w:r>
              <w:t xml:space="preserve">Phone: +1-310-463-1108 </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8C29E57" w14:textId="77777777" w:rsidR="003F1C8B" w:rsidRDefault="003F1C8B" w:rsidP="00774A44">
            <w:pPr>
              <w:widowControl w:val="0"/>
              <w:spacing w:line="276" w:lineRule="auto"/>
            </w:pPr>
            <w:r>
              <w:lastRenderedPageBreak/>
              <w:t xml:space="preserve">This section of the text </w:t>
            </w:r>
            <w:proofErr w:type="gramStart"/>
            <w:r>
              <w:t>include</w:t>
            </w:r>
            <w:proofErr w:type="gramEnd"/>
            <w:r>
              <w:t xml:space="preserve"> email addresses for individuals. The review team proposes leveraging role-based email addresses to mitigate the risk of </w:t>
            </w:r>
            <w:r>
              <w:lastRenderedPageBreak/>
              <w:t>employee turnover.</w:t>
            </w:r>
          </w:p>
        </w:tc>
      </w:tr>
      <w:tr w:rsidR="003F1C8B" w14:paraId="1A378D7C"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DB3E031" w14:textId="77777777" w:rsidR="003F1C8B" w:rsidRDefault="003F1C8B" w:rsidP="00774A44">
            <w:pPr>
              <w:widowControl w:val="0"/>
              <w:spacing w:line="276" w:lineRule="auto"/>
              <w:rPr>
                <w:b/>
              </w:rPr>
            </w:pPr>
            <w:r>
              <w:rPr>
                <w:b/>
              </w:rPr>
              <w:lastRenderedPageBreak/>
              <w:t>Section 14.3: Amendments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AC6F53" w14:textId="77777777" w:rsidR="003F1C8B" w:rsidRDefault="003F1C8B" w:rsidP="00774A44">
            <w:pPr>
              <w:widowControl w:val="0"/>
              <w:spacing w:line="276" w:lineRule="auto"/>
            </w:pPr>
            <w:r>
              <w:t>No findings</w:t>
            </w:r>
          </w:p>
        </w:tc>
      </w:tr>
      <w:tr w:rsidR="003F1C8B" w14:paraId="6E8EE29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03B88B7" w14:textId="77777777" w:rsidR="003F1C8B" w:rsidRDefault="003F1C8B" w:rsidP="00774A44">
            <w:pPr>
              <w:widowControl w:val="0"/>
              <w:spacing w:line="276" w:lineRule="auto"/>
              <w:rPr>
                <w:b/>
              </w:rPr>
            </w:pPr>
            <w:r>
              <w:rPr>
                <w:b/>
              </w:rPr>
              <w:t>Section 14.4: Waiver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F8B6EF" w14:textId="77777777" w:rsidR="003F1C8B" w:rsidRDefault="003F1C8B" w:rsidP="00774A44">
            <w:pPr>
              <w:widowControl w:val="0"/>
              <w:spacing w:line="276" w:lineRule="auto"/>
            </w:pPr>
            <w:r>
              <w:t>No findings</w:t>
            </w:r>
          </w:p>
        </w:tc>
      </w:tr>
      <w:tr w:rsidR="003F1C8B" w14:paraId="5CFE5D27"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A9786AE" w14:textId="77777777" w:rsidR="003F1C8B" w:rsidRDefault="003F1C8B" w:rsidP="00774A44">
            <w:pPr>
              <w:widowControl w:val="0"/>
              <w:spacing w:line="276" w:lineRule="auto"/>
              <w:rPr>
                <w:b/>
              </w:rPr>
            </w:pPr>
            <w:r>
              <w:rPr>
                <w:b/>
              </w:rPr>
              <w:t>Section 14.5: Severability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216BA86" w14:textId="77777777" w:rsidR="003F1C8B" w:rsidRDefault="003F1C8B" w:rsidP="00774A44">
            <w:pPr>
              <w:widowControl w:val="0"/>
              <w:spacing w:line="276" w:lineRule="auto"/>
            </w:pPr>
            <w:r>
              <w:t>No findings</w:t>
            </w:r>
          </w:p>
        </w:tc>
      </w:tr>
      <w:tr w:rsidR="003F1C8B" w14:paraId="1078C67F"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5487D08" w14:textId="77777777" w:rsidR="003F1C8B" w:rsidRDefault="003F1C8B" w:rsidP="00774A44">
            <w:pPr>
              <w:widowControl w:val="0"/>
              <w:spacing w:line="276" w:lineRule="auto"/>
              <w:rPr>
                <w:b/>
              </w:rPr>
            </w:pPr>
            <w:r>
              <w:rPr>
                <w:b/>
              </w:rPr>
              <w:t>Section 14.6: Assignment and Subcontracting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F169E8" w14:textId="77777777" w:rsidR="003F1C8B" w:rsidRDefault="003F1C8B" w:rsidP="00774A44">
            <w:pPr>
              <w:widowControl w:val="0"/>
              <w:spacing w:line="276" w:lineRule="auto"/>
            </w:pPr>
            <w:r>
              <w:t>No findings</w:t>
            </w:r>
          </w:p>
        </w:tc>
      </w:tr>
      <w:tr w:rsidR="003F1C8B" w14:paraId="5BF05C54"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463A81E" w14:textId="77777777" w:rsidR="003F1C8B" w:rsidRDefault="003F1C8B" w:rsidP="00774A44">
            <w:pPr>
              <w:widowControl w:val="0"/>
              <w:spacing w:line="276" w:lineRule="auto"/>
              <w:rPr>
                <w:b/>
              </w:rPr>
            </w:pPr>
            <w:r>
              <w:rPr>
                <w:b/>
              </w:rPr>
              <w:t>Section 14.7: Governing Law</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E35404A" w14:textId="77777777" w:rsidR="003F1C8B" w:rsidRDefault="003F1C8B" w:rsidP="00774A44">
            <w:pPr>
              <w:widowControl w:val="0"/>
              <w:spacing w:line="276" w:lineRule="auto"/>
            </w:pPr>
            <w:r>
              <w:t>No findings</w:t>
            </w:r>
          </w:p>
        </w:tc>
      </w:tr>
      <w:tr w:rsidR="003F1C8B" w14:paraId="0A2E771E"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F12EFB0" w14:textId="77777777" w:rsidR="003F1C8B" w:rsidRDefault="003F1C8B" w:rsidP="00774A44">
            <w:pPr>
              <w:widowControl w:val="0"/>
              <w:spacing w:line="276" w:lineRule="auto"/>
              <w:rPr>
                <w:b/>
              </w:rPr>
            </w:pPr>
            <w:r>
              <w:rPr>
                <w:b/>
              </w:rPr>
              <w:t>Section 14.8: Third Party Beneficiaries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481FF5E" w14:textId="77777777" w:rsidR="003F1C8B" w:rsidRDefault="003F1C8B" w:rsidP="00774A44">
            <w:pPr>
              <w:widowControl w:val="0"/>
              <w:spacing w:line="276" w:lineRule="auto"/>
            </w:pPr>
            <w:r>
              <w:t>No findings</w:t>
            </w:r>
          </w:p>
        </w:tc>
      </w:tr>
      <w:tr w:rsidR="003F1C8B" w14:paraId="238E371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39C75B1" w14:textId="77777777" w:rsidR="003F1C8B" w:rsidRDefault="003F1C8B" w:rsidP="00774A44">
            <w:pPr>
              <w:widowControl w:val="0"/>
              <w:spacing w:line="276" w:lineRule="auto"/>
              <w:rPr>
                <w:b/>
              </w:rPr>
            </w:pPr>
            <w:r>
              <w:rPr>
                <w:b/>
              </w:rPr>
              <w:t>Section 14.9: English Version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45BDF32" w14:textId="77777777" w:rsidR="003F1C8B" w:rsidRDefault="003F1C8B" w:rsidP="00774A44">
            <w:pPr>
              <w:widowControl w:val="0"/>
              <w:spacing w:line="276" w:lineRule="auto"/>
            </w:pPr>
            <w:r>
              <w:t>No findings</w:t>
            </w:r>
          </w:p>
        </w:tc>
      </w:tr>
      <w:tr w:rsidR="003F1C8B" w14:paraId="2116B97F"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1E524FC" w14:textId="77777777" w:rsidR="003F1C8B" w:rsidRDefault="003F1C8B" w:rsidP="00774A44">
            <w:pPr>
              <w:widowControl w:val="0"/>
              <w:spacing w:line="276" w:lineRule="auto"/>
              <w:rPr>
                <w:b/>
              </w:rPr>
            </w:pPr>
            <w:r>
              <w:rPr>
                <w:b/>
              </w:rPr>
              <w:t>Section 14.10: Savings Clause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EC89C07" w14:textId="77777777" w:rsidR="003F1C8B" w:rsidRDefault="003F1C8B" w:rsidP="00774A44">
            <w:pPr>
              <w:widowControl w:val="0"/>
              <w:spacing w:line="276" w:lineRule="auto"/>
            </w:pPr>
            <w:r>
              <w:t>No findings</w:t>
            </w:r>
          </w:p>
        </w:tc>
      </w:tr>
      <w:tr w:rsidR="003F1C8B" w14:paraId="04A29B41"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FD707D6" w14:textId="77777777" w:rsidR="003F1C8B" w:rsidRDefault="003F1C8B" w:rsidP="00774A44">
            <w:pPr>
              <w:widowControl w:val="0"/>
              <w:spacing w:line="276" w:lineRule="auto"/>
              <w:rPr>
                <w:b/>
              </w:rPr>
            </w:pPr>
            <w:r>
              <w:rPr>
                <w:b/>
              </w:rPr>
              <w:t>Section 14.11: Cumulative Remedies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754A09D" w14:textId="77777777" w:rsidR="003F1C8B" w:rsidRDefault="003F1C8B" w:rsidP="00774A44">
            <w:pPr>
              <w:widowControl w:val="0"/>
              <w:spacing w:line="276" w:lineRule="auto"/>
            </w:pPr>
            <w:r>
              <w:t>No findings</w:t>
            </w:r>
          </w:p>
        </w:tc>
      </w:tr>
      <w:tr w:rsidR="003F1C8B" w14:paraId="11DD713E"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D2AB599" w14:textId="77777777" w:rsidR="003F1C8B" w:rsidRDefault="003F1C8B" w:rsidP="00774A44">
            <w:pPr>
              <w:widowControl w:val="0"/>
              <w:spacing w:line="276" w:lineRule="auto"/>
              <w:rPr>
                <w:b/>
              </w:rPr>
            </w:pPr>
            <w:r>
              <w:rPr>
                <w:b/>
              </w:rPr>
              <w:t>Section 14.12: Counterparts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A859623" w14:textId="77777777" w:rsidR="003F1C8B" w:rsidRDefault="003F1C8B" w:rsidP="00774A44">
            <w:pPr>
              <w:widowControl w:val="0"/>
              <w:spacing w:line="276" w:lineRule="auto"/>
            </w:pPr>
            <w:r>
              <w:t>No findings</w:t>
            </w:r>
          </w:p>
        </w:tc>
      </w:tr>
      <w:tr w:rsidR="003F1C8B" w14:paraId="21B61779"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74E17A9" w14:textId="77777777" w:rsidR="003F1C8B" w:rsidRDefault="003F1C8B" w:rsidP="00774A44">
            <w:pPr>
              <w:widowControl w:val="0"/>
              <w:spacing w:line="276" w:lineRule="auto"/>
              <w:rPr>
                <w:b/>
              </w:rPr>
            </w:pPr>
            <w:r>
              <w:rPr>
                <w:b/>
              </w:rPr>
              <w:t>Section 14.13: Headings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9EE9AD2" w14:textId="77777777" w:rsidR="003F1C8B" w:rsidRDefault="003F1C8B" w:rsidP="00774A44">
            <w:pPr>
              <w:widowControl w:val="0"/>
              <w:spacing w:line="276" w:lineRule="auto"/>
            </w:pPr>
            <w:r>
              <w:t>No findings</w:t>
            </w:r>
          </w:p>
        </w:tc>
      </w:tr>
      <w:tr w:rsidR="003F1C8B" w14:paraId="697E9F65"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1AF44BD" w14:textId="77777777" w:rsidR="003F1C8B" w:rsidRDefault="003F1C8B" w:rsidP="00774A44">
            <w:pPr>
              <w:widowControl w:val="0"/>
              <w:spacing w:line="276" w:lineRule="auto"/>
              <w:rPr>
                <w:b/>
              </w:rPr>
            </w:pPr>
            <w:r>
              <w:rPr>
                <w:b/>
              </w:rPr>
              <w:t>Section 14.14: Further Assurances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BECE0F4" w14:textId="77777777" w:rsidR="003F1C8B" w:rsidRDefault="003F1C8B" w:rsidP="00774A44">
            <w:pPr>
              <w:widowControl w:val="0"/>
              <w:spacing w:line="276" w:lineRule="auto"/>
            </w:pPr>
            <w:r>
              <w:t>No findings</w:t>
            </w:r>
          </w:p>
        </w:tc>
      </w:tr>
      <w:tr w:rsidR="003F1C8B" w14:paraId="32D0236A"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9B5CCB8" w14:textId="77777777" w:rsidR="003F1C8B" w:rsidRDefault="003F1C8B" w:rsidP="00774A44">
            <w:pPr>
              <w:widowControl w:val="0"/>
              <w:spacing w:line="276" w:lineRule="auto"/>
              <w:rPr>
                <w:b/>
              </w:rPr>
            </w:pPr>
            <w:r>
              <w:rPr>
                <w:b/>
              </w:rPr>
              <w:t>Section 14.15: Entire Contract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E7B7F52" w14:textId="77777777" w:rsidR="003F1C8B" w:rsidRDefault="003F1C8B" w:rsidP="00774A44">
            <w:pPr>
              <w:widowControl w:val="0"/>
              <w:spacing w:line="276" w:lineRule="auto"/>
            </w:pPr>
            <w:r>
              <w:t>No findings</w:t>
            </w:r>
          </w:p>
        </w:tc>
      </w:tr>
      <w:tr w:rsidR="003F1C8B" w14:paraId="40042585"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5EB5CF1" w14:textId="77777777" w:rsidR="003F1C8B" w:rsidRDefault="003F1C8B" w:rsidP="00774A44">
            <w:pPr>
              <w:widowControl w:val="0"/>
              <w:spacing w:line="276" w:lineRule="auto"/>
              <w:rPr>
                <w:b/>
              </w:rPr>
            </w:pPr>
            <w:r>
              <w:rPr>
                <w:b/>
              </w:rPr>
              <w:t>Annex A: Statement of Work for Management of the DNS Root Zone</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615975AC" w14:textId="77777777" w:rsidR="003F1C8B" w:rsidRDefault="003F1C8B" w:rsidP="00774A44">
            <w:pPr>
              <w:widowControl w:val="0"/>
              <w:spacing w:line="276" w:lineRule="auto"/>
            </w:pPr>
            <w:r>
              <w:t>Substantial suggested edits throughout this section. See also Recommendations 1-2.</w:t>
            </w:r>
          </w:p>
        </w:tc>
      </w:tr>
      <w:tr w:rsidR="003F1C8B" w14:paraId="1C2DE4F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A203794" w14:textId="77777777" w:rsidR="003F1C8B" w:rsidRDefault="003F1C8B" w:rsidP="00774A44">
            <w:pPr>
              <w:widowControl w:val="0"/>
              <w:spacing w:line="276" w:lineRule="auto"/>
              <w:rPr>
                <w:b/>
              </w:rPr>
            </w:pPr>
            <w:r>
              <w:rPr>
                <w:b/>
              </w:rPr>
              <w:t>Annex A, 1(a) Root Zone Management</w:t>
            </w:r>
          </w:p>
          <w:p w14:paraId="410127EB" w14:textId="77777777" w:rsidR="003F1C8B" w:rsidRDefault="003F1C8B" w:rsidP="00774A44">
            <w:pPr>
              <w:widowControl w:val="0"/>
              <w:spacing w:line="276" w:lineRule="auto"/>
            </w:pPr>
            <w:r>
              <w:t>The Root Zone Management component of the IANA Naming Function is the administration of certain responsibilities associated with the Internet DNS root zone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46545A6" w14:textId="77777777" w:rsidR="003F1C8B" w:rsidRDefault="003F1C8B" w:rsidP="00774A44">
            <w:pPr>
              <w:widowControl w:val="0"/>
              <w:spacing w:line="276" w:lineRule="auto"/>
            </w:pPr>
            <w:r>
              <w:t>The definition of Root Zone Management is circular and could be re-drafted for clarity.</w:t>
            </w:r>
          </w:p>
        </w:tc>
      </w:tr>
      <w:tr w:rsidR="003F1C8B" w14:paraId="471E314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7B6CF7F" w14:textId="77777777" w:rsidR="003F1C8B" w:rsidRDefault="003F1C8B" w:rsidP="00774A44">
            <w:pPr>
              <w:widowControl w:val="0"/>
              <w:spacing w:line="276" w:lineRule="auto"/>
            </w:pPr>
            <w:r>
              <w:rPr>
                <w:b/>
              </w:rPr>
              <w:t>Annex A, 1(b) Root Zone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431234" w14:textId="77777777" w:rsidR="003F1C8B" w:rsidRDefault="003F1C8B" w:rsidP="00774A44">
            <w:pPr>
              <w:widowControl w:val="0"/>
              <w:spacing w:line="276" w:lineRule="auto"/>
            </w:pPr>
            <w:r>
              <w:t>No finding</w:t>
            </w:r>
          </w:p>
        </w:tc>
      </w:tr>
      <w:tr w:rsidR="003F1C8B" w14:paraId="73052CC8"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C554935" w14:textId="77777777" w:rsidR="003F1C8B" w:rsidRDefault="003F1C8B" w:rsidP="00774A44">
            <w:pPr>
              <w:widowControl w:val="0"/>
              <w:spacing w:line="276" w:lineRule="auto"/>
            </w:pPr>
            <w:r>
              <w:rPr>
                <w:b/>
              </w:rPr>
              <w:t>Annex A, 1(c) Root Zone Management</w:t>
            </w:r>
          </w:p>
          <w:p w14:paraId="1EE65CFC" w14:textId="77777777" w:rsidR="003F1C8B" w:rsidRDefault="003F1C8B" w:rsidP="00774A44">
            <w:pPr>
              <w:widowControl w:val="0"/>
              <w:spacing w:line="276" w:lineRule="auto"/>
              <w:rPr>
                <w:b/>
              </w:rPr>
            </w:pPr>
            <w:r>
              <w:t>Contractor shall also implement DNSSEC in all zones for which ICANN has technical administration authority.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689E43A" w14:textId="77777777" w:rsidR="003F1C8B" w:rsidRDefault="003F1C8B" w:rsidP="00774A44">
            <w:pPr>
              <w:widowControl w:val="0"/>
              <w:spacing w:line="276" w:lineRule="auto"/>
            </w:pPr>
            <w:r>
              <w:t>See Recommendation 2.</w:t>
            </w:r>
          </w:p>
        </w:tc>
      </w:tr>
      <w:tr w:rsidR="003F1C8B" w14:paraId="46756681"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893D8D6" w14:textId="77777777" w:rsidR="003F1C8B" w:rsidRDefault="003F1C8B" w:rsidP="00774A44">
            <w:pPr>
              <w:widowControl w:val="0"/>
              <w:spacing w:line="276" w:lineRule="auto"/>
              <w:rPr>
                <w:b/>
              </w:rPr>
            </w:pPr>
            <w:sdt>
              <w:sdtPr>
                <w:tag w:val="goog_rdk_8"/>
                <w:id w:val="-680193352"/>
              </w:sdtPr>
              <w:sdtContent/>
            </w:sdt>
            <w:r>
              <w:rPr>
                <w:b/>
              </w:rPr>
              <w:t>Annex A, 1(d)(</w:t>
            </w:r>
            <w:proofErr w:type="spellStart"/>
            <w:r>
              <w:rPr>
                <w:b/>
              </w:rPr>
              <w:t>i</w:t>
            </w:r>
            <w:proofErr w:type="spellEnd"/>
            <w:r>
              <w:rPr>
                <w:b/>
              </w:rPr>
              <w:t>) Root Zone Management</w:t>
            </w:r>
          </w:p>
          <w:p w14:paraId="4AF25E09" w14:textId="77777777" w:rsidR="003F1C8B" w:rsidRDefault="003F1C8B" w:rsidP="00774A44">
            <w:pPr>
              <w:widowControl w:val="0"/>
              <w:spacing w:line="276" w:lineRule="auto"/>
            </w:pPr>
            <w:r>
              <w:t xml:space="preserve">Contractor shall facilitate and coordinate the root </w:t>
            </w:r>
            <w:r>
              <w:lastRenderedPageBreak/>
              <w:t xml:space="preserve">zone of the domain name </w:t>
            </w:r>
            <w:proofErr w:type="gramStart"/>
            <w:r>
              <w:t>system, and</w:t>
            </w:r>
            <w:proofErr w:type="gramEnd"/>
            <w:r>
              <w:t xml:space="preserve"> maintain 24 hour-a-day/7 days-a-week operational coverage. Contractor shall work collaboratively with the Root Zone Maintainer, in the performance of this function.</w:t>
            </w:r>
          </w:p>
          <w:p w14:paraId="4F0E665F" w14:textId="77777777" w:rsidR="003F1C8B" w:rsidRDefault="003F1C8B" w:rsidP="00774A44">
            <w:pPr>
              <w:widowControl w:val="0"/>
              <w:spacing w:line="276" w:lineRule="auto"/>
            </w:pPr>
            <w:proofErr w:type="spellStart"/>
            <w:r>
              <w:t>i</w:t>
            </w:r>
            <w:proofErr w:type="spellEnd"/>
            <w:r>
              <w:t>.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Contractor shall process root zone file changes as specified in Section 2 of this Annex A.</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2B914C" w14:textId="77777777" w:rsidR="003F1C8B" w:rsidRDefault="003F1C8B" w:rsidP="00774A44">
            <w:pPr>
              <w:widowControl w:val="0"/>
              <w:spacing w:line="276" w:lineRule="auto"/>
            </w:pPr>
            <w:r>
              <w:lastRenderedPageBreak/>
              <w:t>The review team suggests that the language in this section could be clarified.</w:t>
            </w:r>
          </w:p>
          <w:p w14:paraId="767A21F3" w14:textId="50DC7A98" w:rsidR="003F1C8B" w:rsidRDefault="003F1C8B" w:rsidP="00774A44">
            <w:pPr>
              <w:widowControl w:val="0"/>
              <w:spacing w:line="276" w:lineRule="auto"/>
            </w:pPr>
            <w:r w:rsidRPr="003F1C8B">
              <w:rPr>
                <w:color w:val="FF0000"/>
              </w:rPr>
              <w:lastRenderedPageBreak/>
              <w:t>The incidental findings tab still has a status of “please advise” have I got the correct finding?</w:t>
            </w:r>
          </w:p>
        </w:tc>
      </w:tr>
      <w:tr w:rsidR="003F1C8B" w14:paraId="4185575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EA4D0A" w14:textId="77777777" w:rsidR="003F1C8B" w:rsidRDefault="003F1C8B" w:rsidP="00774A44">
            <w:pPr>
              <w:widowControl w:val="0"/>
              <w:spacing w:line="276" w:lineRule="auto"/>
              <w:rPr>
                <w:b/>
              </w:rPr>
            </w:pPr>
            <w:sdt>
              <w:sdtPr>
                <w:tag w:val="goog_rdk_9"/>
                <w:id w:val="1082489515"/>
              </w:sdtPr>
              <w:sdtContent/>
            </w:sdt>
            <w:r>
              <w:rPr>
                <w:b/>
              </w:rPr>
              <w:t>Annex A, 1(d)(ii)</w:t>
            </w:r>
          </w:p>
          <w:p w14:paraId="579A3ADE" w14:textId="77777777" w:rsidR="003F1C8B" w:rsidRDefault="003F1C8B" w:rsidP="00774A44">
            <w:pPr>
              <w:widowControl w:val="0"/>
              <w:spacing w:line="276" w:lineRule="auto"/>
            </w:pPr>
            <w: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A7E69B0" w14:textId="77777777" w:rsidR="003F1C8B" w:rsidRDefault="003F1C8B" w:rsidP="00774A44">
            <w:pPr>
              <w:widowControl w:val="0"/>
              <w:spacing w:line="276" w:lineRule="auto"/>
            </w:pPr>
            <w:r>
              <w:t>The review team suggests that the language in this section could be clarified.</w:t>
            </w:r>
          </w:p>
          <w:p w14:paraId="52D1465E" w14:textId="5EA96F42" w:rsidR="003F1C8B" w:rsidRDefault="003F1C8B" w:rsidP="00774A44">
            <w:pPr>
              <w:widowControl w:val="0"/>
              <w:spacing w:line="276" w:lineRule="auto"/>
            </w:pPr>
            <w:r w:rsidRPr="003F1C8B">
              <w:rPr>
                <w:color w:val="FF0000"/>
              </w:rPr>
              <w:t>The incidental findings tab still has a status of “please advise” have I got the correct finding?</w:t>
            </w:r>
          </w:p>
        </w:tc>
      </w:tr>
      <w:tr w:rsidR="003F1C8B" w14:paraId="6F3BF57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373B018" w14:textId="77777777" w:rsidR="003F1C8B" w:rsidRDefault="003F1C8B" w:rsidP="00774A44">
            <w:pPr>
              <w:widowControl w:val="0"/>
              <w:spacing w:line="276" w:lineRule="auto"/>
              <w:rPr>
                <w:b/>
              </w:rPr>
            </w:pPr>
            <w:sdt>
              <w:sdtPr>
                <w:tag w:val="goog_rdk_10"/>
                <w:id w:val="474114542"/>
              </w:sdtPr>
              <w:sdtContent/>
            </w:sdt>
            <w:r>
              <w:rPr>
                <w:b/>
              </w:rPr>
              <w:t>Annex A, 1(d)(iii)</w:t>
            </w:r>
          </w:p>
          <w:p w14:paraId="7837513F" w14:textId="77777777" w:rsidR="003F1C8B" w:rsidRDefault="003F1C8B" w:rsidP="00774A44">
            <w:pPr>
              <w:widowControl w:val="0"/>
              <w:spacing w:line="276" w:lineRule="auto"/>
            </w:pPr>
            <w:r>
              <w:t xml:space="preserve">Contractor shall apply existing policies in processing requests related to the Delegation, Revocation and Transfer of ccTLDs, including RFC 1591 as interpreted by the FOI and any further clarification of these policies developed by the </w:t>
            </w:r>
            <w:proofErr w:type="spellStart"/>
            <w:r>
              <w:t>ccNSO</w:t>
            </w:r>
            <w:proofErr w:type="spellEnd"/>
            <w:r>
              <w:t xml:space="preserve">, as appropriate under ICANN’s Bylaws, and approved by the ICANN Board. In addition to these policies, Contractor shall, where applicable, consult the GAC 2005 ccTLD Principles. If an existing policy framework does not cover a specific situation, Contractor will use commercially reasonable efforts to consult with </w:t>
            </w:r>
            <w:r>
              <w:lastRenderedPageBreak/>
              <w:t xml:space="preserve">and provide opportunity for input from Significantly Interested Parties and, where necessary, may request the </w:t>
            </w:r>
            <w:proofErr w:type="spellStart"/>
            <w:r>
              <w:t>ccNSO</w:t>
            </w:r>
            <w:proofErr w:type="spellEnd"/>
            <w:r>
              <w:t xml:space="preserve"> to undertake policy development work to address such issues.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2872E06" w14:textId="77777777" w:rsidR="003F1C8B" w:rsidRDefault="003F1C8B" w:rsidP="00774A44">
            <w:pPr>
              <w:widowControl w:val="0"/>
              <w:spacing w:line="276" w:lineRule="auto"/>
            </w:pPr>
            <w:r>
              <w:lastRenderedPageBreak/>
              <w:t>The review team suggests that the language in this section could be clarified.</w:t>
            </w:r>
          </w:p>
          <w:p w14:paraId="7D34D77E" w14:textId="66FD5E90" w:rsidR="003F1C8B" w:rsidRDefault="003F1C8B" w:rsidP="00774A44">
            <w:pPr>
              <w:widowControl w:val="0"/>
              <w:spacing w:line="276" w:lineRule="auto"/>
            </w:pPr>
            <w:r w:rsidRPr="003F1C8B">
              <w:rPr>
                <w:color w:val="FF0000"/>
              </w:rPr>
              <w:t>The incidental findings tab still has a status of “please advise” have I got the correct finding?</w:t>
            </w:r>
          </w:p>
        </w:tc>
      </w:tr>
      <w:tr w:rsidR="003F1C8B" w14:paraId="7A1505F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A45617F" w14:textId="77777777" w:rsidR="003F1C8B" w:rsidRDefault="003F1C8B" w:rsidP="00774A44">
            <w:pPr>
              <w:widowControl w:val="0"/>
              <w:spacing w:line="276" w:lineRule="auto"/>
              <w:rPr>
                <w:b/>
              </w:rPr>
            </w:pPr>
            <w:sdt>
              <w:sdtPr>
                <w:tag w:val="goog_rdk_11"/>
                <w:id w:val="1749069007"/>
              </w:sdtPr>
              <w:sdtContent/>
            </w:sdt>
            <w:r>
              <w:rPr>
                <w:b/>
              </w:rPr>
              <w:t>Annex A, 1(d)(iv)</w:t>
            </w:r>
          </w:p>
          <w:p w14:paraId="02BA420C" w14:textId="77777777" w:rsidR="003F1C8B" w:rsidRDefault="003F1C8B" w:rsidP="00774A44">
            <w:pPr>
              <w:widowControl w:val="0"/>
              <w:spacing w:line="276" w:lineRule="auto"/>
            </w:pPr>
            <w:r>
              <w:t xml:space="preserve">Contractor shall apply existing policy frameworks in processing requests related to retirement of a ccTLD, including RFC 1591 as interpreted by the FOI and any further clarification of these policies developed by the </w:t>
            </w:r>
            <w:proofErr w:type="spellStart"/>
            <w:r>
              <w:t>ccNSO</w:t>
            </w:r>
            <w:proofErr w:type="spellEnd"/>
            <w:r>
              <w:t xml:space="preserve">, as appropriate under ICANN’s Bylaws, and approved by the ICANN Board. If an existing policy does not cover a specific situation, Contractor will use commercially reasonable efforts to consult with and provide opportunity for input from Significantly Interested Parties and, where necessary, may request the </w:t>
            </w:r>
            <w:proofErr w:type="spellStart"/>
            <w:r>
              <w:t>ccNSO</w:t>
            </w:r>
            <w:proofErr w:type="spellEnd"/>
            <w:r>
              <w:t xml:space="preserve"> to undertake policy development work to address such issues.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1841073" w14:textId="77777777" w:rsidR="003F1C8B" w:rsidRDefault="003F1C8B" w:rsidP="00774A44">
            <w:pPr>
              <w:widowControl w:val="0"/>
              <w:spacing w:line="276" w:lineRule="auto"/>
            </w:pPr>
            <w:r>
              <w:t>No finding</w:t>
            </w:r>
          </w:p>
          <w:p w14:paraId="3E8471F8" w14:textId="2277EE29" w:rsidR="003F1C8B" w:rsidRDefault="003F1C8B" w:rsidP="00774A44">
            <w:pPr>
              <w:widowControl w:val="0"/>
              <w:spacing w:line="276" w:lineRule="auto"/>
            </w:pPr>
            <w:r w:rsidRPr="003F1C8B">
              <w:rPr>
                <w:color w:val="FF0000"/>
              </w:rPr>
              <w:t>The incidental findings tab still has a status of “please advise” have I got the correct finding?</w:t>
            </w:r>
          </w:p>
        </w:tc>
      </w:tr>
      <w:tr w:rsidR="003F1C8B" w14:paraId="5DC70F1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93DC62" w14:textId="77777777" w:rsidR="003F1C8B" w:rsidRDefault="003F1C8B" w:rsidP="00774A44">
            <w:pPr>
              <w:widowControl w:val="0"/>
              <w:spacing w:line="276" w:lineRule="auto"/>
              <w:rPr>
                <w:b/>
              </w:rPr>
            </w:pPr>
            <w:sdt>
              <w:sdtPr>
                <w:tag w:val="goog_rdk_12"/>
                <w:id w:val="1579480334"/>
              </w:sdtPr>
              <w:sdtContent/>
            </w:sdt>
            <w:r>
              <w:rPr>
                <w:b/>
              </w:rPr>
              <w:t>Annex A, 1(d)(v)</w:t>
            </w:r>
          </w:p>
          <w:p w14:paraId="2A7A5FDD" w14:textId="77777777" w:rsidR="003F1C8B" w:rsidRDefault="003F1C8B" w:rsidP="00774A44">
            <w:pPr>
              <w:widowControl w:val="0"/>
              <w:spacing w:line="276" w:lineRule="auto"/>
            </w:pPr>
            <w:r>
              <w:t>Contractor shall verify that all requests related to the delegation and redelegation of generic TLDs are consistent with the procedures developed by ICANN.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2E3EEC" w14:textId="77777777" w:rsidR="003F1C8B" w:rsidRDefault="003F1C8B" w:rsidP="00774A44">
            <w:pPr>
              <w:widowControl w:val="0"/>
              <w:spacing w:line="276" w:lineRule="auto"/>
            </w:pPr>
            <w:r>
              <w:t>The review team suggests that the language in this section could be clarified.</w:t>
            </w:r>
          </w:p>
          <w:p w14:paraId="33BC66F8" w14:textId="5130CC2F" w:rsidR="003F1C8B" w:rsidRDefault="003F1C8B" w:rsidP="00774A44">
            <w:pPr>
              <w:widowControl w:val="0"/>
              <w:spacing w:line="276" w:lineRule="auto"/>
            </w:pPr>
            <w:r w:rsidRPr="003F1C8B">
              <w:rPr>
                <w:color w:val="FF0000"/>
              </w:rPr>
              <w:t>The incidental findings tab still has a status of “please advise” have I got the correct finding?</w:t>
            </w:r>
          </w:p>
        </w:tc>
      </w:tr>
      <w:tr w:rsidR="003F1C8B" w14:paraId="699123C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89A9469" w14:textId="77777777" w:rsidR="003F1C8B" w:rsidRDefault="003F1C8B" w:rsidP="00774A44">
            <w:pPr>
              <w:widowControl w:val="0"/>
              <w:spacing w:line="276" w:lineRule="auto"/>
              <w:rPr>
                <w:b/>
              </w:rPr>
            </w:pPr>
            <w:sdt>
              <w:sdtPr>
                <w:tag w:val="goog_rdk_13"/>
                <w:id w:val="2130965051"/>
              </w:sdtPr>
              <w:sdtContent/>
            </w:sdt>
            <w:r>
              <w:rPr>
                <w:b/>
              </w:rPr>
              <w:t>Annex A, 1(d)(vi)</w:t>
            </w:r>
          </w:p>
          <w:p w14:paraId="1D3C5CAF" w14:textId="77777777" w:rsidR="003F1C8B" w:rsidRDefault="003F1C8B" w:rsidP="00774A44">
            <w:pPr>
              <w:widowControl w:val="0"/>
              <w:spacing w:line="276" w:lineRule="auto"/>
            </w:pPr>
            <w:r>
              <w:t>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for secure communications between the Contractor and the Root Zone Maintainer.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58260DA" w14:textId="77777777" w:rsidR="003F1C8B" w:rsidRDefault="003F1C8B" w:rsidP="00774A44">
            <w:pPr>
              <w:widowControl w:val="0"/>
              <w:spacing w:line="276" w:lineRule="auto"/>
            </w:pPr>
            <w:r>
              <w:t>See Recommendations 1-2</w:t>
            </w:r>
          </w:p>
          <w:p w14:paraId="2FBC6590" w14:textId="15CA59B9" w:rsidR="003F1C8B" w:rsidRDefault="003F1C8B" w:rsidP="00774A44">
            <w:pPr>
              <w:widowControl w:val="0"/>
              <w:spacing w:line="276" w:lineRule="auto"/>
            </w:pPr>
            <w:r w:rsidRPr="003F1C8B">
              <w:rPr>
                <w:color w:val="FF0000"/>
              </w:rPr>
              <w:t>The incidental findings tab still has a status of “please advise” have I got the correct finding?</w:t>
            </w:r>
          </w:p>
        </w:tc>
      </w:tr>
      <w:tr w:rsidR="003F1C8B" w14:paraId="6EABA51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01724D3" w14:textId="77777777" w:rsidR="003F1C8B" w:rsidRDefault="003F1C8B" w:rsidP="00774A44">
            <w:pPr>
              <w:widowControl w:val="0"/>
              <w:spacing w:line="276" w:lineRule="auto"/>
              <w:rPr>
                <w:b/>
              </w:rPr>
            </w:pPr>
            <w:r>
              <w:rPr>
                <w:b/>
              </w:rPr>
              <w:t>Annex A, 2 (a) Service Levels</w:t>
            </w:r>
          </w:p>
          <w:p w14:paraId="12EC72B8" w14:textId="77777777" w:rsidR="003F1C8B" w:rsidRDefault="003F1C8B" w:rsidP="00774A44">
            <w:pPr>
              <w:widowControl w:val="0"/>
              <w:spacing w:line="276" w:lineRule="auto"/>
            </w:pPr>
            <w:r>
              <w:lastRenderedPageBreak/>
              <w:t xml:space="preserve">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w:t>
            </w:r>
            <w:proofErr w:type="gramStart"/>
            <w:r>
              <w:t>relate</w:t>
            </w:r>
            <w:proofErr w:type="gramEnd"/>
            <w:r>
              <w:t xml:space="preserve"> to measurement of non-routine changes where it is not applicable to set a specific threshold for performance. It is expected for measurements of non-routine process steps these will only be reported with no applicable service level expectation.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F9BBF0" w14:textId="77777777" w:rsidR="003F1C8B" w:rsidRDefault="003F1C8B" w:rsidP="00774A44">
            <w:pPr>
              <w:widowControl w:val="0"/>
              <w:spacing w:line="276" w:lineRule="auto"/>
            </w:pPr>
            <w:r>
              <w:lastRenderedPageBreak/>
              <w:t xml:space="preserve">The review team notes that there are </w:t>
            </w:r>
            <w:r>
              <w:lastRenderedPageBreak/>
              <w:t>different occurrences of Periodic Review referenced throughout the contract and suggests clarifying what the periodic review is here.</w:t>
            </w:r>
          </w:p>
        </w:tc>
      </w:tr>
      <w:tr w:rsidR="003F1C8B" w14:paraId="44D406D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E884BD" w14:textId="77777777" w:rsidR="003F1C8B" w:rsidRDefault="003F1C8B" w:rsidP="00774A44">
            <w:pPr>
              <w:widowControl w:val="0"/>
              <w:spacing w:line="276" w:lineRule="auto"/>
              <w:rPr>
                <w:b/>
              </w:rPr>
            </w:pPr>
            <w:r>
              <w:rPr>
                <w:b/>
              </w:rPr>
              <w:t>Annex A, 2 (b) Service Levels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8392F2F" w14:textId="77777777" w:rsidR="003F1C8B" w:rsidRDefault="003F1C8B" w:rsidP="00774A44">
            <w:pPr>
              <w:widowControl w:val="0"/>
              <w:spacing w:line="276" w:lineRule="auto"/>
            </w:pPr>
            <w:r>
              <w:t>No findings</w:t>
            </w:r>
          </w:p>
        </w:tc>
      </w:tr>
      <w:tr w:rsidR="003F1C8B" w14:paraId="26303B8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516A3F2" w14:textId="77777777" w:rsidR="003F1C8B" w:rsidRDefault="003F1C8B" w:rsidP="00774A44">
            <w:pPr>
              <w:widowControl w:val="0"/>
              <w:spacing w:line="276" w:lineRule="auto"/>
              <w:rPr>
                <w:b/>
              </w:rPr>
            </w:pPr>
            <w:r>
              <w:rPr>
                <w:b/>
              </w:rPr>
              <w:t>Annex A, 2 (c) through (g)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9C45D8" w14:textId="77777777" w:rsidR="003F1C8B" w:rsidRDefault="003F1C8B" w:rsidP="00774A44">
            <w:pPr>
              <w:widowControl w:val="0"/>
              <w:spacing w:line="276" w:lineRule="auto"/>
            </w:pPr>
            <w:r>
              <w:t>No findings</w:t>
            </w:r>
          </w:p>
        </w:tc>
      </w:tr>
      <w:tr w:rsidR="003F1C8B" w14:paraId="3DC1480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368452B" w14:textId="77777777" w:rsidR="003F1C8B" w:rsidRDefault="003F1C8B" w:rsidP="00774A44">
            <w:pPr>
              <w:widowControl w:val="0"/>
              <w:spacing w:line="276" w:lineRule="auto"/>
              <w:rPr>
                <w:b/>
              </w:rPr>
            </w:pPr>
            <w:r>
              <w:rPr>
                <w:b/>
              </w:rPr>
              <w:t>Annex A, 3 (a) Program Reviews and Site Visits</w:t>
            </w:r>
          </w:p>
          <w:p w14:paraId="72325304" w14:textId="77777777" w:rsidR="003F1C8B" w:rsidRDefault="003F1C8B" w:rsidP="00774A44">
            <w:pPr>
              <w:widowControl w:val="0"/>
              <w:spacing w:line="276" w:lineRule="auto"/>
              <w:rPr>
                <w:b/>
              </w:rPr>
            </w:pPr>
          </w:p>
          <w:p w14:paraId="0FA7BCD6" w14:textId="77777777" w:rsidR="003F1C8B" w:rsidRDefault="003F1C8B" w:rsidP="00774A44">
            <w:pPr>
              <w:widowControl w:val="0"/>
              <w:spacing w:line="276" w:lineRule="auto"/>
            </w:pPr>
            <w:r>
              <w:rPr>
                <w:shd w:val="clear" w:color="auto" w:fill="FFF2CC"/>
              </w:rPr>
              <w:t>Contract</w:t>
            </w:r>
            <w:r>
              <w:t xml:space="preserve"> acknowledges that the CSC is entitled to conduct reviews in accordance with ICANN’s Bylaws and the CSC Charter.</w:t>
            </w:r>
          </w:p>
          <w:p w14:paraId="3104254D" w14:textId="77777777" w:rsidR="003F1C8B" w:rsidRDefault="003F1C8B" w:rsidP="00774A44">
            <w:pPr>
              <w:widowControl w:val="0"/>
              <w:spacing w:line="276" w:lineRule="auto"/>
            </w:pPr>
            <w:r>
              <w:t>ii. Contractor acknowledges that an IFRT is entitled to conduct site visits in accordance with ICANN’s Bylaws.</w:t>
            </w:r>
          </w:p>
          <w:p w14:paraId="0717C05C" w14:textId="77777777" w:rsidR="003F1C8B" w:rsidRDefault="003F1C8B" w:rsidP="00774A44">
            <w:pPr>
              <w:widowControl w:val="0"/>
              <w:spacing w:line="276" w:lineRule="auto"/>
              <w:rPr>
                <w:b/>
              </w:rPr>
            </w:pP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53B448B" w14:textId="77777777" w:rsidR="003F1C8B" w:rsidRDefault="003F1C8B" w:rsidP="00774A44">
            <w:pPr>
              <w:widowControl w:val="0"/>
              <w:spacing w:line="276" w:lineRule="auto"/>
            </w:pPr>
            <w:r>
              <w:t>The review team suggests a minor correction from “Contract” to “Contractor”</w:t>
            </w:r>
          </w:p>
        </w:tc>
      </w:tr>
      <w:tr w:rsidR="003F1C8B" w14:paraId="2F07601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AF55C4F" w14:textId="77777777" w:rsidR="003F1C8B" w:rsidRDefault="003F1C8B" w:rsidP="00774A44">
            <w:pPr>
              <w:widowControl w:val="0"/>
              <w:spacing w:line="276" w:lineRule="auto"/>
              <w:rPr>
                <w:b/>
              </w:rPr>
            </w:pPr>
            <w:r>
              <w:rPr>
                <w:b/>
              </w:rPr>
              <w:t>Annex A, 3 (b) Monthly Performance Progress Report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1E310C6" w14:textId="77777777" w:rsidR="003F1C8B" w:rsidRDefault="003F1C8B" w:rsidP="00774A44">
            <w:pPr>
              <w:widowControl w:val="0"/>
              <w:spacing w:line="276" w:lineRule="auto"/>
            </w:pPr>
            <w:r>
              <w:t>No findings</w:t>
            </w:r>
          </w:p>
        </w:tc>
      </w:tr>
      <w:tr w:rsidR="003F1C8B" w14:paraId="28CCD0B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FEE677" w14:textId="77777777" w:rsidR="003F1C8B" w:rsidRDefault="003F1C8B" w:rsidP="00774A44">
            <w:pPr>
              <w:widowControl w:val="0"/>
              <w:spacing w:line="276" w:lineRule="auto"/>
              <w:rPr>
                <w:b/>
              </w:rPr>
            </w:pPr>
            <w:r>
              <w:rPr>
                <w:b/>
              </w:rPr>
              <w:t>Annex A, 3 (c) Program Reviews and Site Visits</w:t>
            </w:r>
          </w:p>
          <w:p w14:paraId="75DC4A54" w14:textId="77777777" w:rsidR="003F1C8B" w:rsidRDefault="003F1C8B" w:rsidP="00774A44">
            <w:pPr>
              <w:widowControl w:val="0"/>
              <w:spacing w:line="276" w:lineRule="auto"/>
              <w:rPr>
                <w:b/>
              </w:rPr>
            </w:pPr>
          </w:p>
          <w:p w14:paraId="1F1C7653" w14:textId="77777777" w:rsidR="003F1C8B" w:rsidRDefault="003F1C8B" w:rsidP="00774A44">
            <w:pPr>
              <w:widowControl w:val="0"/>
              <w:spacing w:line="276" w:lineRule="auto"/>
            </w:pPr>
            <w:r>
              <w:t xml:space="preserve">Root Zone Management Dashboard. Contractor shall work collaboratively with ICANN and Interested and Affected Parties to produce the dashboard to report Service Level Expectations for Root Zone Management, which will be used for </w:t>
            </w:r>
            <w:r>
              <w:rPr>
                <w:shd w:val="clear" w:color="auto" w:fill="FFF2CC"/>
              </w:rPr>
              <w:t>real-time reporting</w:t>
            </w:r>
            <w:r>
              <w:t xml:space="preserve"> of Contractor’s performance.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1F400BB" w14:textId="77777777" w:rsidR="003F1C8B" w:rsidRDefault="003F1C8B" w:rsidP="00774A44">
            <w:pPr>
              <w:widowControl w:val="0"/>
              <w:spacing w:line="276" w:lineRule="auto"/>
            </w:pPr>
            <w:r>
              <w:t xml:space="preserve">The review team notes that the language of "real-time" is vague and could be clarified.  </w:t>
            </w:r>
          </w:p>
        </w:tc>
      </w:tr>
      <w:tr w:rsidR="003F1C8B" w14:paraId="1DA5FF1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6FBA98" w14:textId="77777777" w:rsidR="003F1C8B" w:rsidRDefault="003F1C8B" w:rsidP="00774A44">
            <w:pPr>
              <w:widowControl w:val="0"/>
              <w:spacing w:line="276" w:lineRule="auto"/>
              <w:rPr>
                <w:b/>
              </w:rPr>
            </w:pPr>
            <w:r>
              <w:rPr>
                <w:b/>
              </w:rPr>
              <w:t>Annex A, 3 (d) Performance Standards Report</w:t>
            </w:r>
          </w:p>
          <w:p w14:paraId="5D56494F" w14:textId="77777777" w:rsidR="003F1C8B" w:rsidRDefault="003F1C8B" w:rsidP="00774A44">
            <w:pPr>
              <w:widowControl w:val="0"/>
              <w:spacing w:line="276" w:lineRule="auto"/>
              <w:rPr>
                <w:b/>
              </w:rPr>
            </w:pPr>
          </w:p>
          <w:p w14:paraId="524751B6" w14:textId="77777777" w:rsidR="003F1C8B" w:rsidRDefault="003F1C8B" w:rsidP="00774A44">
            <w:pPr>
              <w:widowControl w:val="0"/>
              <w:spacing w:line="276" w:lineRule="auto"/>
            </w:pPr>
            <w:r>
              <w:t xml:space="preserve">Performance Standards Reports. Contractor </w:t>
            </w:r>
            <w:r>
              <w:lastRenderedPageBreak/>
              <w:t xml:space="preserve">shall develop and publish performance standard metric reports for the IANA Naming Function in consultation with the CSC. The performance standards metric reports will be published via a </w:t>
            </w:r>
            <w:r>
              <w:rPr>
                <w:shd w:val="clear" w:color="auto" w:fill="FFF2CC"/>
              </w:rPr>
              <w:t>website</w:t>
            </w:r>
            <w:r>
              <w:t xml:space="preserve"> every month (no later than 15 calendar days following the end of each month).</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516902E" w14:textId="77777777" w:rsidR="003F1C8B" w:rsidRDefault="003F1C8B" w:rsidP="00774A44">
            <w:pPr>
              <w:widowControl w:val="0"/>
              <w:spacing w:line="276" w:lineRule="auto"/>
            </w:pPr>
            <w:r>
              <w:lastRenderedPageBreak/>
              <w:t>The review team notes that the language of “website” is vague and could be clarified by saying “IANA website.”</w:t>
            </w:r>
          </w:p>
        </w:tc>
      </w:tr>
      <w:tr w:rsidR="003F1C8B" w14:paraId="315322D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438E38A" w14:textId="77777777" w:rsidR="003F1C8B" w:rsidRDefault="003F1C8B" w:rsidP="00774A44">
            <w:pPr>
              <w:widowControl w:val="0"/>
              <w:spacing w:line="276" w:lineRule="auto"/>
              <w:rPr>
                <w:b/>
              </w:rPr>
            </w:pPr>
            <w:r>
              <w:rPr>
                <w:b/>
              </w:rPr>
              <w:t>Annex A, 3 (e) Customer Service Survey</w:t>
            </w:r>
          </w:p>
          <w:p w14:paraId="157DDD1B" w14:textId="77777777" w:rsidR="003F1C8B" w:rsidRDefault="003F1C8B" w:rsidP="00774A44">
            <w:pPr>
              <w:widowControl w:val="0"/>
              <w:spacing w:line="276" w:lineRule="auto"/>
              <w:rPr>
                <w:b/>
              </w:rPr>
            </w:pPr>
          </w:p>
          <w:p w14:paraId="18982296" w14:textId="77777777" w:rsidR="003F1C8B" w:rsidRDefault="003F1C8B" w:rsidP="00774A44">
            <w:pPr>
              <w:widowControl w:val="0"/>
              <w:spacing w:line="276" w:lineRule="auto"/>
            </w:pPr>
            <w:r>
              <w:rPr>
                <w:shd w:val="clear" w:color="auto" w:fill="FFF2CC"/>
              </w:rPr>
              <w:t>In accordance with ICANN’s Bylaws</w:t>
            </w:r>
            <w:r>
              <w:t>, Contractor shall collaborate with the CSC and ICANN to maintain and enhance the annual customer service survey consistent with the performance standards for Root Zone Management. The survey shall, at a minimum, include a feedback section for the IANA Naming Function. No later than 60 calendar days after completing a customer service survey, Contractor shall prepare a report (the “CSS Report”), submit the CSS Report to ICANN and publicly post the CSS Report to the IANA Website.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F739CCD" w14:textId="77777777" w:rsidR="003F1C8B" w:rsidRDefault="003F1C8B" w:rsidP="00774A44">
            <w:pPr>
              <w:widowControl w:val="0"/>
              <w:spacing w:line="276" w:lineRule="auto"/>
            </w:pPr>
            <w:r>
              <w:t>The review team suggests removing the phrase “In accordance with ICANN’s Bylaws” since the ICANN Bylaws do not refer to this activity.</w:t>
            </w:r>
          </w:p>
        </w:tc>
      </w:tr>
      <w:tr w:rsidR="003F1C8B" w14:paraId="3704F8C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D6B6432" w14:textId="77777777" w:rsidR="003F1C8B" w:rsidRDefault="003F1C8B" w:rsidP="00774A44">
            <w:pPr>
              <w:widowControl w:val="0"/>
              <w:spacing w:line="276" w:lineRule="auto"/>
              <w:rPr>
                <w:b/>
              </w:rPr>
            </w:pPr>
            <w:r>
              <w:rPr>
                <w:b/>
              </w:rPr>
              <w:t>Annex A, 3 (f) Final Report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EFBBCF" w14:textId="77777777" w:rsidR="003F1C8B" w:rsidRDefault="003F1C8B" w:rsidP="00774A44">
            <w:pPr>
              <w:widowControl w:val="0"/>
              <w:spacing w:line="276" w:lineRule="auto"/>
            </w:pPr>
            <w:r>
              <w:t>No findings</w:t>
            </w:r>
          </w:p>
        </w:tc>
      </w:tr>
      <w:tr w:rsidR="003F1C8B" w14:paraId="3AAC0F4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C79DAA" w14:textId="77777777" w:rsidR="003F1C8B" w:rsidRDefault="003F1C8B" w:rsidP="00774A44">
            <w:pPr>
              <w:widowControl w:val="0"/>
              <w:spacing w:line="276" w:lineRule="auto"/>
              <w:rPr>
                <w:b/>
              </w:rPr>
            </w:pPr>
            <w:r>
              <w:rPr>
                <w:b/>
              </w:rPr>
              <w:t>Annex A, 3 (g) Inspection and Acceptance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8F85A47" w14:textId="77777777" w:rsidR="003F1C8B" w:rsidRDefault="003F1C8B" w:rsidP="00774A44">
            <w:pPr>
              <w:widowControl w:val="0"/>
              <w:spacing w:line="276" w:lineRule="auto"/>
            </w:pPr>
            <w:r>
              <w:t>No findings</w:t>
            </w:r>
          </w:p>
        </w:tc>
      </w:tr>
      <w:tr w:rsidR="003F1C8B" w14:paraId="6590884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5D26364" w14:textId="77777777" w:rsidR="003F1C8B" w:rsidRDefault="003F1C8B" w:rsidP="00774A44">
            <w:pPr>
              <w:widowControl w:val="0"/>
              <w:spacing w:line="276" w:lineRule="auto"/>
              <w:rPr>
                <w:b/>
              </w:rPr>
            </w:pPr>
            <w:r>
              <w:rPr>
                <w:b/>
              </w:rPr>
              <w:t>Annex A, 4 (a) DNSSEC at the authoritative Root Zone</w:t>
            </w:r>
          </w:p>
          <w:p w14:paraId="233BDC4E" w14:textId="77777777" w:rsidR="003F1C8B" w:rsidRDefault="003F1C8B" w:rsidP="00774A44">
            <w:pPr>
              <w:widowControl w:val="0"/>
              <w:spacing w:line="276" w:lineRule="auto"/>
              <w:rPr>
                <w:b/>
              </w:rPr>
            </w:pPr>
          </w:p>
          <w:p w14:paraId="4A7F623E" w14:textId="77777777" w:rsidR="003F1C8B" w:rsidRDefault="003F1C8B" w:rsidP="00774A44">
            <w:pPr>
              <w:widowControl w:val="0"/>
              <w:spacing w:line="276" w:lineRule="auto"/>
            </w:pPr>
            <w: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E8D06C" w14:textId="77777777" w:rsidR="003F1C8B" w:rsidRDefault="003F1C8B" w:rsidP="00774A44">
            <w:pPr>
              <w:widowControl w:val="0"/>
              <w:spacing w:line="276" w:lineRule="auto"/>
            </w:pPr>
            <w:r>
              <w:t>The review team suggests that this section would benefit from further references to explain (a) ICANN's relationship with the “Root Zone Maintainer" and (b) the responsibilities of each party.</w:t>
            </w:r>
          </w:p>
        </w:tc>
      </w:tr>
      <w:tr w:rsidR="003F1C8B" w14:paraId="7579E3A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4C95C8A" w14:textId="77777777" w:rsidR="003F1C8B" w:rsidRDefault="003F1C8B" w:rsidP="00774A44">
            <w:pPr>
              <w:widowControl w:val="0"/>
              <w:spacing w:line="276" w:lineRule="auto"/>
              <w:rPr>
                <w:b/>
              </w:rPr>
            </w:pPr>
            <w:r>
              <w:rPr>
                <w:b/>
              </w:rPr>
              <w:t>Annex A, 4 (b) (</w:t>
            </w:r>
            <w:proofErr w:type="spellStart"/>
            <w:r>
              <w:rPr>
                <w:b/>
              </w:rPr>
              <w:t>i</w:t>
            </w:r>
            <w:proofErr w:type="spellEnd"/>
            <w:r>
              <w:rPr>
                <w:b/>
              </w:rPr>
              <w:t>)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F01C48" w14:textId="77777777" w:rsidR="003F1C8B" w:rsidRDefault="003F1C8B" w:rsidP="00774A44">
            <w:pPr>
              <w:widowControl w:val="0"/>
              <w:spacing w:line="276" w:lineRule="auto"/>
            </w:pPr>
            <w:r>
              <w:t>No findings</w:t>
            </w:r>
          </w:p>
        </w:tc>
      </w:tr>
      <w:tr w:rsidR="003F1C8B" w14:paraId="7D9DE27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01E5980" w14:textId="77777777" w:rsidR="003F1C8B" w:rsidRDefault="003F1C8B" w:rsidP="00774A44">
            <w:pPr>
              <w:widowControl w:val="0"/>
              <w:spacing w:line="276" w:lineRule="auto"/>
              <w:rPr>
                <w:b/>
              </w:rPr>
            </w:pPr>
            <w:r>
              <w:rPr>
                <w:b/>
              </w:rPr>
              <w:t>Annex A, 4 (b) (ii)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75C5E64" w14:textId="77777777" w:rsidR="003F1C8B" w:rsidRDefault="003F1C8B" w:rsidP="00774A44">
            <w:pPr>
              <w:widowControl w:val="0"/>
              <w:spacing w:line="276" w:lineRule="auto"/>
            </w:pPr>
            <w:r>
              <w:t>No findings</w:t>
            </w:r>
          </w:p>
        </w:tc>
      </w:tr>
      <w:tr w:rsidR="003F1C8B" w14:paraId="27792AC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D05DBA7" w14:textId="77777777" w:rsidR="003F1C8B" w:rsidRDefault="003F1C8B" w:rsidP="00774A44">
            <w:pPr>
              <w:widowControl w:val="0"/>
              <w:spacing w:line="276" w:lineRule="auto"/>
              <w:rPr>
                <w:b/>
              </w:rPr>
            </w:pPr>
            <w:r>
              <w:rPr>
                <w:b/>
              </w:rPr>
              <w:lastRenderedPageBreak/>
              <w:t>Annex A, 4 (b) (</w:t>
            </w:r>
            <w:proofErr w:type="spellStart"/>
            <w:r>
              <w:rPr>
                <w:b/>
              </w:rPr>
              <w:t>iII</w:t>
            </w:r>
            <w:proofErr w:type="spellEnd"/>
            <w:r>
              <w:rPr>
                <w:b/>
              </w:rPr>
              <w:t>)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C86936" w14:textId="77777777" w:rsidR="003F1C8B" w:rsidRDefault="003F1C8B" w:rsidP="00774A44">
            <w:pPr>
              <w:widowControl w:val="0"/>
              <w:spacing w:line="276" w:lineRule="auto"/>
            </w:pPr>
            <w:r>
              <w:t>No findings</w:t>
            </w:r>
          </w:p>
        </w:tc>
      </w:tr>
      <w:tr w:rsidR="003F1C8B" w14:paraId="16B4992D"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E6A5520" w14:textId="77777777" w:rsidR="003F1C8B" w:rsidRDefault="003F1C8B" w:rsidP="00774A44">
            <w:pPr>
              <w:widowControl w:val="0"/>
              <w:spacing w:line="276" w:lineRule="auto"/>
              <w:rPr>
                <w:b/>
              </w:rPr>
            </w:pPr>
            <w:r>
              <w:rPr>
                <w:b/>
              </w:rPr>
              <w:t>Annex A, 4 (c) (</w:t>
            </w:r>
            <w:proofErr w:type="spellStart"/>
            <w:r>
              <w:rPr>
                <w:b/>
              </w:rPr>
              <w:t>i</w:t>
            </w:r>
            <w:proofErr w:type="spellEnd"/>
            <w:r>
              <w:rPr>
                <w:b/>
              </w:rPr>
              <w:t>) (1) Security Authorization and Management Policy</w:t>
            </w:r>
          </w:p>
          <w:p w14:paraId="0050A81C" w14:textId="77777777" w:rsidR="003F1C8B" w:rsidRDefault="003F1C8B" w:rsidP="00774A44">
            <w:pPr>
              <w:widowControl w:val="0"/>
              <w:spacing w:line="276" w:lineRule="auto"/>
              <w:rPr>
                <w:b/>
              </w:rPr>
            </w:pPr>
          </w:p>
          <w:p w14:paraId="314DFAD6" w14:textId="77777777" w:rsidR="003F1C8B" w:rsidRDefault="003F1C8B" w:rsidP="00774A44">
            <w:pPr>
              <w:widowControl w:val="0"/>
              <w:spacing w:line="276" w:lineRule="auto"/>
            </w:pPr>
            <w:proofErr w:type="spellStart"/>
            <w:r>
              <w:t>i</w:t>
            </w:r>
            <w:proofErr w:type="spellEnd"/>
            <w:r>
              <w:t>. Contractor shall have its own security policy in place; each security policy must be periodically reviewed and updated, as appropriate.</w:t>
            </w:r>
          </w:p>
          <w:p w14:paraId="179CB438" w14:textId="77777777" w:rsidR="003F1C8B" w:rsidRDefault="003F1C8B" w:rsidP="00774A44">
            <w:pPr>
              <w:widowControl w:val="0"/>
              <w:spacing w:line="276" w:lineRule="auto"/>
            </w:pPr>
          </w:p>
          <w:p w14:paraId="71BA8D5A" w14:textId="77777777" w:rsidR="003F1C8B" w:rsidRDefault="003F1C8B" w:rsidP="00774A44">
            <w:pPr>
              <w:widowControl w:val="0"/>
              <w:spacing w:line="276" w:lineRule="auto"/>
              <w:rPr>
                <w:b/>
              </w:rPr>
            </w:pPr>
            <w:r>
              <w:t>1. Supplemental guidance on generating a Security Authorization Policy may be found in NIST SP 800-37.</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CD9AB3" w14:textId="77777777" w:rsidR="003F1C8B" w:rsidRDefault="003F1C8B"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3F1C8B" w14:paraId="2820617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9650627" w14:textId="77777777" w:rsidR="003F1C8B" w:rsidRDefault="003F1C8B" w:rsidP="00774A44">
            <w:pPr>
              <w:widowControl w:val="0"/>
              <w:spacing w:line="276" w:lineRule="auto"/>
              <w:rPr>
                <w:b/>
              </w:rPr>
            </w:pPr>
            <w:r>
              <w:rPr>
                <w:b/>
              </w:rPr>
              <w:t>Annex A, 4 (c) (ii) (1) Security Authorization and Management Policy</w:t>
            </w:r>
          </w:p>
          <w:p w14:paraId="23A9BF7D" w14:textId="77777777" w:rsidR="003F1C8B" w:rsidRDefault="003F1C8B" w:rsidP="00774A44">
            <w:pPr>
              <w:widowControl w:val="0"/>
              <w:spacing w:line="276" w:lineRule="auto"/>
              <w:rPr>
                <w:b/>
              </w:rPr>
            </w:pPr>
          </w:p>
          <w:p w14:paraId="4223F687" w14:textId="77777777" w:rsidR="003F1C8B" w:rsidRDefault="003F1C8B" w:rsidP="00774A44">
            <w:pPr>
              <w:widowControl w:val="0"/>
              <w:spacing w:line="276" w:lineRule="auto"/>
            </w:pPr>
            <w:r>
              <w:t>ii. The policy shall have a contingency plan component to account for disaster recovery (both man-made and natural disasters).</w:t>
            </w:r>
          </w:p>
          <w:p w14:paraId="78B563E5" w14:textId="77777777" w:rsidR="003F1C8B" w:rsidRDefault="003F1C8B" w:rsidP="00774A44">
            <w:pPr>
              <w:widowControl w:val="0"/>
              <w:spacing w:line="276" w:lineRule="auto"/>
            </w:pPr>
          </w:p>
          <w:p w14:paraId="61C633A3" w14:textId="77777777" w:rsidR="003F1C8B" w:rsidRDefault="003F1C8B" w:rsidP="00774A44">
            <w:pPr>
              <w:widowControl w:val="0"/>
              <w:spacing w:line="276" w:lineRule="auto"/>
            </w:pPr>
            <w:r>
              <w:t>1. Supplemental guidance on contingency planning may be found in SP 800-34</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BB7E031" w14:textId="77777777" w:rsidR="003F1C8B" w:rsidRDefault="003F1C8B"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3F1C8B" w14:paraId="42A0DE9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D47C567" w14:textId="77777777" w:rsidR="003F1C8B" w:rsidRDefault="003F1C8B" w:rsidP="00774A44">
            <w:pPr>
              <w:widowControl w:val="0"/>
              <w:spacing w:line="276" w:lineRule="auto"/>
              <w:rPr>
                <w:b/>
              </w:rPr>
            </w:pPr>
            <w:r>
              <w:rPr>
                <w:b/>
              </w:rPr>
              <w:t>Annex A, 4 (c) (iii) (1) Security Authorization and Management Policy</w:t>
            </w:r>
          </w:p>
          <w:p w14:paraId="456D02F1" w14:textId="77777777" w:rsidR="003F1C8B" w:rsidRDefault="003F1C8B" w:rsidP="00774A44">
            <w:pPr>
              <w:widowControl w:val="0"/>
              <w:spacing w:line="276" w:lineRule="auto"/>
              <w:rPr>
                <w:b/>
              </w:rPr>
            </w:pPr>
          </w:p>
          <w:p w14:paraId="0216C16E" w14:textId="77777777" w:rsidR="003F1C8B" w:rsidRDefault="003F1C8B" w:rsidP="00774A44">
            <w:pPr>
              <w:widowControl w:val="0"/>
              <w:spacing w:line="276" w:lineRule="auto"/>
            </w:pPr>
            <w:r>
              <w:t>iii. The policy shall address Incident Response detection, handling and reporting (see 4 below).</w:t>
            </w:r>
          </w:p>
          <w:p w14:paraId="3E073F53" w14:textId="77777777" w:rsidR="003F1C8B" w:rsidRDefault="003F1C8B" w:rsidP="00774A44">
            <w:pPr>
              <w:widowControl w:val="0"/>
              <w:spacing w:line="276" w:lineRule="auto"/>
            </w:pPr>
          </w:p>
          <w:p w14:paraId="37152CFF" w14:textId="77777777" w:rsidR="003F1C8B" w:rsidRDefault="003F1C8B" w:rsidP="00774A44">
            <w:pPr>
              <w:widowControl w:val="0"/>
              <w:spacing w:line="276" w:lineRule="auto"/>
            </w:pPr>
            <w:r>
              <w:t>1. Supplemental guidance on incident response handling may be found in NIST SP 800- 61.</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26BF4F3" w14:textId="77777777" w:rsidR="003F1C8B" w:rsidRDefault="003F1C8B"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3F1C8B" w14:paraId="5F81D2D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8888FF" w14:textId="77777777" w:rsidR="003F1C8B" w:rsidRDefault="003F1C8B" w:rsidP="00774A44">
            <w:pPr>
              <w:widowControl w:val="0"/>
              <w:spacing w:line="276" w:lineRule="auto"/>
              <w:rPr>
                <w:b/>
              </w:rPr>
            </w:pPr>
            <w:r>
              <w:rPr>
                <w:b/>
              </w:rPr>
              <w:t>Annex A, 4 (d) (</w:t>
            </w:r>
            <w:proofErr w:type="spellStart"/>
            <w:r>
              <w:rPr>
                <w:b/>
              </w:rPr>
              <w:t>i</w:t>
            </w:r>
            <w:proofErr w:type="spellEnd"/>
            <w:r>
              <w:rPr>
                <w:b/>
              </w:rPr>
              <w:t>) (1-2) IT Access Control</w:t>
            </w:r>
          </w:p>
          <w:p w14:paraId="00FC6A52" w14:textId="77777777" w:rsidR="003F1C8B" w:rsidRDefault="003F1C8B" w:rsidP="00774A44">
            <w:pPr>
              <w:widowControl w:val="0"/>
              <w:spacing w:line="276" w:lineRule="auto"/>
              <w:rPr>
                <w:b/>
              </w:rPr>
            </w:pPr>
          </w:p>
          <w:p w14:paraId="6E876A6F" w14:textId="77777777" w:rsidR="003F1C8B" w:rsidRDefault="003F1C8B" w:rsidP="00774A44">
            <w:pPr>
              <w:widowControl w:val="0"/>
              <w:spacing w:line="276" w:lineRule="auto"/>
            </w:pPr>
            <w:r>
              <w:t>d. IT Access Control</w:t>
            </w:r>
          </w:p>
          <w:p w14:paraId="5C0B0954" w14:textId="77777777" w:rsidR="003F1C8B" w:rsidRDefault="003F1C8B" w:rsidP="00774A44">
            <w:pPr>
              <w:widowControl w:val="0"/>
              <w:spacing w:line="276" w:lineRule="auto"/>
            </w:pPr>
          </w:p>
          <w:p w14:paraId="2E71BB33" w14:textId="77777777" w:rsidR="003F1C8B" w:rsidRDefault="003F1C8B" w:rsidP="00774A44">
            <w:pPr>
              <w:widowControl w:val="0"/>
              <w:spacing w:line="276" w:lineRule="auto"/>
            </w:pPr>
            <w:proofErr w:type="spellStart"/>
            <w:r>
              <w:t>i</w:t>
            </w:r>
            <w:proofErr w:type="spellEnd"/>
            <w:r>
              <w:t>. There shall be an IT access control policy in place and enforced for the key management functions</w:t>
            </w:r>
          </w:p>
          <w:p w14:paraId="5C276BA4" w14:textId="77777777" w:rsidR="003F1C8B" w:rsidRDefault="003F1C8B" w:rsidP="00774A44">
            <w:pPr>
              <w:widowControl w:val="0"/>
              <w:spacing w:line="276" w:lineRule="auto"/>
            </w:pPr>
          </w:p>
          <w:p w14:paraId="6F5963CB" w14:textId="77777777" w:rsidR="003F1C8B" w:rsidRDefault="003F1C8B" w:rsidP="00774A44">
            <w:pPr>
              <w:widowControl w:val="0"/>
              <w:spacing w:line="276" w:lineRule="auto"/>
            </w:pPr>
            <w:r>
              <w:t>1. This includes both access to hardware/software components and storage media as well as ability to perform process operations.</w:t>
            </w:r>
          </w:p>
          <w:p w14:paraId="53564E31" w14:textId="77777777" w:rsidR="003F1C8B" w:rsidRDefault="003F1C8B" w:rsidP="00774A44">
            <w:pPr>
              <w:widowControl w:val="0"/>
              <w:spacing w:line="276" w:lineRule="auto"/>
            </w:pPr>
            <w:r>
              <w:t xml:space="preserve">2. Supplemental guidance on access control </w:t>
            </w:r>
            <w:r>
              <w:lastRenderedPageBreak/>
              <w:t>policies may be found in NIST SP 800-12</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10299C6" w14:textId="77777777" w:rsidR="003F1C8B" w:rsidRDefault="003F1C8B" w:rsidP="00774A44">
            <w:pPr>
              <w:widowControl w:val="0"/>
              <w:spacing w:line="276" w:lineRule="auto"/>
            </w:pPr>
            <w:r>
              <w:lastRenderedPageBreak/>
              <w:t>The lower-case term "key" is vague, since it could refer to essential management functions or those relating to cryptographic keys. Furthermore, the referenced NIST document is subject to updates.</w:t>
            </w:r>
          </w:p>
          <w:p w14:paraId="4BD210F4" w14:textId="77777777" w:rsidR="003F1C8B" w:rsidRDefault="003F1C8B" w:rsidP="00774A44">
            <w:pPr>
              <w:widowControl w:val="0"/>
              <w:spacing w:line="276" w:lineRule="auto"/>
            </w:pPr>
          </w:p>
          <w:p w14:paraId="54E13A2E" w14:textId="77777777" w:rsidR="003F1C8B" w:rsidRDefault="003F1C8B" w:rsidP="00774A44">
            <w:pPr>
              <w:widowControl w:val="0"/>
              <w:spacing w:line="276" w:lineRule="auto"/>
            </w:pPr>
            <w:r>
              <w:t xml:space="preserve">The review team suggests referring to "cryptographic key" if that is what is intended. Furthermore, allow for future versions of the NIST document by adding "as may be updated from time to time" or by referencing most current version. </w:t>
            </w:r>
          </w:p>
        </w:tc>
      </w:tr>
      <w:tr w:rsidR="003F1C8B" w14:paraId="15B73AC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2839EE3" w14:textId="77777777" w:rsidR="003F1C8B" w:rsidRDefault="003F1C8B" w:rsidP="00774A44">
            <w:pPr>
              <w:widowControl w:val="0"/>
              <w:spacing w:line="276" w:lineRule="auto"/>
              <w:rPr>
                <w:b/>
              </w:rPr>
            </w:pPr>
            <w:r>
              <w:rPr>
                <w:b/>
              </w:rPr>
              <w:t>Annex A, 4 (d) (ii) IT Access Control</w:t>
            </w:r>
          </w:p>
          <w:p w14:paraId="5E733731" w14:textId="77777777" w:rsidR="003F1C8B" w:rsidRDefault="003F1C8B" w:rsidP="00774A44">
            <w:pPr>
              <w:widowControl w:val="0"/>
              <w:spacing w:line="276" w:lineRule="auto"/>
              <w:rPr>
                <w:b/>
              </w:rPr>
            </w:pPr>
          </w:p>
          <w:p w14:paraId="05192CA5" w14:textId="77777777" w:rsidR="003F1C8B" w:rsidRDefault="003F1C8B" w:rsidP="00774A44">
            <w:pPr>
              <w:widowControl w:val="0"/>
              <w:spacing w:line="276" w:lineRule="auto"/>
            </w:pPr>
            <w:r>
              <w:rPr>
                <w:b/>
              </w:rPr>
              <w:t xml:space="preserve">ii. </w:t>
            </w:r>
            <w:r>
              <w:t>Users without authentication shall not perform any action in key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1D26140" w14:textId="77777777" w:rsidR="003F1C8B" w:rsidRDefault="003F1C8B" w:rsidP="00774A44">
            <w:pPr>
              <w:widowControl w:val="0"/>
              <w:spacing w:line="276" w:lineRule="auto"/>
            </w:pPr>
            <w:r>
              <w:t xml:space="preserve">The lower-case term "key" is vague, since it could refer to essential management functions or those relating to cryptographic keys. The review team suggests referring to "cryptographic key" if that is what is intended. </w:t>
            </w:r>
          </w:p>
          <w:p w14:paraId="6EE9ADA3" w14:textId="77777777" w:rsidR="003F1C8B" w:rsidRDefault="003F1C8B" w:rsidP="00774A44">
            <w:pPr>
              <w:widowControl w:val="0"/>
              <w:spacing w:line="276" w:lineRule="auto"/>
            </w:pPr>
          </w:p>
        </w:tc>
      </w:tr>
      <w:tr w:rsidR="003F1C8B" w14:paraId="418E3791"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157BC97" w14:textId="77777777" w:rsidR="003F1C8B" w:rsidRDefault="003F1C8B" w:rsidP="00774A44">
            <w:pPr>
              <w:widowControl w:val="0"/>
              <w:spacing w:line="276" w:lineRule="auto"/>
              <w:rPr>
                <w:b/>
              </w:rPr>
            </w:pPr>
            <w:r>
              <w:rPr>
                <w:b/>
              </w:rPr>
              <w:t>Annex A, 4 (d) (iii) IT Access Control</w:t>
            </w:r>
          </w:p>
          <w:p w14:paraId="0DEAB8D6" w14:textId="77777777" w:rsidR="003F1C8B" w:rsidRDefault="003F1C8B" w:rsidP="00774A44">
            <w:pPr>
              <w:widowControl w:val="0"/>
              <w:spacing w:line="276" w:lineRule="auto"/>
            </w:pPr>
          </w:p>
          <w:p w14:paraId="00C1A444" w14:textId="77777777" w:rsidR="003F1C8B" w:rsidRDefault="003F1C8B" w:rsidP="00774A44">
            <w:pPr>
              <w:widowControl w:val="0"/>
              <w:spacing w:line="276" w:lineRule="auto"/>
            </w:pPr>
            <w:r>
              <w:t>iii. In the absence of a compelling operational requirement, remote access to any cryptographic component in the system (such as hardware security modules) is not permitted.</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FC772DC" w14:textId="77777777" w:rsidR="003F1C8B" w:rsidRDefault="003F1C8B" w:rsidP="00774A44">
            <w:pPr>
              <w:widowControl w:val="0"/>
              <w:spacing w:line="276" w:lineRule="auto"/>
            </w:pPr>
            <w:r>
              <w:t xml:space="preserve">The review team finds that the term “the system” is vague here and suggest that it refers to DNSSEC signing, if that is what is intended. </w:t>
            </w:r>
          </w:p>
        </w:tc>
      </w:tr>
      <w:tr w:rsidR="003F1C8B" w14:paraId="082F250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7F68C42" w14:textId="77777777" w:rsidR="003F1C8B" w:rsidRDefault="003F1C8B" w:rsidP="00774A44">
            <w:pPr>
              <w:widowControl w:val="0"/>
              <w:spacing w:line="276" w:lineRule="auto"/>
              <w:rPr>
                <w:b/>
              </w:rPr>
            </w:pPr>
            <w:r>
              <w:rPr>
                <w:b/>
              </w:rPr>
              <w:t>Annex A, 4 (e) (</w:t>
            </w:r>
            <w:proofErr w:type="spellStart"/>
            <w:r>
              <w:rPr>
                <w:b/>
              </w:rPr>
              <w:t>i</w:t>
            </w:r>
            <w:proofErr w:type="spellEnd"/>
            <w:r>
              <w:rPr>
                <w:b/>
              </w:rPr>
              <w:t>) Security Training</w:t>
            </w:r>
          </w:p>
          <w:p w14:paraId="186F824A" w14:textId="77777777" w:rsidR="003F1C8B" w:rsidRDefault="003F1C8B" w:rsidP="00774A44">
            <w:pPr>
              <w:widowControl w:val="0"/>
              <w:spacing w:line="276" w:lineRule="auto"/>
              <w:rPr>
                <w:b/>
              </w:rPr>
            </w:pPr>
          </w:p>
          <w:p w14:paraId="08E62136" w14:textId="77777777" w:rsidR="003F1C8B" w:rsidRDefault="003F1C8B" w:rsidP="00774A44">
            <w:pPr>
              <w:widowControl w:val="0"/>
              <w:spacing w:line="276" w:lineRule="auto"/>
            </w:pPr>
            <w:proofErr w:type="spellStart"/>
            <w:r>
              <w:t>i</w:t>
            </w:r>
            <w:proofErr w:type="spellEnd"/>
            <w:r>
              <w:t>. All personnel participating in the Root Zone Signing process shall have adequate IT security training.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F94BD4D" w14:textId="77777777" w:rsidR="003F1C8B" w:rsidRDefault="003F1C8B" w:rsidP="00774A44">
            <w:pPr>
              <w:widowControl w:val="0"/>
              <w:spacing w:line="276" w:lineRule="auto"/>
            </w:pPr>
            <w:r>
              <w:t>The review team notes that the term “adequate” is not defined and suggests that a subsequent section refer to what is deemed “adequate.”</w:t>
            </w:r>
          </w:p>
        </w:tc>
      </w:tr>
      <w:tr w:rsidR="003F1C8B" w14:paraId="39D42D28"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ABCF77" w14:textId="77777777" w:rsidR="003F1C8B" w:rsidRDefault="003F1C8B" w:rsidP="00774A44">
            <w:pPr>
              <w:widowControl w:val="0"/>
              <w:spacing w:line="276" w:lineRule="auto"/>
              <w:rPr>
                <w:b/>
              </w:rPr>
            </w:pPr>
            <w:r>
              <w:rPr>
                <w:b/>
              </w:rPr>
              <w:t>Annex A, 4 (e) (ii) Security Training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42C6DF" w14:textId="77777777" w:rsidR="003F1C8B" w:rsidRDefault="003F1C8B" w:rsidP="00774A44">
            <w:pPr>
              <w:widowControl w:val="0"/>
              <w:spacing w:line="276" w:lineRule="auto"/>
            </w:pPr>
            <w:r>
              <w:t>No findings</w:t>
            </w:r>
          </w:p>
        </w:tc>
      </w:tr>
      <w:tr w:rsidR="003F1C8B" w14:paraId="6C945E3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BD530B3" w14:textId="77777777" w:rsidR="003F1C8B" w:rsidRDefault="003F1C8B" w:rsidP="00774A44">
            <w:pPr>
              <w:widowControl w:val="0"/>
              <w:spacing w:line="276" w:lineRule="auto"/>
              <w:rPr>
                <w:b/>
              </w:rPr>
            </w:pPr>
            <w:r>
              <w:rPr>
                <w:b/>
              </w:rPr>
              <w:t>Annex A, 4 (f) (</w:t>
            </w:r>
            <w:proofErr w:type="spellStart"/>
            <w:r>
              <w:rPr>
                <w:b/>
              </w:rPr>
              <w:t>i</w:t>
            </w:r>
            <w:proofErr w:type="spellEnd"/>
            <w:r>
              <w:rPr>
                <w:b/>
              </w:rPr>
              <w:t>) (1-2) Audit and Accountability Procedures</w:t>
            </w:r>
          </w:p>
          <w:p w14:paraId="5CB9FC59" w14:textId="77777777" w:rsidR="003F1C8B" w:rsidRDefault="003F1C8B" w:rsidP="00774A44">
            <w:pPr>
              <w:widowControl w:val="0"/>
              <w:spacing w:line="276" w:lineRule="auto"/>
            </w:pPr>
          </w:p>
          <w:p w14:paraId="6612BA72" w14:textId="77777777" w:rsidR="003F1C8B" w:rsidRDefault="003F1C8B" w:rsidP="00774A44">
            <w:pPr>
              <w:widowControl w:val="0"/>
              <w:spacing w:line="276" w:lineRule="auto"/>
            </w:pPr>
            <w:r>
              <w:t>f. Audit and Accountability Procedures</w:t>
            </w:r>
          </w:p>
          <w:p w14:paraId="778798A1" w14:textId="77777777" w:rsidR="003F1C8B" w:rsidRDefault="003F1C8B" w:rsidP="00774A44">
            <w:pPr>
              <w:widowControl w:val="0"/>
              <w:spacing w:line="276" w:lineRule="auto"/>
            </w:pPr>
          </w:p>
          <w:p w14:paraId="27F743F0" w14:textId="77777777" w:rsidR="003F1C8B" w:rsidRDefault="003F1C8B" w:rsidP="00774A44">
            <w:pPr>
              <w:widowControl w:val="0"/>
              <w:spacing w:line="276" w:lineRule="auto"/>
            </w:pPr>
            <w:proofErr w:type="spellStart"/>
            <w:r>
              <w:t>i</w:t>
            </w:r>
            <w:proofErr w:type="spellEnd"/>
            <w:r>
              <w:t>. 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53F613CC" w14:textId="77777777" w:rsidR="003F1C8B" w:rsidRDefault="003F1C8B" w:rsidP="00774A44">
            <w:pPr>
              <w:widowControl w:val="0"/>
              <w:spacing w:line="276" w:lineRule="auto"/>
            </w:pPr>
          </w:p>
          <w:p w14:paraId="22624923" w14:textId="77777777" w:rsidR="003F1C8B" w:rsidRDefault="003F1C8B" w:rsidP="00774A44">
            <w:pPr>
              <w:widowControl w:val="0"/>
              <w:spacing w:line="276" w:lineRule="auto"/>
            </w:pPr>
            <w:r>
              <w:t>1. Supplemental guidance on auditing and accountability policies may be found in NIST SP 800-12.</w:t>
            </w:r>
          </w:p>
          <w:p w14:paraId="2F9C76E4" w14:textId="77777777" w:rsidR="003F1C8B" w:rsidRDefault="003F1C8B" w:rsidP="00774A44">
            <w:pPr>
              <w:widowControl w:val="0"/>
              <w:spacing w:line="276" w:lineRule="auto"/>
            </w:pPr>
          </w:p>
          <w:p w14:paraId="2089E4FE" w14:textId="77777777" w:rsidR="003F1C8B" w:rsidRDefault="003F1C8B" w:rsidP="00774A44">
            <w:pPr>
              <w:widowControl w:val="0"/>
              <w:spacing w:line="276" w:lineRule="auto"/>
            </w:pPr>
            <w:r>
              <w:t>2. Specific auditing events include the following:</w:t>
            </w:r>
          </w:p>
          <w:p w14:paraId="6522A7C8" w14:textId="77777777" w:rsidR="003F1C8B" w:rsidRDefault="003F1C8B" w:rsidP="00774A44">
            <w:pPr>
              <w:widowControl w:val="0"/>
              <w:spacing w:line="276" w:lineRule="auto"/>
            </w:pPr>
            <w:r>
              <w:lastRenderedPageBreak/>
              <w:t>a. Generation of keys.</w:t>
            </w:r>
          </w:p>
          <w:p w14:paraId="7D8B96BE" w14:textId="77777777" w:rsidR="003F1C8B" w:rsidRDefault="003F1C8B" w:rsidP="00774A44">
            <w:pPr>
              <w:widowControl w:val="0"/>
              <w:spacing w:line="276" w:lineRule="auto"/>
            </w:pPr>
            <w:r>
              <w:t>b. Generation of signatures</w:t>
            </w:r>
          </w:p>
          <w:p w14:paraId="6F22F739" w14:textId="77777777" w:rsidR="003F1C8B" w:rsidRDefault="003F1C8B" w:rsidP="00774A44">
            <w:pPr>
              <w:widowControl w:val="0"/>
              <w:spacing w:line="276" w:lineRule="auto"/>
            </w:pPr>
            <w:r>
              <w:t>c. Exporting of public key material</w:t>
            </w:r>
          </w:p>
          <w:p w14:paraId="2B733DD2" w14:textId="77777777" w:rsidR="003F1C8B" w:rsidRDefault="003F1C8B" w:rsidP="00774A44">
            <w:pPr>
              <w:widowControl w:val="0"/>
              <w:spacing w:line="276" w:lineRule="auto"/>
            </w:pPr>
            <w:r>
              <w:t>d. Receipt and validation of public key material (i.e., from the ZSK holder or from TLDs)</w:t>
            </w:r>
          </w:p>
          <w:p w14:paraId="7F175B5B" w14:textId="77777777" w:rsidR="003F1C8B" w:rsidRDefault="003F1C8B" w:rsidP="00774A44">
            <w:pPr>
              <w:widowControl w:val="0"/>
              <w:spacing w:line="276" w:lineRule="auto"/>
            </w:pPr>
            <w:r>
              <w:t>e. System configuration changes</w:t>
            </w:r>
          </w:p>
          <w:p w14:paraId="3E18A97F" w14:textId="77777777" w:rsidR="003F1C8B" w:rsidRDefault="003F1C8B" w:rsidP="00774A44">
            <w:pPr>
              <w:widowControl w:val="0"/>
              <w:spacing w:line="276" w:lineRule="auto"/>
            </w:pPr>
            <w:r>
              <w:t>f. Maintenance and/or system updates</w:t>
            </w:r>
          </w:p>
          <w:p w14:paraId="532B3524" w14:textId="77777777" w:rsidR="003F1C8B" w:rsidRDefault="003F1C8B" w:rsidP="00774A44">
            <w:pPr>
              <w:widowControl w:val="0"/>
              <w:spacing w:line="276" w:lineRule="auto"/>
            </w:pPr>
            <w:r>
              <w:t>g. Incident response handling</w:t>
            </w:r>
          </w:p>
          <w:p w14:paraId="3BA29546" w14:textId="77777777" w:rsidR="003F1C8B" w:rsidRDefault="003F1C8B" w:rsidP="00774A44">
            <w:pPr>
              <w:widowControl w:val="0"/>
              <w:spacing w:line="276" w:lineRule="auto"/>
            </w:pPr>
            <w:r>
              <w:t xml:space="preserve">h. </w:t>
            </w:r>
            <w:proofErr w:type="gramStart"/>
            <w:r>
              <w:t>Other</w:t>
            </w:r>
            <w:proofErr w:type="gramEnd"/>
            <w:r>
              <w:t xml:space="preserve"> events as appropriate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745672F" w14:textId="77777777" w:rsidR="003F1C8B" w:rsidRDefault="003F1C8B" w:rsidP="00774A44">
            <w:pPr>
              <w:widowControl w:val="0"/>
              <w:spacing w:line="276" w:lineRule="auto"/>
            </w:pPr>
            <w:r>
              <w:lastRenderedPageBreak/>
              <w:t xml:space="preserve">The NIST document referenced is subject to updates. The review team suggests adding allow for future versions of the NIST document by adding "as may be updated from time to time" or by referencing most current version. </w:t>
            </w:r>
          </w:p>
        </w:tc>
      </w:tr>
      <w:tr w:rsidR="003F1C8B" w14:paraId="0FFE03F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2EF9CFB" w14:textId="77777777" w:rsidR="003F1C8B" w:rsidRDefault="003F1C8B" w:rsidP="00774A44">
            <w:pPr>
              <w:widowControl w:val="0"/>
              <w:spacing w:line="276" w:lineRule="auto"/>
              <w:rPr>
                <w:b/>
              </w:rPr>
            </w:pPr>
            <w:r>
              <w:rPr>
                <w:b/>
              </w:rPr>
              <w:t>Annex A, 4 (f) (ii) Audit and Accountability Procedures</w:t>
            </w:r>
          </w:p>
          <w:p w14:paraId="0D660ECC" w14:textId="77777777" w:rsidR="003F1C8B" w:rsidRDefault="003F1C8B" w:rsidP="00774A44">
            <w:pPr>
              <w:widowControl w:val="0"/>
              <w:spacing w:line="276" w:lineRule="auto"/>
              <w:rPr>
                <w:b/>
              </w:rPr>
            </w:pPr>
          </w:p>
          <w:p w14:paraId="1F5251C6" w14:textId="77777777" w:rsidR="003F1C8B" w:rsidRDefault="003F1C8B" w:rsidP="00774A44">
            <w:pPr>
              <w:widowControl w:val="0"/>
              <w:spacing w:line="276" w:lineRule="auto"/>
              <w:rPr>
                <w:b/>
              </w:rPr>
            </w:pPr>
            <w:r>
              <w:t xml:space="preserve">ii. Incident handling for physical and exceptional </w:t>
            </w:r>
            <w:r>
              <w:rPr>
                <w:shd w:val="clear" w:color="auto" w:fill="FFF2CC"/>
              </w:rPr>
              <w:t>cyber-attacks</w:t>
            </w:r>
            <w:r>
              <w:t xml:space="preserve"> shall include reporting to ICANN in a timeframe and format as mutually agreed by ICANN and Contractor</w:t>
            </w:r>
            <w:r>
              <w:rPr>
                <w:b/>
              </w:rPr>
              <w: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417CC1B" w14:textId="77777777" w:rsidR="003F1C8B" w:rsidRDefault="003F1C8B" w:rsidP="00774A44">
            <w:pPr>
              <w:widowControl w:val="0"/>
              <w:spacing w:line="276" w:lineRule="auto"/>
            </w:pPr>
            <w:r>
              <w:t>The review team suggests updating the term “cyber-attacks” to “cyber incidents.”</w:t>
            </w:r>
          </w:p>
        </w:tc>
      </w:tr>
      <w:tr w:rsidR="003F1C8B" w14:paraId="217CAA21"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EEB2AF8" w14:textId="77777777" w:rsidR="003F1C8B" w:rsidRDefault="003F1C8B" w:rsidP="00774A44">
            <w:pPr>
              <w:widowControl w:val="0"/>
              <w:spacing w:line="276" w:lineRule="auto"/>
              <w:rPr>
                <w:b/>
              </w:rPr>
            </w:pPr>
            <w:r>
              <w:rPr>
                <w:b/>
              </w:rPr>
              <w:t>Annex A, 4 (f) (iii) Audit and Accountability Procedures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EDC38D2" w14:textId="77777777" w:rsidR="003F1C8B" w:rsidRDefault="003F1C8B" w:rsidP="00774A44">
            <w:pPr>
              <w:widowControl w:val="0"/>
              <w:spacing w:line="276" w:lineRule="auto"/>
            </w:pPr>
            <w:r>
              <w:t>No findings</w:t>
            </w:r>
          </w:p>
        </w:tc>
      </w:tr>
      <w:tr w:rsidR="003F1C8B" w14:paraId="6E23B18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69785A9" w14:textId="77777777" w:rsidR="003F1C8B" w:rsidRDefault="003F1C8B" w:rsidP="00774A44">
            <w:pPr>
              <w:widowControl w:val="0"/>
              <w:spacing w:line="276" w:lineRule="auto"/>
              <w:rPr>
                <w:b/>
              </w:rPr>
            </w:pPr>
            <w:r>
              <w:rPr>
                <w:b/>
              </w:rPr>
              <w:t>Annex A, 4 (f) (iv) Audit and Accountability Procedures</w:t>
            </w:r>
          </w:p>
          <w:p w14:paraId="3DEF7DC9" w14:textId="77777777" w:rsidR="003F1C8B" w:rsidRDefault="003F1C8B" w:rsidP="00774A44">
            <w:pPr>
              <w:widowControl w:val="0"/>
              <w:spacing w:line="276" w:lineRule="auto"/>
              <w:rPr>
                <w:b/>
              </w:rPr>
            </w:pPr>
          </w:p>
          <w:p w14:paraId="27B9563F" w14:textId="77777777" w:rsidR="003F1C8B" w:rsidRDefault="003F1C8B" w:rsidP="00774A44">
            <w:pPr>
              <w:widowControl w:val="0"/>
              <w:spacing w:line="276" w:lineRule="auto"/>
            </w:pPr>
            <w:r>
              <w:t xml:space="preserve">iv. A </w:t>
            </w:r>
            <w:r>
              <w:rPr>
                <w:shd w:val="clear" w:color="auto" w:fill="FFF2CC"/>
              </w:rPr>
              <w:t>version</w:t>
            </w:r>
            <w:r>
              <w:t xml:space="preserve"> of the reports provided to </w:t>
            </w:r>
            <w:proofErr w:type="gramStart"/>
            <w:r>
              <w:t>ICANN</w:t>
            </w:r>
            <w:proofErr w:type="gramEnd"/>
            <w:r>
              <w:t xml:space="preserve"> or the CSC must be made </w:t>
            </w:r>
            <w:proofErr w:type="spellStart"/>
            <w:r>
              <w:t>publically</w:t>
            </w:r>
            <w:proofErr w:type="spellEnd"/>
            <w:r>
              <w:t xml:space="preserve"> available.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C2E7AA5" w14:textId="77777777" w:rsidR="003F1C8B" w:rsidRDefault="003F1C8B" w:rsidP="00774A44">
            <w:pPr>
              <w:widowControl w:val="0"/>
              <w:spacing w:line="276" w:lineRule="auto"/>
            </w:pPr>
            <w:r>
              <w:t>The review team suggests specifying what is meant by “a version.”</w:t>
            </w:r>
          </w:p>
        </w:tc>
      </w:tr>
      <w:tr w:rsidR="003F1C8B" w14:paraId="51797B0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A5F7577" w14:textId="77777777" w:rsidR="003F1C8B" w:rsidRDefault="003F1C8B" w:rsidP="00774A44">
            <w:pPr>
              <w:widowControl w:val="0"/>
              <w:spacing w:line="276" w:lineRule="auto"/>
              <w:rPr>
                <w:b/>
              </w:rPr>
            </w:pPr>
            <w:r>
              <w:rPr>
                <w:b/>
              </w:rPr>
              <w:t>Annex A, 4 (g) (</w:t>
            </w:r>
            <w:proofErr w:type="spellStart"/>
            <w:r>
              <w:rPr>
                <w:b/>
              </w:rPr>
              <w:t>i</w:t>
            </w:r>
            <w:proofErr w:type="spellEnd"/>
            <w:r>
              <w:rPr>
                <w:b/>
              </w:rPr>
              <w:t>) (1-2) Physical Protection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2A512F" w14:textId="77777777" w:rsidR="003F1C8B" w:rsidRDefault="003F1C8B" w:rsidP="00774A44">
            <w:pPr>
              <w:widowControl w:val="0"/>
              <w:spacing w:line="276" w:lineRule="auto"/>
            </w:pPr>
            <w:r>
              <w:t>No findings</w:t>
            </w:r>
          </w:p>
        </w:tc>
      </w:tr>
      <w:tr w:rsidR="003F1C8B" w14:paraId="4410A47D"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C7268AE" w14:textId="77777777" w:rsidR="003F1C8B" w:rsidRDefault="003F1C8B" w:rsidP="00774A44">
            <w:pPr>
              <w:widowControl w:val="0"/>
              <w:spacing w:line="276" w:lineRule="auto"/>
              <w:rPr>
                <w:b/>
              </w:rPr>
            </w:pPr>
            <w:r>
              <w:rPr>
                <w:b/>
              </w:rPr>
              <w:t>Annex A, 4 (g) (ii) Physical Protection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C26B594" w14:textId="77777777" w:rsidR="003F1C8B" w:rsidRDefault="003F1C8B" w:rsidP="00774A44">
            <w:pPr>
              <w:widowControl w:val="0"/>
              <w:spacing w:line="276" w:lineRule="auto"/>
            </w:pPr>
            <w:r>
              <w:t>No findings</w:t>
            </w:r>
          </w:p>
        </w:tc>
      </w:tr>
      <w:tr w:rsidR="003F1C8B" w14:paraId="1807879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D833251" w14:textId="77777777" w:rsidR="003F1C8B" w:rsidRDefault="003F1C8B" w:rsidP="00774A44">
            <w:pPr>
              <w:widowControl w:val="0"/>
              <w:spacing w:line="276" w:lineRule="auto"/>
              <w:rPr>
                <w:b/>
              </w:rPr>
            </w:pPr>
            <w:r>
              <w:rPr>
                <w:b/>
              </w:rPr>
              <w:t>Annex A, 4 (g) (iii) Physical Protection Requirements</w:t>
            </w:r>
          </w:p>
          <w:p w14:paraId="3D2E1E46" w14:textId="77777777" w:rsidR="003F1C8B" w:rsidRDefault="003F1C8B" w:rsidP="00774A44">
            <w:pPr>
              <w:widowControl w:val="0"/>
              <w:spacing w:line="276" w:lineRule="auto"/>
              <w:rPr>
                <w:b/>
              </w:rPr>
            </w:pPr>
          </w:p>
          <w:p w14:paraId="2D4C3CE5" w14:textId="77777777" w:rsidR="003F1C8B" w:rsidRDefault="003F1C8B" w:rsidP="00774A44">
            <w:pPr>
              <w:widowControl w:val="0"/>
              <w:spacing w:line="276" w:lineRule="auto"/>
            </w:pPr>
            <w:r>
              <w:t>iii. All hardware components used to store keying material or generate signatures shall have short-term backup emergency power connections in case of site power outage. (See NIST SP 800-53r3).</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0C8F262" w14:textId="77777777" w:rsidR="003F1C8B" w:rsidRDefault="003F1C8B"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3F1C8B" w14:paraId="504B1E7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3E9C4EE" w14:textId="77777777" w:rsidR="003F1C8B" w:rsidRDefault="003F1C8B" w:rsidP="00774A44">
            <w:pPr>
              <w:widowControl w:val="0"/>
              <w:spacing w:line="276" w:lineRule="auto"/>
              <w:rPr>
                <w:b/>
              </w:rPr>
            </w:pPr>
            <w:r>
              <w:rPr>
                <w:b/>
              </w:rPr>
              <w:t>Annex A, 4 (g) (iv) Physical Protection Requirements</w:t>
            </w:r>
          </w:p>
          <w:p w14:paraId="6A34E22F" w14:textId="77777777" w:rsidR="003F1C8B" w:rsidRDefault="003F1C8B" w:rsidP="00774A44">
            <w:pPr>
              <w:widowControl w:val="0"/>
              <w:spacing w:line="276" w:lineRule="auto"/>
              <w:rPr>
                <w:b/>
              </w:rPr>
            </w:pPr>
          </w:p>
          <w:p w14:paraId="09D60B5B" w14:textId="77777777" w:rsidR="003F1C8B" w:rsidRDefault="003F1C8B" w:rsidP="00774A44">
            <w:pPr>
              <w:widowControl w:val="0"/>
              <w:spacing w:line="276" w:lineRule="auto"/>
            </w:pPr>
            <w:r>
              <w:t xml:space="preserve">iv. </w:t>
            </w:r>
            <w:r>
              <w:rPr>
                <w:shd w:val="clear" w:color="auto" w:fill="FFF2CC"/>
              </w:rPr>
              <w:t>Appropriate</w:t>
            </w:r>
            <w:r>
              <w:t xml:space="preserve"> protection measures shall be in place to prevent physical damage to facilities as </w:t>
            </w:r>
            <w:r>
              <w:rPr>
                <w:shd w:val="clear" w:color="auto" w:fill="FFF2CC"/>
              </w:rPr>
              <w:lastRenderedPageBreak/>
              <w:t>appropriate</w:t>
            </w:r>
            <w:r>
              <w: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37E5335" w14:textId="77777777" w:rsidR="003F1C8B" w:rsidRDefault="003F1C8B" w:rsidP="00774A44">
            <w:pPr>
              <w:widowControl w:val="0"/>
              <w:spacing w:line="276" w:lineRule="auto"/>
            </w:pPr>
            <w:r>
              <w:lastRenderedPageBreak/>
              <w:t>Duplicate use of the word “appropriate” could be corrected. Further, the term would benefit from clarification.</w:t>
            </w:r>
          </w:p>
        </w:tc>
      </w:tr>
      <w:tr w:rsidR="003F1C8B" w14:paraId="382289A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CDC07E7" w14:textId="77777777" w:rsidR="003F1C8B" w:rsidRDefault="003F1C8B" w:rsidP="00774A44">
            <w:pPr>
              <w:widowControl w:val="0"/>
              <w:spacing w:line="276" w:lineRule="auto"/>
              <w:rPr>
                <w:b/>
              </w:rPr>
            </w:pPr>
            <w:sdt>
              <w:sdtPr>
                <w:tag w:val="goog_rdk_14"/>
                <w:id w:val="1681861015"/>
              </w:sdtPr>
              <w:sdtContent/>
            </w:sdt>
            <w:r>
              <w:rPr>
                <w:b/>
              </w:rPr>
              <w:t>Annex A, 4 (h) (</w:t>
            </w:r>
            <w:proofErr w:type="spellStart"/>
            <w:r>
              <w:rPr>
                <w:b/>
              </w:rPr>
              <w:t>i</w:t>
            </w:r>
            <w:proofErr w:type="spellEnd"/>
            <w:r>
              <w:rPr>
                <w:b/>
              </w:rPr>
              <w:t>) (1) All Components</w:t>
            </w:r>
          </w:p>
          <w:p w14:paraId="502818DC" w14:textId="77777777" w:rsidR="003F1C8B" w:rsidRDefault="003F1C8B" w:rsidP="00774A44">
            <w:pPr>
              <w:widowControl w:val="0"/>
              <w:spacing w:line="276" w:lineRule="auto"/>
              <w:rPr>
                <w:b/>
              </w:rPr>
            </w:pPr>
          </w:p>
          <w:p w14:paraId="2D4E9800" w14:textId="77777777" w:rsidR="003F1C8B" w:rsidRDefault="003F1C8B" w:rsidP="00774A44">
            <w:pPr>
              <w:widowControl w:val="0"/>
              <w:spacing w:line="276" w:lineRule="auto"/>
            </w:pPr>
            <w:proofErr w:type="spellStart"/>
            <w:r>
              <w:rPr>
                <w:b/>
              </w:rPr>
              <w:t>i</w:t>
            </w:r>
            <w:proofErr w:type="spellEnd"/>
            <w:r>
              <w:t>. All hardware and software components must have an established maintenance and update procedure in place.</w:t>
            </w:r>
          </w:p>
          <w:p w14:paraId="3B29F6F1" w14:textId="77777777" w:rsidR="003F1C8B" w:rsidRDefault="003F1C8B" w:rsidP="00774A44">
            <w:pPr>
              <w:widowControl w:val="0"/>
              <w:spacing w:line="276" w:lineRule="auto"/>
            </w:pPr>
          </w:p>
          <w:p w14:paraId="53F34534" w14:textId="77777777" w:rsidR="003F1C8B" w:rsidRDefault="003F1C8B" w:rsidP="00774A44">
            <w:pPr>
              <w:widowControl w:val="0"/>
              <w:spacing w:line="276" w:lineRule="auto"/>
              <w:rPr>
                <w:b/>
              </w:rPr>
            </w:pPr>
            <w:r>
              <w:t>1. Supplemental guidance on establishing an upgrading policy for an organization may be found in NIST SP 800-40</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6B2CAEF" w14:textId="47ABFCC2" w:rsidR="003F1C8B" w:rsidRDefault="003F1C8B"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r w:rsidRPr="003F1C8B">
              <w:rPr>
                <w:color w:val="FF0000"/>
              </w:rPr>
              <w:t>Is there a clear proposal we want to make?</w:t>
            </w:r>
          </w:p>
          <w:p w14:paraId="04201403" w14:textId="77777777" w:rsidR="003F1C8B" w:rsidRDefault="003F1C8B" w:rsidP="00774A44">
            <w:pPr>
              <w:widowControl w:val="0"/>
              <w:spacing w:line="276" w:lineRule="auto"/>
            </w:pPr>
          </w:p>
          <w:p w14:paraId="5DAC5AC1" w14:textId="77777777" w:rsidR="003F1C8B" w:rsidRDefault="003F1C8B" w:rsidP="00774A44">
            <w:pPr>
              <w:widowControl w:val="0"/>
              <w:spacing w:line="276" w:lineRule="auto"/>
            </w:pPr>
            <w:r>
              <w:t>The review team also notes that the scope of the requirement is not clear.</w:t>
            </w:r>
          </w:p>
        </w:tc>
      </w:tr>
      <w:tr w:rsidR="003F1C8B" w14:paraId="5F79DFD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06FECB" w14:textId="77777777" w:rsidR="003F1C8B" w:rsidRDefault="003F1C8B" w:rsidP="00774A44">
            <w:pPr>
              <w:widowControl w:val="0"/>
              <w:spacing w:line="276" w:lineRule="auto"/>
              <w:rPr>
                <w:b/>
              </w:rPr>
            </w:pPr>
            <w:sdt>
              <w:sdtPr>
                <w:tag w:val="goog_rdk_15"/>
                <w:id w:val="-445769698"/>
              </w:sdtPr>
              <w:sdtContent/>
            </w:sdt>
            <w:r>
              <w:rPr>
                <w:b/>
              </w:rPr>
              <w:t>Annex A, 4 (h) (ii) (1) All Components</w:t>
            </w:r>
          </w:p>
          <w:p w14:paraId="47697DA6" w14:textId="77777777" w:rsidR="003F1C8B" w:rsidRDefault="003F1C8B" w:rsidP="00774A44">
            <w:pPr>
              <w:widowControl w:val="0"/>
              <w:spacing w:line="276" w:lineRule="auto"/>
              <w:rPr>
                <w:b/>
              </w:rPr>
            </w:pPr>
          </w:p>
          <w:p w14:paraId="35062338" w14:textId="77777777" w:rsidR="003F1C8B" w:rsidRDefault="003F1C8B" w:rsidP="00774A44">
            <w:pPr>
              <w:widowControl w:val="0"/>
              <w:spacing w:line="276" w:lineRule="auto"/>
            </w:pPr>
            <w:r>
              <w:t>ii. All hardware and software components provide a means to detect and protect against unauthorized modifications/updates/patching.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781F3FC" w14:textId="1551F24F" w:rsidR="003F1C8B" w:rsidRDefault="003F1C8B" w:rsidP="00774A44">
            <w:pPr>
              <w:widowControl w:val="0"/>
              <w:spacing w:line="276" w:lineRule="auto"/>
            </w:pPr>
            <w:r>
              <w:t>The review team finds that the scope of this requirement is not clear.</w:t>
            </w:r>
            <w:r>
              <w:t xml:space="preserve"> </w:t>
            </w:r>
            <w:r w:rsidRPr="003F1C8B">
              <w:rPr>
                <w:color w:val="FF0000"/>
              </w:rPr>
              <w:t>Is there a clear proposal we want to make?</w:t>
            </w:r>
          </w:p>
        </w:tc>
      </w:tr>
      <w:tr w:rsidR="003F1C8B" w14:paraId="67AF2D0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18C2386" w14:textId="77777777" w:rsidR="003F1C8B" w:rsidRDefault="003F1C8B" w:rsidP="00774A44">
            <w:pPr>
              <w:widowControl w:val="0"/>
              <w:spacing w:line="276" w:lineRule="auto"/>
              <w:rPr>
                <w:b/>
              </w:rPr>
            </w:pPr>
            <w:r>
              <w:rPr>
                <w:b/>
              </w:rPr>
              <w:t>Annex A, 4 (</w:t>
            </w:r>
            <w:proofErr w:type="spellStart"/>
            <w:r>
              <w:rPr>
                <w:b/>
              </w:rPr>
              <w:t>i</w:t>
            </w:r>
            <w:proofErr w:type="spellEnd"/>
            <w:r>
              <w:rPr>
                <w:b/>
              </w:rPr>
              <w:t>) (1) Interface Basic Functionality</w:t>
            </w:r>
          </w:p>
          <w:p w14:paraId="583BBA46" w14:textId="77777777" w:rsidR="003F1C8B" w:rsidRDefault="003F1C8B" w:rsidP="00774A44">
            <w:pPr>
              <w:widowControl w:val="0"/>
              <w:spacing w:line="276" w:lineRule="auto"/>
              <w:rPr>
                <w:b/>
              </w:rPr>
            </w:pPr>
          </w:p>
          <w:p w14:paraId="0665ED2B" w14:textId="77777777" w:rsidR="003F1C8B" w:rsidRDefault="003F1C8B" w:rsidP="00774A44">
            <w:pPr>
              <w:widowControl w:val="0"/>
              <w:spacing w:line="276" w:lineRule="auto"/>
            </w:pPr>
            <w:r>
              <w:t>2. Having procedures for:</w:t>
            </w:r>
          </w:p>
          <w:p w14:paraId="0F484704" w14:textId="77777777" w:rsidR="003F1C8B" w:rsidRDefault="003F1C8B" w:rsidP="00774A44">
            <w:pPr>
              <w:widowControl w:val="0"/>
              <w:spacing w:line="276" w:lineRule="auto"/>
            </w:pPr>
            <w:r>
              <w:t xml:space="preserve">a. Scheduled roll over for TLD key </w:t>
            </w:r>
            <w:proofErr w:type="gramStart"/>
            <w:r>
              <w:t>material;</w:t>
            </w:r>
            <w:proofErr w:type="gramEnd"/>
          </w:p>
          <w:p w14:paraId="62D9275D" w14:textId="77777777" w:rsidR="003F1C8B" w:rsidRDefault="003F1C8B" w:rsidP="00774A44">
            <w:pPr>
              <w:widowControl w:val="0"/>
              <w:spacing w:line="276" w:lineRule="auto"/>
            </w:pPr>
            <w:r>
              <w:t>b. Supporting emergency key roll over for TLD key material; and</w:t>
            </w:r>
          </w:p>
          <w:p w14:paraId="3FC7FC7E" w14:textId="77777777" w:rsidR="003F1C8B" w:rsidRDefault="003F1C8B" w:rsidP="00774A44">
            <w:pPr>
              <w:widowControl w:val="0"/>
              <w:spacing w:line="276" w:lineRule="auto"/>
            </w:pPr>
            <w:r>
              <w:t>c. Moving TLD from signed to unsigned in the root zone.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E32A560" w14:textId="77777777" w:rsidR="003F1C8B" w:rsidRDefault="003F1C8B" w:rsidP="00774A44">
            <w:pPr>
              <w:widowControl w:val="0"/>
              <w:spacing w:line="276" w:lineRule="auto"/>
            </w:pPr>
            <w:r>
              <w:t xml:space="preserve">The review team finds that these requirements relate broadly to DNSSEC policy. </w:t>
            </w:r>
            <w:sdt>
              <w:sdtPr>
                <w:tag w:val="goog_rdk_16"/>
                <w:id w:val="-2039884409"/>
              </w:sdtPr>
              <w:sdtContent/>
            </w:sdt>
            <w:r>
              <w:t>Refer to Recommendations 1-2.</w:t>
            </w:r>
          </w:p>
          <w:p w14:paraId="762E4237" w14:textId="5C4FE3D1" w:rsidR="003F1C8B" w:rsidRDefault="003F1C8B" w:rsidP="00774A44">
            <w:pPr>
              <w:widowControl w:val="0"/>
              <w:spacing w:line="276" w:lineRule="auto"/>
            </w:pPr>
            <w:r w:rsidRPr="003F1C8B">
              <w:rPr>
                <w:color w:val="FF0000"/>
              </w:rPr>
              <w:t>Are there other places where we should refer to Recommendations 1-2?</w:t>
            </w:r>
          </w:p>
        </w:tc>
      </w:tr>
      <w:tr w:rsidR="003F1C8B" w14:paraId="57D05E4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65EE804" w14:textId="77777777" w:rsidR="003F1C8B" w:rsidRDefault="003F1C8B" w:rsidP="00774A44">
            <w:pPr>
              <w:widowControl w:val="0"/>
              <w:spacing w:line="276" w:lineRule="auto"/>
              <w:rPr>
                <w:b/>
              </w:rPr>
            </w:pPr>
            <w:r>
              <w:rPr>
                <w:b/>
              </w:rPr>
              <w:t>Annex A, 4 (ii) Interface Basic Functionality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F7BB11" w14:textId="77777777" w:rsidR="003F1C8B" w:rsidRDefault="003F1C8B" w:rsidP="00774A44">
            <w:pPr>
              <w:widowControl w:val="0"/>
              <w:spacing w:line="276" w:lineRule="auto"/>
            </w:pPr>
            <w:r>
              <w:t>No findings</w:t>
            </w:r>
          </w:p>
        </w:tc>
      </w:tr>
      <w:tr w:rsidR="003F1C8B" w14:paraId="2AECDDE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FBEBC16" w14:textId="77777777" w:rsidR="003F1C8B" w:rsidRDefault="003F1C8B" w:rsidP="00774A44">
            <w:pPr>
              <w:widowControl w:val="0"/>
              <w:spacing w:line="276" w:lineRule="auto"/>
              <w:rPr>
                <w:b/>
              </w:rPr>
            </w:pPr>
            <w:r>
              <w:rPr>
                <w:b/>
              </w:rPr>
              <w:t>Annex A, 4 (iii) Interface Basic Functionality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3428B76" w14:textId="77777777" w:rsidR="003F1C8B" w:rsidRDefault="003F1C8B" w:rsidP="00774A44">
            <w:pPr>
              <w:widowControl w:val="0"/>
              <w:spacing w:line="276" w:lineRule="auto"/>
            </w:pPr>
            <w:r>
              <w:t>No findings</w:t>
            </w:r>
          </w:p>
        </w:tc>
      </w:tr>
    </w:tbl>
    <w:p w14:paraId="743082FF" w14:textId="77777777" w:rsidR="003F1C8B" w:rsidRPr="003F1C8B" w:rsidRDefault="003F1C8B" w:rsidP="003F1C8B">
      <w:pPr>
        <w:pStyle w:val="Heading2"/>
        <w:numPr>
          <w:ilvl w:val="0"/>
          <w:numId w:val="0"/>
        </w:numPr>
      </w:pPr>
      <w:bookmarkStart w:id="75" w:name="_heading=h.46dnl0w17gd9" w:colFirst="0" w:colLast="0"/>
      <w:bookmarkEnd w:id="75"/>
    </w:p>
    <w:p w14:paraId="041E714B" w14:textId="77777777" w:rsidR="003F1C8B" w:rsidRPr="003F1C8B" w:rsidRDefault="003F1C8B" w:rsidP="003F1C8B">
      <w:pPr>
        <w:pStyle w:val="Heading2"/>
      </w:pPr>
      <w:bookmarkStart w:id="76" w:name="_heading=h.ib82z6juvoiu" w:colFirst="0" w:colLast="0"/>
      <w:bookmarkEnd w:id="76"/>
      <w:r w:rsidRPr="003F1C8B">
        <w:br w:type="page"/>
      </w:r>
    </w:p>
    <w:p w14:paraId="1EECF914" w14:textId="77777777" w:rsidR="003F1C8B" w:rsidRPr="003F1C8B" w:rsidRDefault="003F1C8B" w:rsidP="003F1C8B">
      <w:pPr>
        <w:pStyle w:val="Heading2"/>
      </w:pPr>
      <w:bookmarkStart w:id="77" w:name="_heading=h.e2ueu7mbb6kv" w:colFirst="0" w:colLast="0"/>
      <w:bookmarkStart w:id="78" w:name="_Toc191310539"/>
      <w:bookmarkEnd w:id="77"/>
      <w:r w:rsidRPr="003F1C8B">
        <w:lastRenderedPageBreak/>
        <w:t>Appendix C: Fact Sheets</w:t>
      </w:r>
      <w:bookmarkEnd w:id="78"/>
    </w:p>
    <w:p w14:paraId="041C3BE7" w14:textId="7111F3A9" w:rsidR="003F1C8B" w:rsidRPr="003F1C8B" w:rsidRDefault="003F1C8B" w:rsidP="003F1C8B">
      <w:pPr>
        <w:rPr>
          <w:color w:val="FF0000"/>
        </w:rPr>
      </w:pPr>
      <w:r w:rsidRPr="003F1C8B">
        <w:rPr>
          <w:color w:val="FF0000"/>
        </w:rPr>
        <w:t xml:space="preserve">To be </w:t>
      </w:r>
      <w:sdt>
        <w:sdtPr>
          <w:rPr>
            <w:color w:val="FF0000"/>
          </w:rPr>
          <w:tag w:val="goog_rdk_17"/>
          <w:id w:val="-1496101712"/>
        </w:sdtPr>
        <w:sdtContent/>
      </w:sdt>
      <w:r w:rsidRPr="003F1C8B">
        <w:rPr>
          <w:color w:val="FF0000"/>
        </w:rPr>
        <w:t>populated</w:t>
      </w:r>
      <w:r w:rsidRPr="003F1C8B">
        <w:rPr>
          <w:color w:val="FF0000"/>
        </w:rPr>
        <w:t xml:space="preserve"> with the support of Reda</w:t>
      </w:r>
    </w:p>
    <w:p w14:paraId="4A32B2E8" w14:textId="77777777" w:rsidR="003F1C8B" w:rsidRPr="003F1C8B" w:rsidRDefault="003F1C8B" w:rsidP="003F1C8B">
      <w:pPr>
        <w:rPr>
          <w:color w:val="FF0000"/>
        </w:rPr>
      </w:pPr>
    </w:p>
    <w:p w14:paraId="16064BA5" w14:textId="77777777" w:rsidR="003F1C8B" w:rsidRPr="003F1C8B" w:rsidRDefault="003F1C8B" w:rsidP="003F1C8B">
      <w:pPr>
        <w:ind w:left="720" w:hanging="360"/>
        <w:rPr>
          <w:color w:val="FF0000"/>
        </w:rPr>
      </w:pPr>
      <w:r w:rsidRPr="003F1C8B">
        <w:rPr>
          <w:color w:val="FF0000"/>
        </w:rPr>
        <w:t>Fact Sheet from wiki</w:t>
      </w:r>
    </w:p>
    <w:p w14:paraId="0A90B8DC" w14:textId="77777777" w:rsidR="003F1C8B" w:rsidRPr="003F1C8B" w:rsidRDefault="003F1C8B" w:rsidP="003F1C8B">
      <w:pPr>
        <w:ind w:left="720" w:hanging="360"/>
        <w:rPr>
          <w:color w:val="FF0000"/>
        </w:rPr>
      </w:pPr>
      <w:r w:rsidRPr="003F1C8B">
        <w:rPr>
          <w:color w:val="FF0000"/>
        </w:rPr>
        <w:t>Review Status</w:t>
      </w:r>
    </w:p>
    <w:p w14:paraId="6D108113" w14:textId="77777777" w:rsidR="003F1C8B" w:rsidRPr="003F1C8B" w:rsidRDefault="003F1C8B" w:rsidP="003F1C8B">
      <w:pPr>
        <w:ind w:left="720" w:hanging="360"/>
        <w:rPr>
          <w:color w:val="FF0000"/>
        </w:rPr>
      </w:pPr>
      <w:r w:rsidRPr="003F1C8B">
        <w:rPr>
          <w:color w:val="FF0000"/>
        </w:rPr>
        <w:t>Review team members</w:t>
      </w:r>
    </w:p>
    <w:p w14:paraId="2D3495BD" w14:textId="77777777" w:rsidR="003F1C8B" w:rsidRPr="003F1C8B" w:rsidRDefault="003F1C8B" w:rsidP="003F1C8B">
      <w:pPr>
        <w:ind w:left="720" w:hanging="360"/>
        <w:rPr>
          <w:color w:val="FF0000"/>
        </w:rPr>
      </w:pPr>
      <w:r w:rsidRPr="003F1C8B">
        <w:rPr>
          <w:color w:val="FF0000"/>
        </w:rPr>
        <w:t>Participation Rate</w:t>
      </w:r>
    </w:p>
    <w:p w14:paraId="5561336C" w14:textId="77777777" w:rsidR="003F1C8B" w:rsidRPr="003F1C8B" w:rsidRDefault="003F1C8B" w:rsidP="003F1C8B">
      <w:pPr>
        <w:ind w:left="720" w:hanging="360"/>
        <w:rPr>
          <w:color w:val="FF0000"/>
        </w:rPr>
      </w:pPr>
      <w:r w:rsidRPr="003F1C8B">
        <w:rPr>
          <w:color w:val="FF0000"/>
        </w:rPr>
        <w:t>Number of Meetings</w:t>
      </w:r>
    </w:p>
    <w:p w14:paraId="0CFEA62E" w14:textId="77777777" w:rsidR="003F1C8B" w:rsidRPr="003F1C8B" w:rsidRDefault="003F1C8B" w:rsidP="003F1C8B">
      <w:pPr>
        <w:ind w:left="720" w:hanging="360"/>
        <w:rPr>
          <w:color w:val="FF0000"/>
        </w:rPr>
      </w:pPr>
      <w:r w:rsidRPr="003F1C8B">
        <w:rPr>
          <w:color w:val="FF0000"/>
        </w:rPr>
        <w:t>Number of Volunteer Hours</w:t>
      </w:r>
    </w:p>
    <w:p w14:paraId="2039F46D" w14:textId="77777777" w:rsidR="003F1C8B" w:rsidRPr="003F1C8B" w:rsidRDefault="003F1C8B" w:rsidP="003F1C8B">
      <w:pPr>
        <w:ind w:left="720" w:hanging="360"/>
        <w:rPr>
          <w:color w:val="FF0000"/>
        </w:rPr>
      </w:pPr>
      <w:r w:rsidRPr="003F1C8B">
        <w:rPr>
          <w:color w:val="FF0000"/>
        </w:rPr>
        <w:t>Participation per Team Member</w:t>
      </w:r>
    </w:p>
    <w:p w14:paraId="6A62B889" w14:textId="77777777" w:rsidR="003F1C8B" w:rsidRPr="003F1C8B" w:rsidRDefault="003F1C8B" w:rsidP="003F1C8B">
      <w:pPr>
        <w:ind w:left="720" w:hanging="360"/>
        <w:rPr>
          <w:color w:val="FF0000"/>
        </w:rPr>
      </w:pPr>
      <w:r w:rsidRPr="003F1C8B">
        <w:rPr>
          <w:color w:val="FF0000"/>
        </w:rPr>
        <w:t>Participation per SO/AC</w:t>
      </w:r>
    </w:p>
    <w:p w14:paraId="684E4FC9" w14:textId="77777777" w:rsidR="003F1C8B" w:rsidRPr="003F1C8B" w:rsidRDefault="003F1C8B" w:rsidP="003F1C8B">
      <w:pPr>
        <w:ind w:left="720" w:hanging="360"/>
        <w:rPr>
          <w:color w:val="FF0000"/>
        </w:rPr>
      </w:pPr>
      <w:r w:rsidRPr="003F1C8B">
        <w:rPr>
          <w:color w:val="FF0000"/>
        </w:rPr>
        <w:t>Financial Resources</w:t>
      </w:r>
    </w:p>
    <w:p w14:paraId="1F57C111" w14:textId="77777777" w:rsidR="003F1C8B" w:rsidRDefault="003F1C8B" w:rsidP="003F1C8B"/>
    <w:p w14:paraId="04966400" w14:textId="77777777" w:rsidR="003F1C8B" w:rsidRPr="003F1C8B" w:rsidRDefault="003F1C8B" w:rsidP="003F1C8B">
      <w:pPr>
        <w:pStyle w:val="Heading2"/>
      </w:pPr>
      <w:bookmarkStart w:id="79" w:name="_heading=h.nvqsq5w4oggl" w:colFirst="0" w:colLast="0"/>
      <w:bookmarkEnd w:id="79"/>
      <w:r w:rsidRPr="003F1C8B">
        <w:br w:type="page"/>
      </w:r>
    </w:p>
    <w:p w14:paraId="1886F7AB" w14:textId="77777777" w:rsidR="003F1C8B" w:rsidRPr="003F1C8B" w:rsidRDefault="003F1C8B" w:rsidP="003F1C8B">
      <w:pPr>
        <w:pStyle w:val="Heading2"/>
      </w:pPr>
      <w:bookmarkStart w:id="80" w:name="_heading=h.h0eq1gbmtx2v" w:colFirst="0" w:colLast="0"/>
      <w:bookmarkStart w:id="81" w:name="_Toc191310540"/>
      <w:bookmarkEnd w:id="80"/>
      <w:r w:rsidRPr="003F1C8B">
        <w:lastRenderedPageBreak/>
        <w:t>Appendix D: Workplan</w:t>
      </w:r>
      <w:bookmarkEnd w:id="81"/>
    </w:p>
    <w:p w14:paraId="0CD82049" w14:textId="77777777" w:rsidR="003F1C8B" w:rsidRDefault="003F1C8B" w:rsidP="003F1C8B"/>
    <w:p w14:paraId="5A5B36BB" w14:textId="77777777" w:rsidR="003F1C8B" w:rsidRPr="003F1C8B" w:rsidRDefault="003F1C8B" w:rsidP="003F1C8B">
      <w:pPr>
        <w:rPr>
          <w:color w:val="FF0000"/>
        </w:rPr>
      </w:pPr>
      <w:r w:rsidRPr="003F1C8B">
        <w:rPr>
          <w:color w:val="FF0000"/>
          <w:sz w:val="24"/>
          <w:szCs w:val="24"/>
        </w:rPr>
        <w:t xml:space="preserve">IANA Naming Function Review Workplan, updated </w:t>
      </w:r>
    </w:p>
    <w:p w14:paraId="784F9632" w14:textId="77777777" w:rsidR="003F1C8B" w:rsidRPr="003F1C8B" w:rsidRDefault="003F1C8B" w:rsidP="003F1C8B">
      <w:pPr>
        <w:pStyle w:val="Heading2"/>
      </w:pPr>
      <w:bookmarkStart w:id="82" w:name="_heading=h.3whwml4" w:colFirst="0" w:colLast="0"/>
      <w:bookmarkEnd w:id="82"/>
      <w:r w:rsidRPr="003F1C8B">
        <w:br w:type="page"/>
      </w:r>
    </w:p>
    <w:p w14:paraId="2041FC72" w14:textId="77777777" w:rsidR="003F1C8B" w:rsidRPr="003F1C8B" w:rsidRDefault="003F1C8B" w:rsidP="003F1C8B">
      <w:pPr>
        <w:pStyle w:val="Heading2"/>
      </w:pPr>
      <w:bookmarkStart w:id="83" w:name="_heading=h.1yko2d59gv90" w:colFirst="0" w:colLast="0"/>
      <w:bookmarkStart w:id="84" w:name="_Toc191310541"/>
      <w:bookmarkEnd w:id="83"/>
      <w:r w:rsidRPr="003F1C8B">
        <w:lastRenderedPageBreak/>
        <w:t>Appendix E: Comments Received on the IFRT2’s Initial Report</w:t>
      </w:r>
      <w:bookmarkEnd w:id="84"/>
    </w:p>
    <w:p w14:paraId="1E7E53B1" w14:textId="77777777" w:rsidR="003F1C8B" w:rsidRDefault="003F1C8B" w:rsidP="003F1C8B"/>
    <w:p w14:paraId="6F5D8291" w14:textId="77777777" w:rsidR="003F1C8B" w:rsidRDefault="003F1C8B" w:rsidP="003F1C8B">
      <w:pPr>
        <w:rPr>
          <w:color w:val="FF0000"/>
        </w:rPr>
      </w:pPr>
      <w:r>
        <w:rPr>
          <w:color w:val="FF0000"/>
        </w:rPr>
        <w:t>To be included in the Final Report</w:t>
      </w:r>
    </w:p>
    <w:p w14:paraId="565BCD56" w14:textId="3D1783CC" w:rsidR="00451618" w:rsidRPr="003F1C8B" w:rsidRDefault="00451618" w:rsidP="003F1C8B">
      <w:pPr>
        <w:pStyle w:val="Heading1"/>
        <w:sectPr w:rsidR="00451618" w:rsidRPr="003F1C8B" w:rsidSect="003F1C8B">
          <w:headerReference w:type="default" r:id="rId54"/>
          <w:footerReference w:type="default" r:id="rId55"/>
          <w:pgSz w:w="12240" w:h="15840" w:code="1"/>
          <w:pgMar w:top="1440" w:right="1440" w:bottom="1440" w:left="1440" w:header="720" w:footer="504" w:gutter="0"/>
          <w:lnNumType w:countBy="1" w:restart="continuous"/>
          <w:cols w:space="720"/>
          <w:docGrid w:linePitch="360"/>
        </w:sectPr>
      </w:pPr>
      <w:bookmarkStart w:id="85" w:name="_heading=h.g8trv3y17jdx" w:colFirst="0" w:colLast="0"/>
      <w:bookmarkEnd w:id="85"/>
    </w:p>
    <w:p w14:paraId="1AE14FB6" w14:textId="77777777" w:rsidR="004003CE" w:rsidRDefault="004003CE" w:rsidP="004003CE"/>
    <w:sectPr w:rsidR="004003CE" w:rsidSect="00510816">
      <w:headerReference w:type="even" r:id="rId56"/>
      <w:headerReference w:type="default" r:id="rId57"/>
      <w:footerReference w:type="default" r:id="rId58"/>
      <w:headerReference w:type="first" r:id="rId59"/>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37C8" w14:textId="77777777" w:rsidR="00705F68" w:rsidRDefault="00705F68" w:rsidP="00464BED">
      <w:r>
        <w:separator/>
      </w:r>
    </w:p>
  </w:endnote>
  <w:endnote w:type="continuationSeparator" w:id="0">
    <w:p w14:paraId="2DEE2432" w14:textId="77777777" w:rsidR="00705F68" w:rsidRDefault="00705F68"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A74314" w14:paraId="3E92FB58" w14:textId="77777777" w:rsidTr="0074398B">
      <w:trPr>
        <w:trHeight w:hRule="exact" w:val="648"/>
      </w:trPr>
      <w:tc>
        <w:tcPr>
          <w:tcW w:w="746" w:type="dxa"/>
        </w:tcPr>
        <w:p w14:paraId="5F57A019" w14:textId="77777777" w:rsidR="00A74314" w:rsidRPr="000B0F4B" w:rsidRDefault="00A74314" w:rsidP="000B0F4B">
          <w:pPr>
            <w:pStyle w:val="FooterICANN3spacing"/>
          </w:pPr>
          <w:r w:rsidRPr="003D162C">
            <w:t>ICANN |</w:t>
          </w:r>
        </w:p>
      </w:tc>
      <w:tc>
        <w:tcPr>
          <w:tcW w:w="8813" w:type="dxa"/>
          <w:tcBorders>
            <w:right w:val="single" w:sz="48" w:space="0" w:color="FFFFFF" w:themeColor="background1"/>
          </w:tcBorders>
        </w:tcPr>
        <w:p w14:paraId="3FA5B6C0" w14:textId="5438B2DE" w:rsidR="00A74314" w:rsidRPr="000B0F4B" w:rsidRDefault="00000000" w:rsidP="000B0F4B">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003F1C8B">
                <w:t>Second IANA Naming Function Review</w:t>
              </w:r>
            </w:sdtContent>
          </w:sdt>
          <w:r w:rsidR="00A74314" w:rsidRPr="000B0F4B">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25-02-01T00:00:00Z">
                <w:dateFormat w:val="MMMM yyyy"/>
                <w:lid w:val="en-US"/>
                <w:storeMappedDataAs w:val="dateTime"/>
                <w:calendar w:val="gregorian"/>
              </w:date>
            </w:sdtPr>
            <w:sdtContent>
              <w:r w:rsidR="003F1C8B">
                <w:t>February 2025</w:t>
              </w:r>
            </w:sdtContent>
          </w:sdt>
          <w:r w:rsidR="00A74314" w:rsidRPr="000B0F4B">
            <w:ptab w:relativeTo="margin" w:alignment="left" w:leader="none"/>
          </w:r>
        </w:p>
      </w:tc>
      <w:tc>
        <w:tcPr>
          <w:tcW w:w="885" w:type="dxa"/>
          <w:tcBorders>
            <w:left w:val="single" w:sz="48" w:space="0" w:color="FFFFFF" w:themeColor="background1"/>
          </w:tcBorders>
        </w:tcPr>
        <w:p w14:paraId="5360AB28" w14:textId="77777777" w:rsidR="00A74314" w:rsidRPr="000B0F4B" w:rsidRDefault="00A74314" w:rsidP="000B0F4B">
          <w:pPr>
            <w:pStyle w:val="Footer"/>
          </w:pPr>
          <w:r>
            <w:t xml:space="preserve">| </w:t>
          </w:r>
          <w:r w:rsidRPr="000B0F4B">
            <w:fldChar w:fldCharType="begin"/>
          </w:r>
          <w:r w:rsidRPr="000B0F4B">
            <w:instrText xml:space="preserve"> PAGE   \* MERGEFORMAT </w:instrText>
          </w:r>
          <w:r w:rsidRPr="000B0F4B">
            <w:fldChar w:fldCharType="separate"/>
          </w:r>
          <w:r w:rsidR="007E26E4">
            <w:rPr>
              <w:noProof/>
            </w:rPr>
            <w:t>3</w:t>
          </w:r>
          <w:r w:rsidRPr="000B0F4B">
            <w:fldChar w:fldCharType="end"/>
          </w:r>
        </w:p>
      </w:tc>
    </w:tr>
  </w:tbl>
  <w:p w14:paraId="27C12255" w14:textId="77777777" w:rsidR="00A74314" w:rsidRDefault="00A74314"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9620" w14:textId="77777777" w:rsidR="00A74314" w:rsidRDefault="00C61D59">
    <w:r w:rsidRPr="00C61D59">
      <w:rPr>
        <w:noProof/>
      </w:rPr>
      <w:drawing>
        <wp:anchor distT="0" distB="0" distL="114300" distR="114300" simplePos="0" relativeHeight="251659776" behindDoc="0" locked="1" layoutInCell="1" allowOverlap="1" wp14:anchorId="1C9535B3" wp14:editId="2339C9D4">
          <wp:simplePos x="0" y="0"/>
          <wp:positionH relativeFrom="margin">
            <wp:align>center</wp:align>
          </wp:positionH>
          <wp:positionV relativeFrom="page">
            <wp:posOffset>0</wp:posOffset>
          </wp:positionV>
          <wp:extent cx="7771765" cy="10057130"/>
          <wp:effectExtent l="0" t="0" r="635" b="1270"/>
          <wp:wrapThrough wrapText="bothSides">
            <wp:wrapPolygon edited="0">
              <wp:start x="0" y="0"/>
              <wp:lineTo x="0" y="21575"/>
              <wp:lineTo x="21566" y="21575"/>
              <wp:lineTo x="21566" y="0"/>
              <wp:lineTo x="0" y="0"/>
            </wp:wrapPolygon>
          </wp:wrapThrough>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referRelativeResize="0"/>
                </pic:nvPicPr>
                <pic:blipFill>
                  <a:blip r:embed="rId1"/>
                  <a:stretch>
                    <a:fillRect/>
                  </a:stretch>
                </pic:blipFill>
                <pic:spPr>
                  <a:xfrm>
                    <a:off x="0" y="0"/>
                    <a:ext cx="7771909" cy="100577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3046" w14:textId="77777777" w:rsidR="00705F68" w:rsidRDefault="00705F68" w:rsidP="00464BED">
      <w:r>
        <w:separator/>
      </w:r>
    </w:p>
  </w:footnote>
  <w:footnote w:type="continuationSeparator" w:id="0">
    <w:p w14:paraId="0CB2BF70" w14:textId="77777777" w:rsidR="00705F68" w:rsidRDefault="00705F68" w:rsidP="00464BED">
      <w:r>
        <w:continuationSeparator/>
      </w:r>
    </w:p>
  </w:footnote>
  <w:footnote w:id="1">
    <w:p w14:paraId="759FF8C8" w14:textId="77777777" w:rsidR="003F1C8B" w:rsidRDefault="003F1C8B" w:rsidP="003F1C8B">
      <w:pPr>
        <w:rPr>
          <w:color w:val="FF0000"/>
          <w:sz w:val="20"/>
          <w:szCs w:val="20"/>
        </w:rPr>
      </w:pPr>
      <w:r>
        <w:rPr>
          <w:rStyle w:val="FootnoteReference"/>
        </w:rPr>
        <w:footnoteRef/>
      </w:r>
      <w:r>
        <w:rPr>
          <w:color w:val="FF0000"/>
          <w:sz w:val="20"/>
          <w:szCs w:val="20"/>
        </w:rPr>
        <w:t xml:space="preserve"> Insert Bylaws reference</w:t>
      </w:r>
    </w:p>
  </w:footnote>
  <w:footnote w:id="2">
    <w:p w14:paraId="151801BA" w14:textId="77777777" w:rsidR="003F1C8B" w:rsidRDefault="003F1C8B" w:rsidP="003F1C8B">
      <w:pPr>
        <w:rPr>
          <w:sz w:val="20"/>
          <w:szCs w:val="20"/>
        </w:rPr>
      </w:pPr>
      <w:r>
        <w:rPr>
          <w:rStyle w:val="FootnoteReference"/>
        </w:rPr>
        <w:footnoteRef/>
      </w:r>
      <w:r>
        <w:rPr>
          <w:sz w:val="20"/>
          <w:szCs w:val="20"/>
        </w:rPr>
        <w:t xml:space="preserve"> See page 79, section “</w:t>
      </w:r>
      <w:proofErr w:type="spellStart"/>
      <w:proofErr w:type="gramStart"/>
      <w:r>
        <w:rPr>
          <w:sz w:val="20"/>
          <w:szCs w:val="20"/>
        </w:rPr>
        <w:t>DNSSEC”of</w:t>
      </w:r>
      <w:proofErr w:type="spellEnd"/>
      <w:proofErr w:type="gramEnd"/>
      <w:r>
        <w:rPr>
          <w:sz w:val="20"/>
          <w:szCs w:val="20"/>
        </w:rPr>
        <w:t xml:space="preserve">  ICANN (2024) “</w:t>
      </w:r>
      <w:hyperlink r:id="rId1">
        <w:r>
          <w:rPr>
            <w:color w:val="1155CC"/>
            <w:sz w:val="20"/>
            <w:szCs w:val="20"/>
            <w:u w:val="single"/>
          </w:rPr>
          <w:t>Base Registry Agreement</w:t>
        </w:r>
      </w:hyperlink>
      <w:r>
        <w:rPr>
          <w:sz w:val="20"/>
          <w:szCs w:val="20"/>
        </w:rPr>
        <w:t>”</w:t>
      </w:r>
    </w:p>
  </w:footnote>
  <w:footnote w:id="3">
    <w:p w14:paraId="5506F3CB" w14:textId="77777777" w:rsidR="003F1C8B" w:rsidRDefault="003F1C8B" w:rsidP="003F1C8B">
      <w:pPr>
        <w:rPr>
          <w:color w:val="FF0000"/>
          <w:sz w:val="20"/>
          <w:szCs w:val="20"/>
        </w:rPr>
      </w:pPr>
      <w:r>
        <w:rPr>
          <w:rStyle w:val="FootnoteReference"/>
        </w:rPr>
        <w:footnoteRef/>
      </w:r>
      <w:r>
        <w:rPr>
          <w:color w:val="FF0000"/>
          <w:sz w:val="20"/>
          <w:szCs w:val="20"/>
        </w:rPr>
        <w:t xml:space="preserve"> Insert bylaws citation</w:t>
      </w:r>
    </w:p>
  </w:footnote>
  <w:footnote w:id="4">
    <w:p w14:paraId="06C38792" w14:textId="77777777" w:rsidR="003F1C8B" w:rsidRDefault="003F1C8B" w:rsidP="003F1C8B">
      <w:pPr>
        <w:rPr>
          <w:sz w:val="20"/>
          <w:szCs w:val="20"/>
        </w:rPr>
      </w:pPr>
      <w:r>
        <w:rPr>
          <w:rStyle w:val="FootnoteReference"/>
        </w:rPr>
        <w:footnoteRef/>
      </w:r>
      <w:hyperlink r:id="rId2">
        <w:r>
          <w:rPr>
            <w:color w:val="1155CC"/>
            <w:sz w:val="20"/>
            <w:szCs w:val="20"/>
            <w:u w:val="single"/>
          </w:rPr>
          <w:t>Proposal to Transition the Stewardship of the Internet Assigned Numbers Authority (IANA) Functions from the U.S. Commerce Department’s National Telecommunications and Information Administration (NTIA) to the Global Multistakeholder Community</w:t>
        </w:r>
      </w:hyperlink>
      <w:r>
        <w:rPr>
          <w:sz w:val="20"/>
          <w:szCs w:val="20"/>
        </w:rPr>
        <w:t xml:space="preserve"> (July, 20215)</w:t>
      </w:r>
    </w:p>
  </w:footnote>
  <w:footnote w:id="5">
    <w:p w14:paraId="163490D5" w14:textId="77777777" w:rsidR="003F1C8B" w:rsidRDefault="003F1C8B" w:rsidP="003F1C8B">
      <w:pPr>
        <w:rPr>
          <w:sz w:val="20"/>
          <w:szCs w:val="20"/>
        </w:rPr>
      </w:pPr>
      <w:r>
        <w:rPr>
          <w:rStyle w:val="FootnoteReference"/>
        </w:rPr>
        <w:footnoteRef/>
      </w:r>
      <w:r>
        <w:rPr>
          <w:sz w:val="20"/>
          <w:szCs w:val="20"/>
        </w:rPr>
        <w:t xml:space="preserve"> NTIA, </w:t>
      </w:r>
      <w:hyperlink r:id="rId3">
        <w:r>
          <w:rPr>
            <w:color w:val="1155CC"/>
            <w:sz w:val="20"/>
            <w:szCs w:val="20"/>
            <w:u w:val="single"/>
          </w:rPr>
          <w:t>IANA Stewardship Transition Proposal Report</w:t>
        </w:r>
      </w:hyperlink>
      <w:r>
        <w:rPr>
          <w:sz w:val="20"/>
          <w:szCs w:val="20"/>
        </w:rPr>
        <w:t xml:space="preserve"> (June 2016)</w:t>
      </w:r>
    </w:p>
  </w:footnote>
  <w:footnote w:id="6">
    <w:p w14:paraId="79A4F5F8" w14:textId="77777777" w:rsidR="003F1C8B" w:rsidRDefault="003F1C8B" w:rsidP="003F1C8B">
      <w:pPr>
        <w:rPr>
          <w:sz w:val="20"/>
          <w:szCs w:val="20"/>
        </w:rPr>
      </w:pPr>
      <w:r>
        <w:rPr>
          <w:rStyle w:val="FootnoteReference"/>
        </w:rPr>
        <w:footnoteRef/>
      </w:r>
      <w:r>
        <w:rPr>
          <w:sz w:val="20"/>
          <w:szCs w:val="20"/>
        </w:rPr>
        <w:t xml:space="preserve"> </w:t>
      </w:r>
      <w:hyperlink r:id="rId4">
        <w:r>
          <w:rPr>
            <w:color w:val="1155CC"/>
            <w:sz w:val="20"/>
            <w:szCs w:val="20"/>
            <w:u w:val="single"/>
          </w:rPr>
          <w:t>https://www.icann.org/en/board-activities-and-meetings/materials/approved-resolutions-regular-meeting-of-the-icann-board-10-09-2023-en</w:t>
        </w:r>
      </w:hyperlink>
    </w:p>
  </w:footnote>
  <w:footnote w:id="7">
    <w:p w14:paraId="487D2CF2" w14:textId="77777777" w:rsidR="003F1C8B" w:rsidRDefault="003F1C8B" w:rsidP="003F1C8B">
      <w:pPr>
        <w:rPr>
          <w:sz w:val="20"/>
          <w:szCs w:val="20"/>
        </w:rPr>
      </w:pPr>
      <w:r>
        <w:rPr>
          <w:rStyle w:val="FootnoteReference"/>
        </w:rPr>
        <w:footnoteRef/>
      </w:r>
      <w:r>
        <w:rPr>
          <w:sz w:val="20"/>
          <w:szCs w:val="20"/>
        </w:rPr>
        <w:t xml:space="preserve"> https://www.icann.org/resources/pages/governance/bylaws-en/#article18</w:t>
      </w:r>
    </w:p>
  </w:footnote>
  <w:footnote w:id="8">
    <w:p w14:paraId="05321184" w14:textId="77777777" w:rsidR="003F1C8B" w:rsidRDefault="003F1C8B" w:rsidP="003F1C8B">
      <w:pPr>
        <w:rPr>
          <w:color w:val="FF0000"/>
          <w:sz w:val="20"/>
          <w:szCs w:val="20"/>
        </w:rPr>
      </w:pPr>
      <w:r>
        <w:rPr>
          <w:rStyle w:val="FootnoteReference"/>
        </w:rPr>
        <w:footnoteRef/>
      </w:r>
      <w:hyperlink r:id="rId5">
        <w:r>
          <w:rPr>
            <w:color w:val="1155CC"/>
            <w:sz w:val="20"/>
            <w:szCs w:val="20"/>
            <w:u w:val="single"/>
          </w:rPr>
          <w:t>Terms of Reference</w:t>
        </w:r>
      </w:hyperlink>
    </w:p>
  </w:footnote>
  <w:footnote w:id="9">
    <w:p w14:paraId="6CD6A102" w14:textId="77777777" w:rsidR="003F1C8B" w:rsidRDefault="003F1C8B" w:rsidP="003F1C8B">
      <w:pPr>
        <w:rPr>
          <w:color w:val="FF0000"/>
          <w:sz w:val="20"/>
          <w:szCs w:val="20"/>
        </w:rPr>
      </w:pPr>
      <w:r>
        <w:rPr>
          <w:rStyle w:val="FootnoteReference"/>
        </w:rPr>
        <w:footnoteRef/>
      </w:r>
      <w:r>
        <w:rPr>
          <w:sz w:val="20"/>
          <w:szCs w:val="20"/>
        </w:rPr>
        <w:t>https://community.icann.org/display/ifr/IFR2+Work+Plan</w:t>
      </w:r>
    </w:p>
  </w:footnote>
  <w:footnote w:id="10">
    <w:p w14:paraId="00EBC271" w14:textId="77777777" w:rsidR="003F1C8B" w:rsidRDefault="003F1C8B" w:rsidP="003F1C8B">
      <w:pPr>
        <w:rPr>
          <w:sz w:val="20"/>
          <w:szCs w:val="20"/>
        </w:rPr>
      </w:pPr>
      <w:r>
        <w:rPr>
          <w:rStyle w:val="FootnoteReference"/>
        </w:rPr>
        <w:footnoteRef/>
      </w:r>
      <w:r>
        <w:rPr>
          <w:sz w:val="20"/>
          <w:szCs w:val="20"/>
        </w:rPr>
        <w:t xml:space="preserve"> </w:t>
      </w:r>
      <w:hyperlink r:id="rId6">
        <w:r>
          <w:rPr>
            <w:color w:val="1155CC"/>
            <w:sz w:val="20"/>
            <w:szCs w:val="20"/>
            <w:u w:val="single"/>
          </w:rPr>
          <w:t>https://www.icann.org/en/announcements/details/ifr2-team-starts-review-of-key-icann-function-28-02-2024-en</w:t>
        </w:r>
      </w:hyperlink>
    </w:p>
  </w:footnote>
  <w:footnote w:id="11">
    <w:p w14:paraId="6F8F0E23" w14:textId="77777777" w:rsidR="003F1C8B" w:rsidRDefault="003F1C8B" w:rsidP="003F1C8B">
      <w:pPr>
        <w:rPr>
          <w:sz w:val="20"/>
          <w:szCs w:val="20"/>
        </w:rPr>
      </w:pPr>
      <w:r>
        <w:rPr>
          <w:rStyle w:val="FootnoteReference"/>
        </w:rPr>
        <w:footnoteRef/>
      </w:r>
      <w:r>
        <w:rPr>
          <w:sz w:val="20"/>
          <w:szCs w:val="20"/>
        </w:rPr>
        <w:t xml:space="preserve"> </w:t>
      </w:r>
      <w:hyperlink r:id="rId7">
        <w:r>
          <w:rPr>
            <w:color w:val="1155CC"/>
            <w:sz w:val="20"/>
            <w:szCs w:val="20"/>
            <w:u w:val="single"/>
          </w:rPr>
          <w:t>IFR2 Terms of Reference</w:t>
        </w:r>
      </w:hyperlink>
    </w:p>
  </w:footnote>
  <w:footnote w:id="12">
    <w:p w14:paraId="5E1E518C" w14:textId="77777777" w:rsidR="003F1C8B" w:rsidRDefault="003F1C8B" w:rsidP="003F1C8B">
      <w:pPr>
        <w:rPr>
          <w:sz w:val="20"/>
          <w:szCs w:val="20"/>
        </w:rPr>
      </w:pPr>
      <w:r>
        <w:rPr>
          <w:rStyle w:val="FootnoteReference"/>
        </w:rPr>
        <w:footnoteRef/>
      </w:r>
      <w:r>
        <w:rPr>
          <w:sz w:val="20"/>
          <w:szCs w:val="20"/>
        </w:rPr>
        <w:t xml:space="preserve"> </w:t>
      </w:r>
      <w:hyperlink r:id="rId8">
        <w:r>
          <w:rPr>
            <w:color w:val="1155CC"/>
            <w:sz w:val="20"/>
            <w:szCs w:val="20"/>
            <w:u w:val="single"/>
          </w:rPr>
          <w:t>https://icann81.sched.com/event/1p2IY/second-iana-naming-function-review-ifr2-team-work-session</w:t>
        </w:r>
      </w:hyperlink>
    </w:p>
  </w:footnote>
  <w:footnote w:id="13">
    <w:p w14:paraId="4C2B3E67" w14:textId="77777777" w:rsidR="003F1C8B" w:rsidRDefault="003F1C8B" w:rsidP="003F1C8B">
      <w:pPr>
        <w:rPr>
          <w:sz w:val="20"/>
          <w:szCs w:val="20"/>
        </w:rPr>
      </w:pPr>
      <w:r>
        <w:rPr>
          <w:rStyle w:val="FootnoteReference"/>
        </w:rPr>
        <w:footnoteRef/>
      </w:r>
      <w:hyperlink r:id="rId9">
        <w:r>
          <w:rPr>
            <w:color w:val="1155CC"/>
            <w:sz w:val="20"/>
            <w:szCs w:val="20"/>
            <w:u w:val="single"/>
          </w:rPr>
          <w:t xml:space="preserve"> IFR2 Terms of Reference</w:t>
        </w:r>
      </w:hyperlink>
    </w:p>
  </w:footnote>
  <w:footnote w:id="14">
    <w:p w14:paraId="3205C764" w14:textId="77777777" w:rsidR="003F1C8B" w:rsidRDefault="003F1C8B" w:rsidP="003F1C8B">
      <w:pPr>
        <w:rPr>
          <w:sz w:val="20"/>
          <w:szCs w:val="20"/>
        </w:rPr>
      </w:pPr>
      <w:r>
        <w:rPr>
          <w:rStyle w:val="FootnoteReference"/>
        </w:rPr>
        <w:footnoteRef/>
      </w:r>
      <w:r>
        <w:rPr>
          <w:sz w:val="20"/>
          <w:szCs w:val="20"/>
        </w:rPr>
        <w:t xml:space="preserve"> </w:t>
      </w:r>
      <w:hyperlink r:id="rId10">
        <w:r>
          <w:rPr>
            <w:color w:val="1155CC"/>
            <w:sz w:val="20"/>
            <w:szCs w:val="20"/>
            <w:u w:val="single"/>
          </w:rPr>
          <w:t>https://icann81.sched.com/event/1p2IY/second-iana-naming-function-review-ifr2-team-work-session</w:t>
        </w:r>
      </w:hyperlink>
    </w:p>
  </w:footnote>
  <w:footnote w:id="15">
    <w:p w14:paraId="22BF163B" w14:textId="77777777" w:rsidR="003F1C8B" w:rsidRDefault="003F1C8B" w:rsidP="003F1C8B">
      <w:pPr>
        <w:rPr>
          <w:sz w:val="20"/>
          <w:szCs w:val="20"/>
        </w:rPr>
      </w:pPr>
      <w:r>
        <w:rPr>
          <w:rStyle w:val="FootnoteReference"/>
        </w:rPr>
        <w:footnoteRef/>
      </w:r>
      <w:r>
        <w:rPr>
          <w:sz w:val="20"/>
          <w:szCs w:val="20"/>
        </w:rPr>
        <w:t xml:space="preserve"> </w:t>
      </w:r>
      <w:hyperlink r:id="rId11">
        <w:r>
          <w:rPr>
            <w:color w:val="1155CC"/>
            <w:sz w:val="20"/>
            <w:szCs w:val="20"/>
            <w:u w:val="single"/>
          </w:rPr>
          <w:t>https://icann81.sched.com/event/1p2IY/second-iana-naming-function-review-ifr2-team-work-session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4223" w14:textId="77777777" w:rsidR="00A74314" w:rsidRDefault="00A74314">
    <w:pPr>
      <w:pStyle w:val="Header"/>
    </w:pPr>
    <w:r w:rsidRPr="000B0F4B">
      <w:rPr>
        <w:noProof/>
      </w:rPr>
      <w:drawing>
        <wp:anchor distT="0" distB="0" distL="114300" distR="114300" simplePos="0" relativeHeight="251659264" behindDoc="1" locked="1" layoutInCell="1" allowOverlap="1" wp14:anchorId="285A2B2A" wp14:editId="2636BA48">
          <wp:simplePos x="0" y="0"/>
          <wp:positionH relativeFrom="page">
            <wp:posOffset>0</wp:posOffset>
          </wp:positionH>
          <wp:positionV relativeFrom="page">
            <wp:posOffset>11430</wp:posOffset>
          </wp:positionV>
          <wp:extent cx="7772400" cy="100584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333" w14:textId="77777777" w:rsidR="00C91B0A" w:rsidRDefault="00C91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95FE" w14:textId="77777777" w:rsidR="00A74314" w:rsidRDefault="00A743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B43" w14:textId="77777777" w:rsidR="00C91B0A" w:rsidRDefault="00C9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40C1B"/>
    <w:multiLevelType w:val="hybridMultilevel"/>
    <w:tmpl w:val="22080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7A15A7"/>
    <w:multiLevelType w:val="multilevel"/>
    <w:tmpl w:val="FE5CD3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93F5A30"/>
    <w:multiLevelType w:val="hybridMultilevel"/>
    <w:tmpl w:val="53D0C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F136A6"/>
    <w:multiLevelType w:val="multilevel"/>
    <w:tmpl w:val="6B46B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6"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70AED"/>
    <w:multiLevelType w:val="multilevel"/>
    <w:tmpl w:val="40CE844C"/>
    <w:numStyleLink w:val="MLD1-9"/>
  </w:abstractNum>
  <w:abstractNum w:abstractNumId="18" w15:restartNumberingAfterBreak="0">
    <w:nsid w:val="3C08300C"/>
    <w:multiLevelType w:val="multilevel"/>
    <w:tmpl w:val="40CE844C"/>
    <w:numStyleLink w:val="MLD1-9"/>
  </w:abstractNum>
  <w:abstractNum w:abstractNumId="19"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31914"/>
    <w:multiLevelType w:val="hybridMultilevel"/>
    <w:tmpl w:val="9A0E74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66686B21"/>
    <w:multiLevelType w:val="hybridMultilevel"/>
    <w:tmpl w:val="9A0E74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AAE6E3B"/>
    <w:multiLevelType w:val="hybridMultilevel"/>
    <w:tmpl w:val="5A087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D34A62"/>
    <w:multiLevelType w:val="multilevel"/>
    <w:tmpl w:val="8CD8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F247FA"/>
    <w:multiLevelType w:val="multilevel"/>
    <w:tmpl w:val="0324D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FC2FB7"/>
    <w:multiLevelType w:val="multilevel"/>
    <w:tmpl w:val="73FAB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6E618C9"/>
    <w:multiLevelType w:val="multilevel"/>
    <w:tmpl w:val="0158D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1D4A00"/>
    <w:multiLevelType w:val="multilevel"/>
    <w:tmpl w:val="6E843954"/>
    <w:numStyleLink w:val="MLB1-9"/>
  </w:abstractNum>
  <w:num w:numId="1" w16cid:durableId="1844196457">
    <w:abstractNumId w:val="23"/>
  </w:num>
  <w:num w:numId="2" w16cid:durableId="1498495149">
    <w:abstractNumId w:val="16"/>
  </w:num>
  <w:num w:numId="3" w16cid:durableId="1077895090">
    <w:abstractNumId w:val="19"/>
  </w:num>
  <w:num w:numId="4" w16cid:durableId="956252481">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50753800">
    <w:abstractNumId w:val="18"/>
  </w:num>
  <w:num w:numId="6" w16cid:durableId="1484010431">
    <w:abstractNumId w:val="15"/>
  </w:num>
  <w:num w:numId="7" w16cid:durableId="1177579642">
    <w:abstractNumId w:val="22"/>
  </w:num>
  <w:num w:numId="8" w16cid:durableId="293104977">
    <w:abstractNumId w:val="16"/>
    <w:lvlOverride w:ilvl="0">
      <w:startOverride w:val="1"/>
    </w:lvlOverride>
  </w:num>
  <w:num w:numId="9" w16cid:durableId="1294796030">
    <w:abstractNumId w:val="12"/>
  </w:num>
  <w:num w:numId="10" w16cid:durableId="1863548346">
    <w:abstractNumId w:val="10"/>
  </w:num>
  <w:num w:numId="11" w16cid:durableId="210844542">
    <w:abstractNumId w:val="8"/>
  </w:num>
  <w:num w:numId="12" w16cid:durableId="1805156283">
    <w:abstractNumId w:val="7"/>
  </w:num>
  <w:num w:numId="13" w16cid:durableId="2133864570">
    <w:abstractNumId w:val="6"/>
  </w:num>
  <w:num w:numId="14" w16cid:durableId="2113014555">
    <w:abstractNumId w:val="5"/>
  </w:num>
  <w:num w:numId="15" w16cid:durableId="1129133080">
    <w:abstractNumId w:val="9"/>
  </w:num>
  <w:num w:numId="16" w16cid:durableId="1171219906">
    <w:abstractNumId w:val="4"/>
  </w:num>
  <w:num w:numId="17" w16cid:durableId="1608077479">
    <w:abstractNumId w:val="3"/>
  </w:num>
  <w:num w:numId="18" w16cid:durableId="1663049227">
    <w:abstractNumId w:val="2"/>
  </w:num>
  <w:num w:numId="19" w16cid:durableId="1811244925">
    <w:abstractNumId w:val="1"/>
  </w:num>
  <w:num w:numId="20" w16cid:durableId="1762414486">
    <w:abstractNumId w:val="17"/>
  </w:num>
  <w:num w:numId="21" w16cid:durableId="425266722">
    <w:abstractNumId w:val="32"/>
  </w:num>
  <w:num w:numId="22" w16cid:durableId="136937808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1794905578">
    <w:abstractNumId w:val="0"/>
  </w:num>
  <w:num w:numId="24" w16cid:durableId="1551530848">
    <w:abstractNumId w:val="21"/>
  </w:num>
  <w:num w:numId="25" w16cid:durableId="337854426">
    <w:abstractNumId w:val="24"/>
  </w:num>
  <w:num w:numId="26" w16cid:durableId="1340699589">
    <w:abstractNumId w:val="31"/>
  </w:num>
  <w:num w:numId="27" w16cid:durableId="490028737">
    <w:abstractNumId w:val="28"/>
  </w:num>
  <w:num w:numId="28" w16cid:durableId="1609461656">
    <w:abstractNumId w:val="30"/>
  </w:num>
  <w:num w:numId="29" w16cid:durableId="471749843">
    <w:abstractNumId w:val="14"/>
  </w:num>
  <w:num w:numId="30" w16cid:durableId="1194424277">
    <w:abstractNumId w:val="29"/>
  </w:num>
  <w:num w:numId="31" w16cid:durableId="195508991">
    <w:abstractNumId w:val="11"/>
  </w:num>
  <w:num w:numId="32" w16cid:durableId="226260330">
    <w:abstractNumId w:val="26"/>
  </w:num>
  <w:num w:numId="33" w16cid:durableId="922643158">
    <w:abstractNumId w:val="20"/>
  </w:num>
  <w:num w:numId="34" w16cid:durableId="1954701801">
    <w:abstractNumId w:val="27"/>
  </w:num>
  <w:num w:numId="35" w16cid:durableId="1648705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lickAndTypeStyle w:val="Left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8B"/>
    <w:rsid w:val="00013432"/>
    <w:rsid w:val="00023857"/>
    <w:rsid w:val="00030BB3"/>
    <w:rsid w:val="00035346"/>
    <w:rsid w:val="000410E0"/>
    <w:rsid w:val="000419DF"/>
    <w:rsid w:val="00055BF6"/>
    <w:rsid w:val="000610A0"/>
    <w:rsid w:val="00062B9A"/>
    <w:rsid w:val="00064866"/>
    <w:rsid w:val="00064B83"/>
    <w:rsid w:val="00066368"/>
    <w:rsid w:val="00073AA3"/>
    <w:rsid w:val="000805D6"/>
    <w:rsid w:val="0008273D"/>
    <w:rsid w:val="000926B1"/>
    <w:rsid w:val="000936C1"/>
    <w:rsid w:val="00093B82"/>
    <w:rsid w:val="000A16E0"/>
    <w:rsid w:val="000A36FA"/>
    <w:rsid w:val="000A77B7"/>
    <w:rsid w:val="000B0F4B"/>
    <w:rsid w:val="000B5C68"/>
    <w:rsid w:val="000B7911"/>
    <w:rsid w:val="000C5F6C"/>
    <w:rsid w:val="000D0C3D"/>
    <w:rsid w:val="000D1D81"/>
    <w:rsid w:val="000D6DDD"/>
    <w:rsid w:val="000E5F07"/>
    <w:rsid w:val="000F43CB"/>
    <w:rsid w:val="001001CE"/>
    <w:rsid w:val="00105227"/>
    <w:rsid w:val="00114620"/>
    <w:rsid w:val="00131DC2"/>
    <w:rsid w:val="00140DAE"/>
    <w:rsid w:val="00143E37"/>
    <w:rsid w:val="00151DD9"/>
    <w:rsid w:val="00155483"/>
    <w:rsid w:val="001564F7"/>
    <w:rsid w:val="00163B40"/>
    <w:rsid w:val="0016472E"/>
    <w:rsid w:val="00165D66"/>
    <w:rsid w:val="00196FBB"/>
    <w:rsid w:val="001A3028"/>
    <w:rsid w:val="001B054F"/>
    <w:rsid w:val="001B7EE5"/>
    <w:rsid w:val="001C4BEF"/>
    <w:rsid w:val="001C792E"/>
    <w:rsid w:val="001D126D"/>
    <w:rsid w:val="001E2BA4"/>
    <w:rsid w:val="001E54A0"/>
    <w:rsid w:val="001F60E3"/>
    <w:rsid w:val="002006C9"/>
    <w:rsid w:val="002012A8"/>
    <w:rsid w:val="00201BCA"/>
    <w:rsid w:val="002065D6"/>
    <w:rsid w:val="00215D4B"/>
    <w:rsid w:val="00216494"/>
    <w:rsid w:val="00224916"/>
    <w:rsid w:val="00225268"/>
    <w:rsid w:val="00226FEE"/>
    <w:rsid w:val="002313C0"/>
    <w:rsid w:val="00233290"/>
    <w:rsid w:val="00237AB8"/>
    <w:rsid w:val="00242EDA"/>
    <w:rsid w:val="0025007B"/>
    <w:rsid w:val="00250471"/>
    <w:rsid w:val="00254A22"/>
    <w:rsid w:val="00257945"/>
    <w:rsid w:val="00260164"/>
    <w:rsid w:val="00270E83"/>
    <w:rsid w:val="00270F39"/>
    <w:rsid w:val="00271AB9"/>
    <w:rsid w:val="0027465A"/>
    <w:rsid w:val="00274960"/>
    <w:rsid w:val="0027559D"/>
    <w:rsid w:val="002935AD"/>
    <w:rsid w:val="0029789A"/>
    <w:rsid w:val="002A0BA7"/>
    <w:rsid w:val="002A13FB"/>
    <w:rsid w:val="002A4BA4"/>
    <w:rsid w:val="002B4A69"/>
    <w:rsid w:val="002B4DB0"/>
    <w:rsid w:val="002B55DE"/>
    <w:rsid w:val="002B7778"/>
    <w:rsid w:val="002C39BC"/>
    <w:rsid w:val="002E0067"/>
    <w:rsid w:val="002E268C"/>
    <w:rsid w:val="002F382F"/>
    <w:rsid w:val="002F403D"/>
    <w:rsid w:val="002F4CB5"/>
    <w:rsid w:val="002F5D2D"/>
    <w:rsid w:val="00310E45"/>
    <w:rsid w:val="00314678"/>
    <w:rsid w:val="00314892"/>
    <w:rsid w:val="003263A9"/>
    <w:rsid w:val="0033017E"/>
    <w:rsid w:val="003417AA"/>
    <w:rsid w:val="00342D8E"/>
    <w:rsid w:val="00346651"/>
    <w:rsid w:val="00347D0F"/>
    <w:rsid w:val="003537BA"/>
    <w:rsid w:val="00353A8E"/>
    <w:rsid w:val="00357E5A"/>
    <w:rsid w:val="00366720"/>
    <w:rsid w:val="00374F4A"/>
    <w:rsid w:val="00392DC6"/>
    <w:rsid w:val="00393398"/>
    <w:rsid w:val="003A0F03"/>
    <w:rsid w:val="003A3940"/>
    <w:rsid w:val="003A6319"/>
    <w:rsid w:val="003A713F"/>
    <w:rsid w:val="003A77BA"/>
    <w:rsid w:val="003B1863"/>
    <w:rsid w:val="003B65B8"/>
    <w:rsid w:val="003C39B3"/>
    <w:rsid w:val="003C5524"/>
    <w:rsid w:val="003D0ED7"/>
    <w:rsid w:val="003D162C"/>
    <w:rsid w:val="003D1E1B"/>
    <w:rsid w:val="003D37FA"/>
    <w:rsid w:val="003D4AD6"/>
    <w:rsid w:val="003D5517"/>
    <w:rsid w:val="003F1C8B"/>
    <w:rsid w:val="004003CE"/>
    <w:rsid w:val="0040069E"/>
    <w:rsid w:val="00402B3A"/>
    <w:rsid w:val="00402E14"/>
    <w:rsid w:val="00402FD3"/>
    <w:rsid w:val="00410DCE"/>
    <w:rsid w:val="00413D5B"/>
    <w:rsid w:val="0042226E"/>
    <w:rsid w:val="00427761"/>
    <w:rsid w:val="00430464"/>
    <w:rsid w:val="00437D7A"/>
    <w:rsid w:val="00440C29"/>
    <w:rsid w:val="00451618"/>
    <w:rsid w:val="0045585A"/>
    <w:rsid w:val="0045687C"/>
    <w:rsid w:val="00456A39"/>
    <w:rsid w:val="004605A4"/>
    <w:rsid w:val="004608F7"/>
    <w:rsid w:val="0046241F"/>
    <w:rsid w:val="00462FC3"/>
    <w:rsid w:val="00464BED"/>
    <w:rsid w:val="00471DC4"/>
    <w:rsid w:val="004722BD"/>
    <w:rsid w:val="00474188"/>
    <w:rsid w:val="004769A2"/>
    <w:rsid w:val="00480BB2"/>
    <w:rsid w:val="004825C7"/>
    <w:rsid w:val="00487E4D"/>
    <w:rsid w:val="00487F43"/>
    <w:rsid w:val="0049082F"/>
    <w:rsid w:val="004938EC"/>
    <w:rsid w:val="0049686E"/>
    <w:rsid w:val="00497A39"/>
    <w:rsid w:val="004A13BF"/>
    <w:rsid w:val="004A5334"/>
    <w:rsid w:val="004A54ED"/>
    <w:rsid w:val="004A7E33"/>
    <w:rsid w:val="004B1FF0"/>
    <w:rsid w:val="004B60E6"/>
    <w:rsid w:val="004B69BB"/>
    <w:rsid w:val="004C1400"/>
    <w:rsid w:val="004D5A60"/>
    <w:rsid w:val="004D7B68"/>
    <w:rsid w:val="004E14E7"/>
    <w:rsid w:val="004F37D3"/>
    <w:rsid w:val="004F3EE4"/>
    <w:rsid w:val="004F4BBF"/>
    <w:rsid w:val="004F7A95"/>
    <w:rsid w:val="0050398B"/>
    <w:rsid w:val="00504E64"/>
    <w:rsid w:val="00510816"/>
    <w:rsid w:val="0051121B"/>
    <w:rsid w:val="00513B07"/>
    <w:rsid w:val="00525731"/>
    <w:rsid w:val="0052661A"/>
    <w:rsid w:val="0053296A"/>
    <w:rsid w:val="00533CF4"/>
    <w:rsid w:val="0055044B"/>
    <w:rsid w:val="005626CF"/>
    <w:rsid w:val="00571447"/>
    <w:rsid w:val="00582614"/>
    <w:rsid w:val="00597DEA"/>
    <w:rsid w:val="005A2C38"/>
    <w:rsid w:val="005A5535"/>
    <w:rsid w:val="005B0228"/>
    <w:rsid w:val="005B376C"/>
    <w:rsid w:val="005B49C6"/>
    <w:rsid w:val="005B6DF9"/>
    <w:rsid w:val="005C1B40"/>
    <w:rsid w:val="005C308D"/>
    <w:rsid w:val="005D0428"/>
    <w:rsid w:val="005D1722"/>
    <w:rsid w:val="005D610F"/>
    <w:rsid w:val="005E160C"/>
    <w:rsid w:val="005E196F"/>
    <w:rsid w:val="005E4005"/>
    <w:rsid w:val="005E4C3F"/>
    <w:rsid w:val="005F225A"/>
    <w:rsid w:val="005F3BC7"/>
    <w:rsid w:val="00602B53"/>
    <w:rsid w:val="00613244"/>
    <w:rsid w:val="00613394"/>
    <w:rsid w:val="0062279C"/>
    <w:rsid w:val="00624848"/>
    <w:rsid w:val="00633D56"/>
    <w:rsid w:val="00633F20"/>
    <w:rsid w:val="006344A2"/>
    <w:rsid w:val="00642CA9"/>
    <w:rsid w:val="00644DA4"/>
    <w:rsid w:val="006473AB"/>
    <w:rsid w:val="00647830"/>
    <w:rsid w:val="00650DA2"/>
    <w:rsid w:val="00651F37"/>
    <w:rsid w:val="00655AF7"/>
    <w:rsid w:val="00657D4D"/>
    <w:rsid w:val="00661070"/>
    <w:rsid w:val="00665725"/>
    <w:rsid w:val="006718AA"/>
    <w:rsid w:val="00674F9C"/>
    <w:rsid w:val="00676CC0"/>
    <w:rsid w:val="00684D51"/>
    <w:rsid w:val="00684DAD"/>
    <w:rsid w:val="006858DA"/>
    <w:rsid w:val="00685EF5"/>
    <w:rsid w:val="0069217A"/>
    <w:rsid w:val="00692FA7"/>
    <w:rsid w:val="00695E63"/>
    <w:rsid w:val="006966AA"/>
    <w:rsid w:val="00697BC8"/>
    <w:rsid w:val="006A06F9"/>
    <w:rsid w:val="006A3EC2"/>
    <w:rsid w:val="006A4017"/>
    <w:rsid w:val="006A64BF"/>
    <w:rsid w:val="006A7A18"/>
    <w:rsid w:val="006C23BE"/>
    <w:rsid w:val="006D571D"/>
    <w:rsid w:val="006E4611"/>
    <w:rsid w:val="006E4895"/>
    <w:rsid w:val="006E7165"/>
    <w:rsid w:val="006F295D"/>
    <w:rsid w:val="006F4E38"/>
    <w:rsid w:val="0070090C"/>
    <w:rsid w:val="00705C38"/>
    <w:rsid w:val="00705F68"/>
    <w:rsid w:val="00706001"/>
    <w:rsid w:val="0071298B"/>
    <w:rsid w:val="00714DEF"/>
    <w:rsid w:val="00715555"/>
    <w:rsid w:val="00716595"/>
    <w:rsid w:val="00717B2D"/>
    <w:rsid w:val="0072033D"/>
    <w:rsid w:val="007253A8"/>
    <w:rsid w:val="007324D1"/>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D48"/>
    <w:rsid w:val="00783EB1"/>
    <w:rsid w:val="007A047A"/>
    <w:rsid w:val="007B3F58"/>
    <w:rsid w:val="007B5E2F"/>
    <w:rsid w:val="007C4BD4"/>
    <w:rsid w:val="007C7973"/>
    <w:rsid w:val="007C7ECA"/>
    <w:rsid w:val="007D1048"/>
    <w:rsid w:val="007E194D"/>
    <w:rsid w:val="007E26E4"/>
    <w:rsid w:val="007E77AC"/>
    <w:rsid w:val="007F0CCB"/>
    <w:rsid w:val="007F3B73"/>
    <w:rsid w:val="007F4CED"/>
    <w:rsid w:val="007F5474"/>
    <w:rsid w:val="00804D73"/>
    <w:rsid w:val="00811350"/>
    <w:rsid w:val="00816BB5"/>
    <w:rsid w:val="00827B18"/>
    <w:rsid w:val="00831E0C"/>
    <w:rsid w:val="00833F78"/>
    <w:rsid w:val="00842249"/>
    <w:rsid w:val="00846A29"/>
    <w:rsid w:val="00856BAB"/>
    <w:rsid w:val="00863C7E"/>
    <w:rsid w:val="00874380"/>
    <w:rsid w:val="0087469C"/>
    <w:rsid w:val="00881C63"/>
    <w:rsid w:val="0088548F"/>
    <w:rsid w:val="00887966"/>
    <w:rsid w:val="00890E30"/>
    <w:rsid w:val="008A0171"/>
    <w:rsid w:val="008B1B31"/>
    <w:rsid w:val="008B6A24"/>
    <w:rsid w:val="008C6BFC"/>
    <w:rsid w:val="008D0224"/>
    <w:rsid w:val="008D56B1"/>
    <w:rsid w:val="008E0863"/>
    <w:rsid w:val="008E5055"/>
    <w:rsid w:val="008F56DD"/>
    <w:rsid w:val="008F6B4F"/>
    <w:rsid w:val="009005B4"/>
    <w:rsid w:val="00902639"/>
    <w:rsid w:val="00903FAB"/>
    <w:rsid w:val="00911134"/>
    <w:rsid w:val="00911939"/>
    <w:rsid w:val="0091328B"/>
    <w:rsid w:val="009136FC"/>
    <w:rsid w:val="00914461"/>
    <w:rsid w:val="009217FF"/>
    <w:rsid w:val="00931974"/>
    <w:rsid w:val="00933DAC"/>
    <w:rsid w:val="00937A69"/>
    <w:rsid w:val="0094301D"/>
    <w:rsid w:val="00944E94"/>
    <w:rsid w:val="0095032B"/>
    <w:rsid w:val="00953D53"/>
    <w:rsid w:val="00955C6E"/>
    <w:rsid w:val="00961243"/>
    <w:rsid w:val="00972CD1"/>
    <w:rsid w:val="009803F2"/>
    <w:rsid w:val="0099162A"/>
    <w:rsid w:val="00991F5D"/>
    <w:rsid w:val="00993BEC"/>
    <w:rsid w:val="00993E98"/>
    <w:rsid w:val="00995FBC"/>
    <w:rsid w:val="009A1923"/>
    <w:rsid w:val="009A28B8"/>
    <w:rsid w:val="009B4A09"/>
    <w:rsid w:val="009B7103"/>
    <w:rsid w:val="009B71F1"/>
    <w:rsid w:val="009C1ACB"/>
    <w:rsid w:val="009C2E6D"/>
    <w:rsid w:val="009E0246"/>
    <w:rsid w:val="009E1F31"/>
    <w:rsid w:val="009E7857"/>
    <w:rsid w:val="009F6E00"/>
    <w:rsid w:val="00A015A0"/>
    <w:rsid w:val="00A03B15"/>
    <w:rsid w:val="00A07EE7"/>
    <w:rsid w:val="00A3284D"/>
    <w:rsid w:val="00A3404D"/>
    <w:rsid w:val="00A347C2"/>
    <w:rsid w:val="00A36241"/>
    <w:rsid w:val="00A364A3"/>
    <w:rsid w:val="00A41367"/>
    <w:rsid w:val="00A52AE6"/>
    <w:rsid w:val="00A538C4"/>
    <w:rsid w:val="00A53BD5"/>
    <w:rsid w:val="00A579CC"/>
    <w:rsid w:val="00A6492E"/>
    <w:rsid w:val="00A7172D"/>
    <w:rsid w:val="00A74314"/>
    <w:rsid w:val="00A7527B"/>
    <w:rsid w:val="00A81BB9"/>
    <w:rsid w:val="00A8256A"/>
    <w:rsid w:val="00A86A62"/>
    <w:rsid w:val="00A9424B"/>
    <w:rsid w:val="00A96A2C"/>
    <w:rsid w:val="00AA4108"/>
    <w:rsid w:val="00AA6552"/>
    <w:rsid w:val="00AA6F3D"/>
    <w:rsid w:val="00AB3CB1"/>
    <w:rsid w:val="00AB71DF"/>
    <w:rsid w:val="00AC3184"/>
    <w:rsid w:val="00AC5A76"/>
    <w:rsid w:val="00AC6261"/>
    <w:rsid w:val="00AC76D6"/>
    <w:rsid w:val="00AE00F3"/>
    <w:rsid w:val="00AE0289"/>
    <w:rsid w:val="00AE5D69"/>
    <w:rsid w:val="00AF075B"/>
    <w:rsid w:val="00AF4129"/>
    <w:rsid w:val="00AF531D"/>
    <w:rsid w:val="00AF7A39"/>
    <w:rsid w:val="00AF7C79"/>
    <w:rsid w:val="00B00756"/>
    <w:rsid w:val="00B1201A"/>
    <w:rsid w:val="00B15426"/>
    <w:rsid w:val="00B2610C"/>
    <w:rsid w:val="00B32DF8"/>
    <w:rsid w:val="00B4667E"/>
    <w:rsid w:val="00B539D1"/>
    <w:rsid w:val="00B65A72"/>
    <w:rsid w:val="00B66302"/>
    <w:rsid w:val="00B77683"/>
    <w:rsid w:val="00B8564F"/>
    <w:rsid w:val="00B856BF"/>
    <w:rsid w:val="00B93E53"/>
    <w:rsid w:val="00B9693E"/>
    <w:rsid w:val="00BA2645"/>
    <w:rsid w:val="00BA349A"/>
    <w:rsid w:val="00BC0B12"/>
    <w:rsid w:val="00BD5368"/>
    <w:rsid w:val="00BD6AA9"/>
    <w:rsid w:val="00BD7C7C"/>
    <w:rsid w:val="00BE6F3E"/>
    <w:rsid w:val="00BF0C50"/>
    <w:rsid w:val="00BF65ED"/>
    <w:rsid w:val="00BF6953"/>
    <w:rsid w:val="00C0305D"/>
    <w:rsid w:val="00C0583B"/>
    <w:rsid w:val="00C1705E"/>
    <w:rsid w:val="00C1757D"/>
    <w:rsid w:val="00C26264"/>
    <w:rsid w:val="00C43023"/>
    <w:rsid w:val="00C46EAC"/>
    <w:rsid w:val="00C502F3"/>
    <w:rsid w:val="00C52C55"/>
    <w:rsid w:val="00C61D59"/>
    <w:rsid w:val="00C63A4B"/>
    <w:rsid w:val="00C6701B"/>
    <w:rsid w:val="00C72B5B"/>
    <w:rsid w:val="00C8383E"/>
    <w:rsid w:val="00C845E7"/>
    <w:rsid w:val="00C84F9A"/>
    <w:rsid w:val="00C866E4"/>
    <w:rsid w:val="00C91B0A"/>
    <w:rsid w:val="00C95D33"/>
    <w:rsid w:val="00C969DF"/>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A95"/>
    <w:rsid w:val="00D033AB"/>
    <w:rsid w:val="00D1199F"/>
    <w:rsid w:val="00D14AA7"/>
    <w:rsid w:val="00D153EB"/>
    <w:rsid w:val="00D27A0E"/>
    <w:rsid w:val="00D441DC"/>
    <w:rsid w:val="00D44FE6"/>
    <w:rsid w:val="00D4600A"/>
    <w:rsid w:val="00D543DC"/>
    <w:rsid w:val="00D5512C"/>
    <w:rsid w:val="00D607E3"/>
    <w:rsid w:val="00D632C2"/>
    <w:rsid w:val="00D637CC"/>
    <w:rsid w:val="00D6776C"/>
    <w:rsid w:val="00D73AFF"/>
    <w:rsid w:val="00D73DF6"/>
    <w:rsid w:val="00D74638"/>
    <w:rsid w:val="00D75228"/>
    <w:rsid w:val="00D90C84"/>
    <w:rsid w:val="00DA2B9F"/>
    <w:rsid w:val="00DA4D19"/>
    <w:rsid w:val="00DA6091"/>
    <w:rsid w:val="00DB2EFC"/>
    <w:rsid w:val="00DB3F3C"/>
    <w:rsid w:val="00DB49E1"/>
    <w:rsid w:val="00DB5CCD"/>
    <w:rsid w:val="00DC29C9"/>
    <w:rsid w:val="00DD3B07"/>
    <w:rsid w:val="00DE0802"/>
    <w:rsid w:val="00DE1721"/>
    <w:rsid w:val="00DE64A3"/>
    <w:rsid w:val="00DF3F61"/>
    <w:rsid w:val="00DF45B2"/>
    <w:rsid w:val="00E03AC8"/>
    <w:rsid w:val="00E05097"/>
    <w:rsid w:val="00E06546"/>
    <w:rsid w:val="00E107AB"/>
    <w:rsid w:val="00E10BF8"/>
    <w:rsid w:val="00E13D0B"/>
    <w:rsid w:val="00E17EC7"/>
    <w:rsid w:val="00E25E09"/>
    <w:rsid w:val="00E31348"/>
    <w:rsid w:val="00E33C05"/>
    <w:rsid w:val="00E34AAE"/>
    <w:rsid w:val="00E40C8C"/>
    <w:rsid w:val="00E40E71"/>
    <w:rsid w:val="00E42540"/>
    <w:rsid w:val="00E43B3F"/>
    <w:rsid w:val="00E51AC1"/>
    <w:rsid w:val="00E53C6E"/>
    <w:rsid w:val="00E62777"/>
    <w:rsid w:val="00E63E69"/>
    <w:rsid w:val="00E82C2C"/>
    <w:rsid w:val="00E834C7"/>
    <w:rsid w:val="00E835D4"/>
    <w:rsid w:val="00E853BC"/>
    <w:rsid w:val="00E86751"/>
    <w:rsid w:val="00E94BC2"/>
    <w:rsid w:val="00EA0CA1"/>
    <w:rsid w:val="00EA505A"/>
    <w:rsid w:val="00EA55F3"/>
    <w:rsid w:val="00EA6181"/>
    <w:rsid w:val="00EB159D"/>
    <w:rsid w:val="00EB651A"/>
    <w:rsid w:val="00EC54FB"/>
    <w:rsid w:val="00EC67C6"/>
    <w:rsid w:val="00ED2BAE"/>
    <w:rsid w:val="00ED5045"/>
    <w:rsid w:val="00EE1F4F"/>
    <w:rsid w:val="00EE43C7"/>
    <w:rsid w:val="00EE53AF"/>
    <w:rsid w:val="00EE5A15"/>
    <w:rsid w:val="00EE69EA"/>
    <w:rsid w:val="00EF0EA9"/>
    <w:rsid w:val="00EF2C54"/>
    <w:rsid w:val="00EF6957"/>
    <w:rsid w:val="00F0672D"/>
    <w:rsid w:val="00F14F7A"/>
    <w:rsid w:val="00F171B5"/>
    <w:rsid w:val="00F21A41"/>
    <w:rsid w:val="00F22110"/>
    <w:rsid w:val="00F233C9"/>
    <w:rsid w:val="00F2479A"/>
    <w:rsid w:val="00F26677"/>
    <w:rsid w:val="00F278B5"/>
    <w:rsid w:val="00F373F4"/>
    <w:rsid w:val="00F40DAC"/>
    <w:rsid w:val="00F45130"/>
    <w:rsid w:val="00F50DB6"/>
    <w:rsid w:val="00F52BDB"/>
    <w:rsid w:val="00F70611"/>
    <w:rsid w:val="00F74B5D"/>
    <w:rsid w:val="00F7655B"/>
    <w:rsid w:val="00F8061B"/>
    <w:rsid w:val="00F8367B"/>
    <w:rsid w:val="00F84905"/>
    <w:rsid w:val="00F95D29"/>
    <w:rsid w:val="00F96238"/>
    <w:rsid w:val="00FA16F2"/>
    <w:rsid w:val="00FA1D3A"/>
    <w:rsid w:val="00FA5DEA"/>
    <w:rsid w:val="00FA5E5E"/>
    <w:rsid w:val="00FA6E83"/>
    <w:rsid w:val="00FB3574"/>
    <w:rsid w:val="00FC5D48"/>
    <w:rsid w:val="00FD0A03"/>
    <w:rsid w:val="00FD19A4"/>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B9F69"/>
  <w14:defaultImageDpi w14:val="32767"/>
  <w15:chartTrackingRefBased/>
  <w15:docId w15:val="{EA946A91-88F0-9342-8DB3-5D6378BD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1E2BA4"/>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9"/>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9"/>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9"/>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9"/>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9"/>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10"/>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39"/>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spacing w:before="120"/>
    </w:pPr>
    <w:rPr>
      <w:rFonts w:eastAsiaTheme="minorHAnsi" w:cstheme="minorHAnsi"/>
      <w:b/>
      <w:bCs/>
      <w:i/>
      <w:iCs/>
      <w:sz w:val="24"/>
      <w:szCs w:val="24"/>
    </w:rPr>
  </w:style>
  <w:style w:type="paragraph" w:styleId="TOC2">
    <w:name w:val="toc 2"/>
    <w:basedOn w:val="LeftParagraph"/>
    <w:next w:val="LeftParagraph"/>
    <w:autoRedefine/>
    <w:uiPriority w:val="39"/>
    <w:rsid w:val="0046241F"/>
    <w:pPr>
      <w:spacing w:before="120"/>
      <w:ind w:left="220"/>
    </w:pPr>
    <w:rPr>
      <w:rFonts w:eastAsiaTheme="minorHAnsi" w:cstheme="minorHAnsi"/>
      <w:b/>
      <w:bCs/>
    </w:rPr>
  </w:style>
  <w:style w:type="paragraph" w:styleId="TOC3">
    <w:name w:val="toc 3"/>
    <w:basedOn w:val="LeftParagraph"/>
    <w:next w:val="LeftParagraph"/>
    <w:autoRedefine/>
    <w:uiPriority w:val="39"/>
    <w:rsid w:val="0046241F"/>
    <w:pPr>
      <w:ind w:left="440"/>
    </w:pPr>
    <w:rPr>
      <w:rFonts w:eastAsiaTheme="minorHAnsi" w:cstheme="minorHAnsi"/>
      <w:sz w:val="20"/>
      <w:szCs w:val="20"/>
    </w:rPr>
  </w:style>
  <w:style w:type="paragraph" w:styleId="TOC4">
    <w:name w:val="toc 4"/>
    <w:basedOn w:val="Normal"/>
    <w:next w:val="Normal"/>
    <w:autoRedefine/>
    <w:uiPriority w:val="39"/>
    <w:semiHidden/>
    <w:rsid w:val="005A2C38"/>
    <w:pPr>
      <w:ind w:left="660"/>
    </w:pPr>
    <w:rPr>
      <w:rFonts w:cstheme="minorHAnsi"/>
      <w:sz w:val="20"/>
      <w:szCs w:val="20"/>
    </w:rPr>
  </w:style>
  <w:style w:type="paragraph" w:styleId="TOC5">
    <w:name w:val="toc 5"/>
    <w:basedOn w:val="Normal"/>
    <w:next w:val="Normal"/>
    <w:autoRedefine/>
    <w:uiPriority w:val="39"/>
    <w:semiHidden/>
    <w:rsid w:val="005A2C38"/>
    <w:pPr>
      <w:ind w:left="880"/>
    </w:pPr>
    <w:rPr>
      <w:rFonts w:cstheme="minorHAnsi"/>
      <w:sz w:val="20"/>
      <w:szCs w:val="20"/>
    </w:rPr>
  </w:style>
  <w:style w:type="paragraph" w:styleId="TOC6">
    <w:name w:val="toc 6"/>
    <w:basedOn w:val="Normal"/>
    <w:next w:val="Normal"/>
    <w:autoRedefine/>
    <w:uiPriority w:val="39"/>
    <w:semiHidden/>
    <w:rsid w:val="005A2C38"/>
    <w:pPr>
      <w:ind w:left="1100"/>
    </w:pPr>
    <w:rPr>
      <w:rFonts w:cstheme="minorHAnsi"/>
      <w:sz w:val="20"/>
      <w:szCs w:val="20"/>
    </w:rPr>
  </w:style>
  <w:style w:type="paragraph" w:styleId="TOC7">
    <w:name w:val="toc 7"/>
    <w:basedOn w:val="Normal"/>
    <w:next w:val="Normal"/>
    <w:autoRedefine/>
    <w:uiPriority w:val="39"/>
    <w:semiHidden/>
    <w:rsid w:val="005A2C38"/>
    <w:pPr>
      <w:ind w:left="1320"/>
    </w:pPr>
    <w:rPr>
      <w:rFonts w:cstheme="minorHAnsi"/>
      <w:sz w:val="20"/>
      <w:szCs w:val="20"/>
    </w:rPr>
  </w:style>
  <w:style w:type="paragraph" w:styleId="TOC8">
    <w:name w:val="toc 8"/>
    <w:basedOn w:val="Normal"/>
    <w:next w:val="Normal"/>
    <w:autoRedefine/>
    <w:uiPriority w:val="39"/>
    <w:semiHidden/>
    <w:rsid w:val="005A2C38"/>
    <w:pPr>
      <w:ind w:left="1540"/>
    </w:pPr>
    <w:rPr>
      <w:rFonts w:cstheme="minorHAnsi"/>
      <w:sz w:val="20"/>
      <w:szCs w:val="20"/>
    </w:rPr>
  </w:style>
  <w:style w:type="paragraph" w:styleId="TOC9">
    <w:name w:val="toc 9"/>
    <w:basedOn w:val="Normal"/>
    <w:next w:val="Normal"/>
    <w:autoRedefine/>
    <w:uiPriority w:val="39"/>
    <w:semiHidden/>
    <w:rsid w:val="005A2C38"/>
    <w:pPr>
      <w:ind w:left="1760"/>
    </w:pPr>
    <w:rPr>
      <w:rFonts w:cstheme="minorHAnsi"/>
      <w:sz w:val="20"/>
      <w:szCs w:val="20"/>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cstheme="minorHAnsi"/>
      <w:b/>
      <w:bCs/>
      <w:i/>
      <w:iCs/>
      <w:sz w:val="24"/>
      <w:szCs w:val="24"/>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91B0A"/>
    <w:pPr>
      <w:spacing w:before="100" w:beforeAutospacing="1" w:after="100" w:afterAutospacing="1"/>
    </w:pPr>
    <w:rPr>
      <w:rFonts w:ascii="Times New Roman" w:eastAsiaTheme="minorEastAsia" w:hAnsi="Times New Roman" w:cs="Times New Roman"/>
      <w:sz w:val="24"/>
      <w:szCs w:val="24"/>
    </w:rPr>
  </w:style>
  <w:style w:type="character" w:styleId="UnresolvedMention">
    <w:name w:val="Unresolved Mention"/>
    <w:basedOn w:val="DefaultParagraphFont"/>
    <w:uiPriority w:val="99"/>
    <w:rsid w:val="003F1C8B"/>
    <w:rPr>
      <w:color w:val="605E5C"/>
      <w:shd w:val="clear" w:color="auto" w:fill="E1DFDD"/>
    </w:rPr>
  </w:style>
  <w:style w:type="character" w:styleId="Strong">
    <w:name w:val="Strong"/>
    <w:basedOn w:val="DefaultParagraphFont"/>
    <w:uiPriority w:val="22"/>
    <w:qFormat/>
    <w:locked/>
    <w:rsid w:val="003F1C8B"/>
    <w:rPr>
      <w:b/>
      <w:bCs/>
    </w:rPr>
  </w:style>
  <w:style w:type="character" w:styleId="FollowedHyperlink">
    <w:name w:val="FollowedHyperlink"/>
    <w:basedOn w:val="DefaultParagraphFont"/>
    <w:uiPriority w:val="99"/>
    <w:semiHidden/>
    <w:unhideWhenUsed/>
    <w:rsid w:val="003F1C8B"/>
    <w:rPr>
      <w:color w:val="427BBD" w:themeColor="followedHyperlink"/>
      <w:u w:val="single"/>
    </w:rPr>
  </w:style>
  <w:style w:type="paragraph" w:styleId="Subtitle">
    <w:name w:val="Subtitle"/>
    <w:basedOn w:val="Normal"/>
    <w:next w:val="Normal"/>
    <w:link w:val="SubtitleChar"/>
    <w:uiPriority w:val="11"/>
    <w:qFormat/>
    <w:locked/>
    <w:rsid w:val="003F1C8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F1C8B"/>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F1C8B"/>
    <w:rPr>
      <w:sz w:val="16"/>
      <w:szCs w:val="16"/>
    </w:rPr>
  </w:style>
  <w:style w:type="paragraph" w:styleId="CommentText">
    <w:name w:val="annotation text"/>
    <w:basedOn w:val="Normal"/>
    <w:link w:val="CommentTextChar"/>
    <w:uiPriority w:val="99"/>
    <w:semiHidden/>
    <w:unhideWhenUsed/>
    <w:rsid w:val="003F1C8B"/>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3F1C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F1C8B"/>
    <w:rPr>
      <w:b/>
      <w:bCs/>
    </w:rPr>
  </w:style>
  <w:style w:type="character" w:customStyle="1" w:styleId="CommentSubjectChar">
    <w:name w:val="Comment Subject Char"/>
    <w:basedOn w:val="CommentTextChar"/>
    <w:link w:val="CommentSubject"/>
    <w:uiPriority w:val="99"/>
    <w:semiHidden/>
    <w:rsid w:val="003F1C8B"/>
    <w:rPr>
      <w:rFonts w:ascii="Arial" w:eastAsia="Arial" w:hAnsi="Arial" w:cs="Arial"/>
      <w:b/>
      <w:bCs/>
      <w:sz w:val="20"/>
      <w:szCs w:val="20"/>
    </w:rPr>
  </w:style>
  <w:style w:type="character" w:styleId="LineNumber">
    <w:name w:val="line number"/>
    <w:basedOn w:val="DefaultParagraphFont"/>
    <w:uiPriority w:val="99"/>
    <w:semiHidden/>
    <w:unhideWhenUsed/>
    <w:rsid w:val="003F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governance/bylaws-en/" TargetMode="External"/><Relationship Id="rId18" Type="http://schemas.openxmlformats.org/officeDocument/2006/relationships/hyperlink" Target="https://community.icann.org/download/attachments/308576318/CSC%20Intro%20for%20IFR2%202024%20.pdf?version=1&amp;modificationDate=1709922654000&amp;api=v2" TargetMode="External"/><Relationship Id="rId26" Type="http://schemas.openxmlformats.org/officeDocument/2006/relationships/hyperlink" Target="https://pti.icann.org/agreements" TargetMode="External"/><Relationship Id="rId39" Type="http://schemas.openxmlformats.org/officeDocument/2006/relationships/hyperlink" Target="https://www.icann.org/resources/pages/governance/bylaws-en" TargetMode="External"/><Relationship Id="rId21" Type="http://schemas.openxmlformats.org/officeDocument/2006/relationships/hyperlink" Target="https://community.icann.org/display/ifr/IFR2+Work+Plan" TargetMode="External"/><Relationship Id="rId34" Type="http://schemas.openxmlformats.org/officeDocument/2006/relationships/hyperlink" Target="https://pti.icann.org/iana-naming-function-services-service-level-agreements" TargetMode="External"/><Relationship Id="rId42" Type="http://schemas.openxmlformats.org/officeDocument/2006/relationships/hyperlink" Target="https://www.iana.org/glossary" TargetMode="External"/><Relationship Id="rId47" Type="http://schemas.openxmlformats.org/officeDocument/2006/relationships/hyperlink" Target="https://whois.icann.org/en/glossary-whois-terms" TargetMode="External"/><Relationship Id="rId50" Type="http://schemas.openxmlformats.org/officeDocument/2006/relationships/hyperlink" Target="https://whois.icann.org/en/glossary-whois-terms"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ownload/attachments/286818566/IANA%20Naming%20Functions%20briefing%20IFR2.pdf?version=1&amp;modificationDate=1707246094000&amp;api=v2" TargetMode="External"/><Relationship Id="rId29" Type="http://schemas.openxmlformats.org/officeDocument/2006/relationships/hyperlink" Target="http://www.iana.org/performance/root-audit" TargetMode="External"/><Relationship Id="rId11" Type="http://schemas.openxmlformats.org/officeDocument/2006/relationships/hyperlink" Target="https://pti.icann.org/iana-naming-function-services-service-level-agreements" TargetMode="External"/><Relationship Id="rId24" Type="http://schemas.openxmlformats.org/officeDocument/2006/relationships/hyperlink" Target="https://community.icann.org/display/ifr/Background+Resources%3A+Quick+Links?preview=/270729302/363921429/IFR1%20Recommendations_%20Status%20.pdf" TargetMode="External"/><Relationship Id="rId32" Type="http://schemas.openxmlformats.org/officeDocument/2006/relationships/hyperlink" Target="https://www.icann.org/resources/pages/governance/bylaws-en" TargetMode="External"/><Relationship Id="rId37" Type="http://schemas.openxmlformats.org/officeDocument/2006/relationships/hyperlink" Target="https://pti.icann.org/agreements" TargetMode="External"/><Relationship Id="rId40" Type="http://schemas.openxmlformats.org/officeDocument/2006/relationships/hyperlink" Target="https://www.icann.org/resources/pages/governance/bylaws-en" TargetMode="External"/><Relationship Id="rId45" Type="http://schemas.openxmlformats.org/officeDocument/2006/relationships/hyperlink" Target="http://www.internic.net/" TargetMode="External"/><Relationship Id="rId53" Type="http://schemas.openxmlformats.org/officeDocument/2006/relationships/hyperlink" Target="https://whois.icann.org/en/glossary-whois-terms" TargetMode="External"/><Relationship Id="rId58"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glossaryDocument" Target="glossary/document.xml"/><Relationship Id="rId19" Type="http://schemas.openxmlformats.org/officeDocument/2006/relationships/hyperlink" Target="https://icann.zoom.us/rec/play/rIeBVG7UdYMqfIo-IqeQjEip3Db79ceNeTVmsIblwUkr0dTCwIsBHW2YdJ6j1wBRUppuR4qosxL9Sin2._vyl0D2f-1IqYjfP?canPlayFromShare=true&amp;from=share_recording_detail&amp;startTime=1709745437000&amp;componentName=rec-play&amp;originRequestUrl=https%3A%2F%2Ficann.zoom.us%2Frec%2Fshare%2F6vJwoqKP435OWNzpnOtUqMb-HnkEgB1iu2h9A96UORSGVKVsq7bYVtA_1hvYBpUd.AE4vtm2OV9xuO0TX%3FstartTime%3D1709745437000" TargetMode="External"/><Relationship Id="rId14" Type="http://schemas.openxmlformats.org/officeDocument/2006/relationships/hyperlink" Target="https://community.icann.org/pages/viewpage.action?pageId=285835552&amp;preview=/285835552/291799433/FINAL-ianaintro-ifr2-Jan%202024%20(1).pdf" TargetMode="External"/><Relationship Id="rId22" Type="http://schemas.openxmlformats.org/officeDocument/2006/relationships/hyperlink" Target="https://www.icann.org/en/announcements/details/ifr2-team-starts-review-of-key-icann-function-28-02-2024-en" TargetMode="External"/><Relationship Id="rId27" Type="http://schemas.openxmlformats.org/officeDocument/2006/relationships/hyperlink" Target="https://sle-dashboard.iana.org/" TargetMode="External"/><Relationship Id="rId30" Type="http://schemas.openxmlformats.org/officeDocument/2006/relationships/hyperlink" Target="https://www.iana.org/performance/csc-reports" TargetMode="External"/><Relationship Id="rId35" Type="http://schemas.openxmlformats.org/officeDocument/2006/relationships/hyperlink" Target="https://www.icann.org/resources/pages/governance/bylaws-en" TargetMode="External"/><Relationship Id="rId43" Type="http://schemas.openxmlformats.org/officeDocument/2006/relationships/hyperlink" Target="https://www.iana.org/glossary" TargetMode="External"/><Relationship Id="rId48" Type="http://schemas.openxmlformats.org/officeDocument/2006/relationships/hyperlink" Target="https://whois.icann.org/en/glossary-whois-terms"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hois.icann.org/en/glossary-whois-terms" TargetMode="External"/><Relationship Id="rId3" Type="http://schemas.openxmlformats.org/officeDocument/2006/relationships/numbering" Target="numbering.xml"/><Relationship Id="rId12" Type="http://schemas.openxmlformats.org/officeDocument/2006/relationships/hyperlink" Target="https://pti.icann.org/iana-naming-function-services-service-level-agreements" TargetMode="External"/><Relationship Id="rId17" Type="http://schemas.openxmlformats.org/officeDocument/2006/relationships/hyperlink" Target="https://icann.zoom.us/rec/play/1JCQOaov9mJIQsZ52YcANV0QuNtgv6i_EHoKce40Qkdb-IWHozfwl3KwFxprws_gMBzubBW8a7mv982-.xUv0HtKCgPiMPuCY" TargetMode="External"/><Relationship Id="rId25" Type="http://schemas.openxmlformats.org/officeDocument/2006/relationships/hyperlink" Target="https://pti.icann.org/agreements" TargetMode="External"/><Relationship Id="rId33" Type="http://schemas.openxmlformats.org/officeDocument/2006/relationships/hyperlink" Target="https://pti.icann.org/agreements" TargetMode="External"/><Relationship Id="rId38" Type="http://schemas.openxmlformats.org/officeDocument/2006/relationships/hyperlink" Target="https://www.icann.org/resources/pages/governance/bylaws-en" TargetMode="External"/><Relationship Id="rId46" Type="http://schemas.openxmlformats.org/officeDocument/2006/relationships/hyperlink" Target="https://whois.icann.org/en/glossary-whois-terms" TargetMode="External"/><Relationship Id="rId59" Type="http://schemas.openxmlformats.org/officeDocument/2006/relationships/header" Target="header4.xml"/><Relationship Id="rId20" Type="http://schemas.openxmlformats.org/officeDocument/2006/relationships/hyperlink" Target="https://community.icann.org/display/ifr/IFR2+Team+Documents?preview=/273454142/303955976/Final%20reading%20-%20IFR2%20Terms%20of%20Reference.pdf" TargetMode="External"/><Relationship Id="rId41" Type="http://schemas.openxmlformats.org/officeDocument/2006/relationships/hyperlink" Target="https://www.icann.org/resources/pages/governance/bylaws-en"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cann.zoom.us/rec/play/6vYNPzf0tAgUCYiO4Qa32rqg7GxbF9iRDiH2J0yYnps6MrItHwqG6VZncRTXAQeWab75sig7KJCMb3hk.65-6rd0TAAFHOnPw" TargetMode="External"/><Relationship Id="rId23" Type="http://schemas.openxmlformats.org/officeDocument/2006/relationships/hyperlink" Target="https://lists.icann.org/hyperkitty/list/ifr2-team@icann.org/latest" TargetMode="External"/><Relationship Id="rId28" Type="http://schemas.openxmlformats.org/officeDocument/2006/relationships/hyperlink" Target="https://www.iana.org/performance/csc-reports" TargetMode="External"/><Relationship Id="rId36" Type="http://schemas.openxmlformats.org/officeDocument/2006/relationships/hyperlink" Target="https://pti.icann.org/iana-naming-function-services-service-level-agreements" TargetMode="External"/><Relationship Id="rId49" Type="http://schemas.openxmlformats.org/officeDocument/2006/relationships/hyperlink" Target="https://whois.icann.org/en/glossary-whois-terms" TargetMode="External"/><Relationship Id="rId57" Type="http://schemas.openxmlformats.org/officeDocument/2006/relationships/header" Target="header3.xml"/><Relationship Id="rId10" Type="http://schemas.openxmlformats.org/officeDocument/2006/relationships/hyperlink" Target="https://pti.icann.org/iana-naming-function-services-service-level-agreements" TargetMode="External"/><Relationship Id="rId31" Type="http://schemas.openxmlformats.org/officeDocument/2006/relationships/hyperlink" Target="https://pti.icann.org/agreements" TargetMode="External"/><Relationship Id="rId44" Type="http://schemas.openxmlformats.org/officeDocument/2006/relationships/hyperlink" Target="https://whois.icann.org/en/glossary-whois-terms" TargetMode="External"/><Relationship Id="rId52" Type="http://schemas.openxmlformats.org/officeDocument/2006/relationships/hyperlink" Target="https://whois.icann.org/en/glossary-whois-terms"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icann81.sched.com/event/1p2IY/second-iana-naming-function-review-ifr2-team-work-session" TargetMode="External"/><Relationship Id="rId3" Type="http://schemas.openxmlformats.org/officeDocument/2006/relationships/hyperlink" Target="https://www.ntia.doc.gov/files/ntia/publications/combined_iana_stewardship_transition_assessment_report.pdf" TargetMode="External"/><Relationship Id="rId7" Type="http://schemas.openxmlformats.org/officeDocument/2006/relationships/hyperlink" Target="https://community.icann.org/display/ifr/IFR2+Team+Documents?preview=/273454142/303955976/Final%20reading%20-%20IFR2%20Terms%20of%20Reference.pdf" TargetMode="External"/><Relationship Id="rId2" Type="http://schemas.openxmlformats.org/officeDocument/2006/relationships/hyperlink" Target="https://urldefense.com/v3/__https:/www.ianacg.org/icg-files/documents/IANA-stewardship-transition-proposal-EN.pdf__;!!PtGJab4!_NnzlqA9eD-k8k5p9Y63n7mXAAP3WRSRa1X9-JAdtVJUZaRqoVEapJTV__jfZU-Cj32hZoplsErbmGz02pfTq2I3-ZdgI79-QUuEn1PLY1o$" TargetMode="External"/><Relationship Id="rId1" Type="http://schemas.openxmlformats.org/officeDocument/2006/relationships/hyperlink" Target="https://www.icann.org/fr/registry-agreements/base-agreement" TargetMode="External"/><Relationship Id="rId6" Type="http://schemas.openxmlformats.org/officeDocument/2006/relationships/hyperlink" Target="https://www.icann.org/en/announcements/details/ifr2-team-starts-review-of-key-icann-function-28-02-2024-en" TargetMode="External"/><Relationship Id="rId11" Type="http://schemas.openxmlformats.org/officeDocument/2006/relationships/hyperlink" Target="https://icann81.sched.com/event/1p2IY/second-iana-naming-function-review-ifr2-team-work-session" TargetMode="External"/><Relationship Id="rId5" Type="http://schemas.openxmlformats.org/officeDocument/2006/relationships/hyperlink" Target="https://community.icann.org/display/ifr/IFR2+Team+Documents?preview=/273454142/303955976/Final%20reading%20-%20IFR2%20Terms%20of%20Reference.pdf" TargetMode="External"/><Relationship Id="rId10" Type="http://schemas.openxmlformats.org/officeDocument/2006/relationships/hyperlink" Target="https://icann81.sched.com/event/1p2IY/second-iana-naming-function-review-ifr2-team-work-session" TargetMode="External"/><Relationship Id="rId4" Type="http://schemas.openxmlformats.org/officeDocument/2006/relationships/hyperlink" Target="https://www.icann.org/en/board-activities-and-meetings/materials/approved-resolutions-regular-meeting-of-the-icann-board-10-09-2023-en" TargetMode="External"/><Relationship Id="rId9" Type="http://schemas.openxmlformats.org/officeDocument/2006/relationships/hyperlink" Target="https://community.icann.org/display/ifr/IFR2+Team+Documents?preview=/273454142/303955976/Final%20reading%20-%20IFR2%20Terms%20of%20Refere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zabethgarber/Downloads/WordTemplateLetterBlueCoverBlueBack%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0817133927A7449E0AE0737D87A158"/>
        <w:category>
          <w:name w:val="General"/>
          <w:gallery w:val="placeholder"/>
        </w:category>
        <w:types>
          <w:type w:val="bbPlcHdr"/>
        </w:types>
        <w:behaviors>
          <w:behavior w:val="content"/>
        </w:behaviors>
        <w:guid w:val="{F61A4B08-69CE-1A4F-BC49-D40A5C34B307}"/>
      </w:docPartPr>
      <w:docPartBody>
        <w:p w:rsidR="00000000" w:rsidRDefault="00000000">
          <w:pPr>
            <w:pStyle w:val="F60817133927A7449E0AE0737D87A158"/>
          </w:pPr>
          <w:r w:rsidRPr="00E75059">
            <w:rPr>
              <w:rStyle w:val="PlaceholderText"/>
            </w:rPr>
            <w:t>[Title]</w:t>
          </w:r>
        </w:p>
      </w:docPartBody>
    </w:docPart>
    <w:docPart>
      <w:docPartPr>
        <w:name w:val="547340EB508EF742B705D8501315E777"/>
        <w:category>
          <w:name w:val="General"/>
          <w:gallery w:val="placeholder"/>
        </w:category>
        <w:types>
          <w:type w:val="bbPlcHdr"/>
        </w:types>
        <w:behaviors>
          <w:behavior w:val="content"/>
        </w:behaviors>
        <w:guid w:val="{128CA3E9-E68F-F143-A0E8-004ADAB51CC5}"/>
      </w:docPartPr>
      <w:docPartBody>
        <w:p w:rsidR="00000000" w:rsidRDefault="00000000">
          <w:pPr>
            <w:pStyle w:val="547340EB508EF742B705D8501315E777"/>
          </w:pPr>
          <w:r w:rsidRPr="00E75059">
            <w:rPr>
              <w:rStyle w:val="PlaceholderText"/>
            </w:rPr>
            <w:t>[Subject]</w:t>
          </w:r>
        </w:p>
      </w:docPartBody>
    </w:docPart>
    <w:docPart>
      <w:docPartPr>
        <w:name w:val="1E6216608AC212419747881D5800F2B4"/>
        <w:category>
          <w:name w:val="General"/>
          <w:gallery w:val="placeholder"/>
        </w:category>
        <w:types>
          <w:type w:val="bbPlcHdr"/>
        </w:types>
        <w:behaviors>
          <w:behavior w:val="content"/>
        </w:behaviors>
        <w:guid w:val="{7B597B07-8E7C-7144-BFC3-707A562F3710}"/>
      </w:docPartPr>
      <w:docPartBody>
        <w:p w:rsidR="00000000" w:rsidRDefault="00000000">
          <w:pPr>
            <w:pStyle w:val="1E6216608AC212419747881D5800F2B4"/>
          </w:pPr>
          <w:r w:rsidRPr="007C7973">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19"/>
    <w:rsid w:val="001D2919"/>
    <w:rsid w:val="00B4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0817133927A7449E0AE0737D87A158">
    <w:name w:val="F60817133927A7449E0AE0737D87A158"/>
  </w:style>
  <w:style w:type="paragraph" w:customStyle="1" w:styleId="547340EB508EF742B705D8501315E777">
    <w:name w:val="547340EB508EF742B705D8501315E777"/>
  </w:style>
  <w:style w:type="paragraph" w:customStyle="1" w:styleId="1E6216608AC212419747881D5800F2B4">
    <w:name w:val="1E6216608AC212419747881D5800F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F19943-06C3-4827-8946-C3766D29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WordTemplateLetterBlueCoverBlueBack[1].dotx</Template>
  <TotalTime>21</TotalTime>
  <Pages>42</Pages>
  <Words>11411</Words>
  <Characters>65046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Insert title here (75 character maximum) Please use ICANN covers</vt:lpstr>
    </vt:vector>
  </TitlesOfParts>
  <Company/>
  <LinksUpToDate>false</LinksUpToDate>
  <CharactersWithSpaces>76305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IANA Naming Function Review</dc:title>
  <dc:subject>DRAFT Report for Public Review</dc:subject>
  <dc:creator>Elizabeth Garber</dc:creator>
  <cp:keywords/>
  <dc:description/>
  <cp:lastModifiedBy>Elizabeth Garber</cp:lastModifiedBy>
  <cp:revision>1</cp:revision>
  <dcterms:created xsi:type="dcterms:W3CDTF">2025-02-25T00:07:00Z</dcterms:created>
  <dcterms:modified xsi:type="dcterms:W3CDTF">2025-02-25T00:29:00Z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