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E7B" w14:textId="6CFB4D91" w:rsidR="007F1CB6" w:rsidRPr="003E5D32" w:rsidRDefault="00641141" w:rsidP="007F1CB6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544F6A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  <w:r w:rsidR="002218C3">
        <w:rPr>
          <w:rFonts w:asciiTheme="minorHAnsi" w:hAnsiTheme="minorHAnsi" w:cstheme="minorHAnsi"/>
          <w:b/>
          <w:bCs/>
          <w:sz w:val="22"/>
          <w:szCs w:val="22"/>
          <w:lang w:val="en-US"/>
        </w:rPr>
        <w:t>4</w:t>
      </w:r>
    </w:p>
    <w:p w14:paraId="7640D1D0" w14:textId="5ACDF093" w:rsidR="00D20A0A" w:rsidRPr="003E5D32" w:rsidRDefault="002218C3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11</w:t>
      </w:r>
      <w:r w:rsidR="00643BE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June</w:t>
      </w:r>
      <w:r w:rsidR="00643BE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64114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2024</w:t>
      </w:r>
      <w:r w:rsidR="003302D8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ICANN80 Kigali and remote | 09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– </w:t>
      </w:r>
      <w:r w:rsidR="004C1FDF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15 CAT (07:00 – 08:15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3E79240D" w14:textId="3ACEDD77" w:rsidR="004A14DC" w:rsidRPr="003E5D32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Pr="003E5D32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0D2032D" w14:textId="77777777" w:rsidR="009019EE" w:rsidRPr="003E5D32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Welcome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</w:t>
      </w:r>
      <w:r w:rsidRPr="003E5D32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 SOI updates</w:t>
      </w:r>
    </w:p>
    <w:p w14:paraId="132067CD" w14:textId="77777777" w:rsidR="00641141" w:rsidRPr="003E5D32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Pr="003E5D32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 w:rsidRPr="003E5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3E5D32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</w:t>
        </w:r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</w:t>
        </w:r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</w:t>
        </w:r>
      </w:hyperlink>
      <w:r w:rsidR="00C816F9" w:rsidRPr="003E5D3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3E5D32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3E5D32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3E5D32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Pr="003E5D32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643BED" w:rsidRPr="003E5D32" w14:paraId="7EFEB941" w14:textId="77777777" w:rsidTr="007A027D">
        <w:tc>
          <w:tcPr>
            <w:tcW w:w="1620" w:type="dxa"/>
            <w:shd w:val="clear" w:color="auto" w:fill="auto"/>
          </w:tcPr>
          <w:p w14:paraId="04DB46A0" w14:textId="7770FEE7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11-01</w:t>
            </w:r>
          </w:p>
        </w:tc>
        <w:tc>
          <w:tcPr>
            <w:tcW w:w="1069" w:type="dxa"/>
          </w:tcPr>
          <w:p w14:paraId="6B311CF2" w14:textId="3E28678C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5630724A" w14:textId="1036E8CB" w:rsidR="00643BED" w:rsidRPr="00643BED" w:rsidRDefault="00643BED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>IFR2 team to put together</w:t>
            </w:r>
            <w:r w:rsidR="002D3137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643BED">
              <w:rPr>
                <w:rFonts w:ascii="Calibri" w:hAnsi="Calibri" w:cs="Calibri"/>
                <w:sz w:val="22"/>
                <w:szCs w:val="22"/>
              </w:rPr>
              <w:t xml:space="preserve"> list of ongoing questions to ask ICANN </w:t>
            </w:r>
            <w:r w:rsidR="00D82C1C">
              <w:rPr>
                <w:rFonts w:ascii="Calibri" w:hAnsi="Calibri" w:cs="Calibri"/>
                <w:sz w:val="22"/>
                <w:szCs w:val="22"/>
              </w:rPr>
              <w:t>L</w:t>
            </w:r>
            <w:r w:rsidRPr="00643BED">
              <w:rPr>
                <w:rFonts w:ascii="Calibri" w:hAnsi="Calibri" w:cs="Calibri"/>
                <w:sz w:val="22"/>
                <w:szCs w:val="22"/>
              </w:rPr>
              <w:t>egal</w:t>
            </w:r>
            <w:r w:rsidR="00D919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1B9D5CD3" w14:textId="75BEC412" w:rsidR="00643BED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Ongoing -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See ‘</w:t>
            </w:r>
            <w:hyperlink r:id="rId9" w:anchor="gid=467621701" w:history="1">
              <w:r w:rsidR="00643BED" w:rsidRPr="00643BE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Questions for Legal</w:t>
              </w:r>
            </w:hyperlink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’ tab in the IFR2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IANA Naming Function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Contract Breakdown workbook.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will also share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questions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with Legal as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they come up, as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appropriate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answer questions via email or during regular meetings if possible. </w:t>
            </w:r>
          </w:p>
        </w:tc>
      </w:tr>
      <w:tr w:rsidR="00641141" w:rsidRPr="003E5D32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3E5D32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3E5D32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3E5D32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the IFR2.</w:t>
            </w:r>
          </w:p>
        </w:tc>
        <w:tc>
          <w:tcPr>
            <w:tcW w:w="3814" w:type="dxa"/>
            <w:shd w:val="clear" w:color="auto" w:fill="auto"/>
          </w:tcPr>
          <w:p w14:paraId="797BB2FF" w14:textId="68D8B3DB" w:rsidR="00567EC1" w:rsidRPr="003E5D32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Ongoing - 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</w:tbl>
    <w:p w14:paraId="057CA8C4" w14:textId="77777777" w:rsidR="00226FA1" w:rsidRPr="00226FA1" w:rsidRDefault="00226FA1" w:rsidP="00226FA1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A08D106" w14:textId="0D576D84" w:rsidR="00CC57A9" w:rsidRPr="00B1271F" w:rsidRDefault="00D82C1C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Pick up discussion of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findings from </w:t>
      </w:r>
      <w:r w:rsidR="00226FA1">
        <w:rPr>
          <w:rFonts w:asciiTheme="minorHAnsi" w:hAnsiTheme="minorHAnsi" w:cstheme="minorHAnsi"/>
          <w:b/>
          <w:sz w:val="22"/>
          <w:szCs w:val="22"/>
          <w:lang w:val="en-US"/>
        </w:rPr>
        <w:t>the reading of the SOW and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D82C1C">
        <w:rPr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IV</w:t>
      </w:r>
      <w:r w:rsidRPr="00D82C1C">
        <w:rPr>
          <w:rFonts w:ascii="Calibri" w:hAnsi="Calibri" w:cs="Calibri"/>
          <w:b/>
          <w:bCs/>
          <w:sz w:val="22"/>
          <w:szCs w:val="22"/>
        </w:rPr>
        <w:t xml:space="preserve">, Sections 4.2 </w:t>
      </w:r>
      <w:r w:rsidR="00226FA1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D82C1C">
        <w:rPr>
          <w:rFonts w:ascii="Calibri" w:hAnsi="Calibri" w:cs="Calibri"/>
          <w:b/>
          <w:bCs/>
          <w:sz w:val="22"/>
          <w:szCs w:val="22"/>
        </w:rPr>
        <w:t>4.</w:t>
      </w:r>
      <w:r w:rsidR="00226FA1">
        <w:rPr>
          <w:rFonts w:ascii="Calibri" w:hAnsi="Calibri" w:cs="Calibri"/>
          <w:b/>
          <w:bCs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:</w:t>
      </w:r>
    </w:p>
    <w:p w14:paraId="038AED83" w14:textId="67D40ACF" w:rsidR="00B1271F" w:rsidRPr="00D82C1C" w:rsidRDefault="00226FA1" w:rsidP="00B127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Pick up from SOW, Annex A, 4 (ii) – row 1</w:t>
      </w:r>
      <w:r w:rsidR="00D9194D">
        <w:rPr>
          <w:rFonts w:asciiTheme="minorHAnsi" w:hAnsiTheme="minorHAnsi" w:cstheme="minorHAnsi"/>
          <w:bCs/>
          <w:sz w:val="22"/>
          <w:szCs w:val="22"/>
          <w:lang w:val="en-US"/>
        </w:rPr>
        <w:t>38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in the </w:t>
      </w:r>
      <w:hyperlink r:id="rId10" w:anchor="gid=1621245865" w:history="1">
        <w:r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workbo</w:t>
        </w:r>
        <w:r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o</w:t>
        </w:r>
        <w:r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k</w:t>
        </w:r>
      </w:hyperlink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</w:p>
    <w:p w14:paraId="5780F7E4" w14:textId="6F59DC6B" w:rsidR="00B1271F" w:rsidRDefault="00B1271F" w:rsidP="0055718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Review comments on Article IV Sections 4.2 </w:t>
      </w:r>
      <w:r w:rsidR="00D9194D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– 4.10 (rows 12 – 27 in the </w:t>
      </w:r>
      <w:hyperlink r:id="rId11" w:anchor="gid=1621245865" w:history="1">
        <w:r w:rsidR="00D9194D" w:rsidRPr="00D9194D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workbook</w:t>
        </w:r>
      </w:hyperlink>
      <w:r w:rsidR="00EB7801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  <w:r w:rsidR="00D9194D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41F578E7" w14:textId="77777777" w:rsidR="003E5D32" w:rsidRPr="003E5D32" w:rsidRDefault="003E5D32" w:rsidP="003E5D32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2DC94238" w14:textId="77777777" w:rsidR="00D5215E" w:rsidRPr="003E5D32" w:rsidRDefault="00E27863" w:rsidP="00D521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67EC1" w:rsidRPr="003E5D32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D5215E" w:rsidRPr="003E5D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</w:p>
    <w:p w14:paraId="00C08D54" w14:textId="6AEF523E" w:rsidR="00D9194D" w:rsidRDefault="00D9194D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 meeting 25 June @ 18:00 UTC.</w:t>
      </w:r>
    </w:p>
    <w:p w14:paraId="7143C7E4" w14:textId="7BA1943B" w:rsidR="00D5215E" w:rsidRPr="00B1271F" w:rsidRDefault="00226FA1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Homework assignment to be agreed</w:t>
      </w:r>
      <w:r w:rsidR="00F412B1">
        <w:rPr>
          <w:rFonts w:asciiTheme="minorHAnsi" w:hAnsiTheme="minorHAnsi" w:cstheme="minorHAnsi"/>
          <w:sz w:val="22"/>
          <w:szCs w:val="22"/>
        </w:rPr>
        <w:t xml:space="preserve"> based on meeting progress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482FE5" w14:textId="77777777" w:rsidR="00557181" w:rsidRPr="00557181" w:rsidRDefault="00557181" w:rsidP="002D31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0BAB550" w14:textId="32F572F7" w:rsidR="00383ECE" w:rsidRPr="003E5D32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3E5D32" w:rsidSect="00AF5FFA">
      <w:headerReference w:type="default" r:id="rId12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A248" w14:textId="77777777" w:rsidR="00C13864" w:rsidRDefault="00C13864">
      <w:r>
        <w:separator/>
      </w:r>
    </w:p>
  </w:endnote>
  <w:endnote w:type="continuationSeparator" w:id="0">
    <w:p w14:paraId="07AF47E1" w14:textId="77777777" w:rsidR="00C13864" w:rsidRDefault="00C1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2F0D" w14:textId="77777777" w:rsidR="00C13864" w:rsidRDefault="00C13864">
      <w:r>
        <w:separator/>
      </w:r>
    </w:p>
  </w:footnote>
  <w:footnote w:type="continuationSeparator" w:id="0">
    <w:p w14:paraId="4AC1A1F2" w14:textId="77777777" w:rsidR="00C13864" w:rsidRDefault="00C1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D65A5"/>
    <w:multiLevelType w:val="hybridMultilevel"/>
    <w:tmpl w:val="570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748"/>
    <w:multiLevelType w:val="hybridMultilevel"/>
    <w:tmpl w:val="09DE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725C4"/>
    <w:multiLevelType w:val="hybridMultilevel"/>
    <w:tmpl w:val="F0FE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205E89"/>
    <w:multiLevelType w:val="hybridMultilevel"/>
    <w:tmpl w:val="F22C1450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768C5BC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46997"/>
    <w:multiLevelType w:val="hybridMultilevel"/>
    <w:tmpl w:val="0EE2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9"/>
  </w:num>
  <w:num w:numId="3" w16cid:durableId="591209026">
    <w:abstractNumId w:val="4"/>
  </w:num>
  <w:num w:numId="4" w16cid:durableId="500050826">
    <w:abstractNumId w:val="33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5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31"/>
  </w:num>
  <w:num w:numId="11" w16cid:durableId="654454075">
    <w:abstractNumId w:val="27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30"/>
  </w:num>
  <w:num w:numId="16" w16cid:durableId="1709716898">
    <w:abstractNumId w:val="28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3"/>
  </w:num>
  <w:num w:numId="20" w16cid:durableId="113910160">
    <w:abstractNumId w:val="12"/>
  </w:num>
  <w:num w:numId="21" w16cid:durableId="542449417">
    <w:abstractNumId w:val="22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6"/>
  </w:num>
  <w:num w:numId="28" w16cid:durableId="1823041421">
    <w:abstractNumId w:val="24"/>
  </w:num>
  <w:num w:numId="29" w16cid:durableId="889266844">
    <w:abstractNumId w:val="34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  <w:num w:numId="33" w16cid:durableId="2085759074">
    <w:abstractNumId w:val="21"/>
  </w:num>
  <w:num w:numId="34" w16cid:durableId="1602251154">
    <w:abstractNumId w:val="19"/>
  </w:num>
  <w:num w:numId="35" w16cid:durableId="659961521">
    <w:abstractNumId w:val="20"/>
  </w:num>
  <w:num w:numId="36" w16cid:durableId="6885272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25D33"/>
    <w:rsid w:val="0005774A"/>
    <w:rsid w:val="000613FA"/>
    <w:rsid w:val="000811EA"/>
    <w:rsid w:val="0008311F"/>
    <w:rsid w:val="000A4C8E"/>
    <w:rsid w:val="000C016D"/>
    <w:rsid w:val="000E7B9F"/>
    <w:rsid w:val="001106D7"/>
    <w:rsid w:val="00110E25"/>
    <w:rsid w:val="00126E4D"/>
    <w:rsid w:val="00130FA4"/>
    <w:rsid w:val="00131BC2"/>
    <w:rsid w:val="00143718"/>
    <w:rsid w:val="0015566B"/>
    <w:rsid w:val="00162394"/>
    <w:rsid w:val="00162C36"/>
    <w:rsid w:val="00165828"/>
    <w:rsid w:val="001B0455"/>
    <w:rsid w:val="001B2645"/>
    <w:rsid w:val="001B61C6"/>
    <w:rsid w:val="001E2871"/>
    <w:rsid w:val="001F14C3"/>
    <w:rsid w:val="001F4A96"/>
    <w:rsid w:val="001F643D"/>
    <w:rsid w:val="002218C3"/>
    <w:rsid w:val="00224EC2"/>
    <w:rsid w:val="00226FA1"/>
    <w:rsid w:val="00231A8D"/>
    <w:rsid w:val="002A637C"/>
    <w:rsid w:val="002A6E8E"/>
    <w:rsid w:val="002A7766"/>
    <w:rsid w:val="002B7E03"/>
    <w:rsid w:val="002C0E5E"/>
    <w:rsid w:val="002C72C3"/>
    <w:rsid w:val="002D2CD3"/>
    <w:rsid w:val="002D3137"/>
    <w:rsid w:val="002E214D"/>
    <w:rsid w:val="002E42BC"/>
    <w:rsid w:val="002E5CC9"/>
    <w:rsid w:val="002F65F0"/>
    <w:rsid w:val="00322A89"/>
    <w:rsid w:val="003302D8"/>
    <w:rsid w:val="00331695"/>
    <w:rsid w:val="00335B1C"/>
    <w:rsid w:val="00341BCE"/>
    <w:rsid w:val="003442BE"/>
    <w:rsid w:val="00361900"/>
    <w:rsid w:val="003827A7"/>
    <w:rsid w:val="00383ECE"/>
    <w:rsid w:val="0039209B"/>
    <w:rsid w:val="003D1F52"/>
    <w:rsid w:val="003E5D3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C1FDF"/>
    <w:rsid w:val="004D579A"/>
    <w:rsid w:val="004D7155"/>
    <w:rsid w:val="004D738A"/>
    <w:rsid w:val="004E2D7F"/>
    <w:rsid w:val="004E5CD1"/>
    <w:rsid w:val="00500498"/>
    <w:rsid w:val="00504F2F"/>
    <w:rsid w:val="00531CE2"/>
    <w:rsid w:val="00536F0D"/>
    <w:rsid w:val="00542C67"/>
    <w:rsid w:val="00542C9B"/>
    <w:rsid w:val="00544F6A"/>
    <w:rsid w:val="00557181"/>
    <w:rsid w:val="005576FD"/>
    <w:rsid w:val="00563B31"/>
    <w:rsid w:val="00567EC1"/>
    <w:rsid w:val="00592E5E"/>
    <w:rsid w:val="00593056"/>
    <w:rsid w:val="005A0BF5"/>
    <w:rsid w:val="005A155E"/>
    <w:rsid w:val="005A6748"/>
    <w:rsid w:val="005C2CCF"/>
    <w:rsid w:val="005C54C3"/>
    <w:rsid w:val="005E28D3"/>
    <w:rsid w:val="005F3742"/>
    <w:rsid w:val="006169A0"/>
    <w:rsid w:val="00641141"/>
    <w:rsid w:val="00643BED"/>
    <w:rsid w:val="00643DAC"/>
    <w:rsid w:val="006544BC"/>
    <w:rsid w:val="006866D1"/>
    <w:rsid w:val="00691BF7"/>
    <w:rsid w:val="006B52F4"/>
    <w:rsid w:val="006B74E0"/>
    <w:rsid w:val="006B7D24"/>
    <w:rsid w:val="006E0B84"/>
    <w:rsid w:val="006F15C3"/>
    <w:rsid w:val="006F2C90"/>
    <w:rsid w:val="00735712"/>
    <w:rsid w:val="00763774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E04C5"/>
    <w:rsid w:val="008E690A"/>
    <w:rsid w:val="009019EE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9D7FE1"/>
    <w:rsid w:val="009E1BC6"/>
    <w:rsid w:val="00A417CD"/>
    <w:rsid w:val="00A517CC"/>
    <w:rsid w:val="00A649C4"/>
    <w:rsid w:val="00A732A3"/>
    <w:rsid w:val="00A83BCD"/>
    <w:rsid w:val="00A9112B"/>
    <w:rsid w:val="00AA1C77"/>
    <w:rsid w:val="00AB2118"/>
    <w:rsid w:val="00AC17C4"/>
    <w:rsid w:val="00AD5C75"/>
    <w:rsid w:val="00AD7898"/>
    <w:rsid w:val="00AE11BC"/>
    <w:rsid w:val="00AF12A9"/>
    <w:rsid w:val="00AF4CB9"/>
    <w:rsid w:val="00AF50C1"/>
    <w:rsid w:val="00AF5FFA"/>
    <w:rsid w:val="00B00C17"/>
    <w:rsid w:val="00B02E93"/>
    <w:rsid w:val="00B034BF"/>
    <w:rsid w:val="00B1271F"/>
    <w:rsid w:val="00B16078"/>
    <w:rsid w:val="00B26BA9"/>
    <w:rsid w:val="00B34A8A"/>
    <w:rsid w:val="00B510F5"/>
    <w:rsid w:val="00B52F79"/>
    <w:rsid w:val="00B52FE8"/>
    <w:rsid w:val="00B53D72"/>
    <w:rsid w:val="00B56663"/>
    <w:rsid w:val="00B62C06"/>
    <w:rsid w:val="00B660E3"/>
    <w:rsid w:val="00B82EE9"/>
    <w:rsid w:val="00B85B72"/>
    <w:rsid w:val="00B9437D"/>
    <w:rsid w:val="00B97876"/>
    <w:rsid w:val="00BB27AB"/>
    <w:rsid w:val="00BB6030"/>
    <w:rsid w:val="00BE0BDA"/>
    <w:rsid w:val="00C0475C"/>
    <w:rsid w:val="00C050E2"/>
    <w:rsid w:val="00C0709A"/>
    <w:rsid w:val="00C13363"/>
    <w:rsid w:val="00C13864"/>
    <w:rsid w:val="00C20E84"/>
    <w:rsid w:val="00C55E8F"/>
    <w:rsid w:val="00C67A99"/>
    <w:rsid w:val="00C72BC3"/>
    <w:rsid w:val="00C74958"/>
    <w:rsid w:val="00C816F9"/>
    <w:rsid w:val="00C862E0"/>
    <w:rsid w:val="00CB4589"/>
    <w:rsid w:val="00CC14C9"/>
    <w:rsid w:val="00CC3AAD"/>
    <w:rsid w:val="00CC57A9"/>
    <w:rsid w:val="00CE0429"/>
    <w:rsid w:val="00CF3FB6"/>
    <w:rsid w:val="00D035D1"/>
    <w:rsid w:val="00D07765"/>
    <w:rsid w:val="00D20A0A"/>
    <w:rsid w:val="00D25397"/>
    <w:rsid w:val="00D5215E"/>
    <w:rsid w:val="00D65858"/>
    <w:rsid w:val="00D7611E"/>
    <w:rsid w:val="00D82C1C"/>
    <w:rsid w:val="00D9194D"/>
    <w:rsid w:val="00D9208E"/>
    <w:rsid w:val="00D92F48"/>
    <w:rsid w:val="00DA0EC8"/>
    <w:rsid w:val="00DD0894"/>
    <w:rsid w:val="00DD2727"/>
    <w:rsid w:val="00DD63FF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B6DCA"/>
    <w:rsid w:val="00EB7801"/>
    <w:rsid w:val="00EC1DE9"/>
    <w:rsid w:val="00ED26FD"/>
    <w:rsid w:val="00F1359C"/>
    <w:rsid w:val="00F25589"/>
    <w:rsid w:val="00F26FEC"/>
    <w:rsid w:val="00F412B1"/>
    <w:rsid w:val="00F54A4C"/>
    <w:rsid w:val="00F5519B"/>
    <w:rsid w:val="00F652EB"/>
    <w:rsid w:val="00F7204B"/>
    <w:rsid w:val="00F76C6F"/>
    <w:rsid w:val="00F81586"/>
    <w:rsid w:val="00FD1F8A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3-bJJ1vdg4NCujHCnRo40T29KnvVIQbwm0u9GaGBbYI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3-bJJ1vdg4NCujHCnRo40T29KnvVIQbwm0u9GaGBbY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3-bJJ1vdg4NCujHCnRo40T29KnvVIQbwm0u9GaGBbYI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5</cp:revision>
  <dcterms:created xsi:type="dcterms:W3CDTF">2024-06-07T07:59:00Z</dcterms:created>
  <dcterms:modified xsi:type="dcterms:W3CDTF">2024-06-07T12:49:00Z</dcterms:modified>
</cp:coreProperties>
</file>