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D1C9" w14:textId="2DAA24C7" w:rsidR="00014241" w:rsidRPr="003E5D32" w:rsidRDefault="00641141" w:rsidP="00014241">
      <w:pPr>
        <w:jc w:val="center"/>
        <w:outlineLvl w:val="0"/>
        <w:rPr>
          <w:rFonts w:asciiTheme="minorHAnsi" w:hAnsiTheme="minorHAnsi" w:cstheme="minorHAnsi"/>
          <w:b/>
          <w:bCs/>
          <w:sz w:val="22"/>
          <w:szCs w:val="22"/>
          <w:lang w:val="en-US"/>
        </w:rPr>
      </w:pPr>
      <w:r w:rsidRPr="003E5D32">
        <w:rPr>
          <w:rFonts w:asciiTheme="minorHAnsi" w:hAnsiTheme="minorHAnsi" w:cstheme="minorHAnsi"/>
          <w:b/>
          <w:bCs/>
          <w:sz w:val="22"/>
          <w:szCs w:val="22"/>
          <w:lang w:val="en-US"/>
        </w:rPr>
        <w:t>Second IANA Naming Function Review</w:t>
      </w:r>
      <w:r w:rsidR="007F1CB6" w:rsidRPr="003E5D32">
        <w:rPr>
          <w:rFonts w:asciiTheme="minorHAnsi" w:hAnsiTheme="minorHAnsi" w:cstheme="minorHAnsi"/>
          <w:b/>
          <w:bCs/>
          <w:sz w:val="22"/>
          <w:szCs w:val="22"/>
        </w:rPr>
        <w:t xml:space="preserve"> (</w:t>
      </w:r>
      <w:r w:rsidRPr="003E5D32">
        <w:rPr>
          <w:rFonts w:asciiTheme="minorHAnsi" w:hAnsiTheme="minorHAnsi" w:cstheme="minorHAnsi"/>
          <w:b/>
          <w:bCs/>
          <w:sz w:val="22"/>
          <w:szCs w:val="22"/>
          <w:lang w:val="en-US"/>
        </w:rPr>
        <w:t>IFR2</w:t>
      </w:r>
      <w:r w:rsidR="007F1CB6" w:rsidRPr="003E5D32">
        <w:rPr>
          <w:rFonts w:asciiTheme="minorHAnsi" w:hAnsiTheme="minorHAnsi" w:cstheme="minorHAnsi"/>
          <w:b/>
          <w:bCs/>
          <w:sz w:val="22"/>
          <w:szCs w:val="22"/>
        </w:rPr>
        <w:t xml:space="preserve">) Meeting </w:t>
      </w:r>
      <w:r w:rsidR="00544F6A" w:rsidRPr="003E5D32">
        <w:rPr>
          <w:rFonts w:asciiTheme="minorHAnsi" w:hAnsiTheme="minorHAnsi" w:cstheme="minorHAnsi"/>
          <w:b/>
          <w:bCs/>
          <w:sz w:val="22"/>
          <w:szCs w:val="22"/>
          <w:lang w:val="en-US"/>
        </w:rPr>
        <w:t>1</w:t>
      </w:r>
      <w:r w:rsidR="00510663">
        <w:rPr>
          <w:rFonts w:asciiTheme="minorHAnsi" w:hAnsiTheme="minorHAnsi" w:cstheme="minorHAnsi"/>
          <w:b/>
          <w:bCs/>
          <w:sz w:val="22"/>
          <w:szCs w:val="22"/>
          <w:lang w:val="en-US"/>
        </w:rPr>
        <w:t>7</w:t>
      </w:r>
    </w:p>
    <w:p w14:paraId="7640D1D0" w14:textId="4D37248D" w:rsidR="00D20A0A" w:rsidRDefault="00510663" w:rsidP="007F1CB6">
      <w:pPr>
        <w:jc w:val="center"/>
        <w:outlineLvl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23</w:t>
      </w:r>
      <w:r w:rsidR="00586FF1">
        <w:rPr>
          <w:rFonts w:asciiTheme="minorHAnsi" w:hAnsiTheme="minorHAnsi" w:cstheme="minorHAnsi"/>
          <w:color w:val="000000" w:themeColor="text1"/>
          <w:sz w:val="22"/>
          <w:szCs w:val="22"/>
          <w:lang w:val="en-US"/>
        </w:rPr>
        <w:t xml:space="preserve"> July</w:t>
      </w:r>
      <w:r w:rsidR="00643BED">
        <w:rPr>
          <w:rFonts w:asciiTheme="minorHAnsi" w:hAnsiTheme="minorHAnsi" w:cstheme="minorHAnsi"/>
          <w:color w:val="000000" w:themeColor="text1"/>
          <w:sz w:val="22"/>
          <w:szCs w:val="22"/>
          <w:lang w:val="en-US"/>
        </w:rPr>
        <w:t xml:space="preserve"> </w:t>
      </w:r>
      <w:r w:rsidR="00641141" w:rsidRPr="003E5D32">
        <w:rPr>
          <w:rFonts w:asciiTheme="minorHAnsi" w:hAnsiTheme="minorHAnsi" w:cstheme="minorHAnsi"/>
          <w:color w:val="000000" w:themeColor="text1"/>
          <w:sz w:val="22"/>
          <w:szCs w:val="22"/>
          <w:lang w:val="en-US"/>
        </w:rPr>
        <w:t>2024</w:t>
      </w:r>
      <w:r w:rsidR="003302D8" w:rsidRPr="003E5D32">
        <w:rPr>
          <w:rFonts w:asciiTheme="minorHAnsi" w:hAnsiTheme="minorHAnsi" w:cstheme="minorHAnsi"/>
          <w:color w:val="000000" w:themeColor="text1"/>
          <w:sz w:val="22"/>
          <w:szCs w:val="22"/>
          <w:lang w:val="en-US"/>
        </w:rPr>
        <w:t xml:space="preserve"> </w:t>
      </w:r>
      <w:r w:rsidR="00AD5C75" w:rsidRPr="003E5D32">
        <w:rPr>
          <w:rFonts w:asciiTheme="minorHAnsi" w:hAnsiTheme="minorHAnsi" w:cstheme="minorHAnsi"/>
          <w:color w:val="000000" w:themeColor="text1"/>
          <w:sz w:val="22"/>
          <w:szCs w:val="22"/>
          <w:lang w:val="en-US"/>
        </w:rPr>
        <w:t xml:space="preserve">| </w:t>
      </w:r>
      <w:r w:rsidR="00014241">
        <w:rPr>
          <w:rFonts w:asciiTheme="minorHAnsi" w:hAnsiTheme="minorHAnsi" w:cstheme="minorHAnsi"/>
          <w:color w:val="000000" w:themeColor="text1"/>
          <w:sz w:val="22"/>
          <w:szCs w:val="22"/>
          <w:lang w:val="en-US"/>
        </w:rPr>
        <w:t>1</w:t>
      </w:r>
      <w:r>
        <w:rPr>
          <w:rFonts w:asciiTheme="minorHAnsi" w:hAnsiTheme="minorHAnsi" w:cstheme="minorHAnsi"/>
          <w:color w:val="000000" w:themeColor="text1"/>
          <w:sz w:val="22"/>
          <w:szCs w:val="22"/>
          <w:lang w:val="en-US"/>
        </w:rPr>
        <w:t>8</w:t>
      </w:r>
      <w:r w:rsidR="00567EC1" w:rsidRPr="003E5D32">
        <w:rPr>
          <w:rFonts w:asciiTheme="minorHAnsi" w:hAnsiTheme="minorHAnsi" w:cstheme="minorHAnsi"/>
          <w:color w:val="000000" w:themeColor="text1"/>
          <w:sz w:val="22"/>
          <w:szCs w:val="22"/>
          <w:lang w:val="en-US"/>
        </w:rPr>
        <w:t>:</w:t>
      </w:r>
      <w:r w:rsidR="007A027D" w:rsidRPr="003E5D32">
        <w:rPr>
          <w:rFonts w:asciiTheme="minorHAnsi" w:hAnsiTheme="minorHAnsi" w:cstheme="minorHAnsi"/>
          <w:color w:val="000000" w:themeColor="text1"/>
          <w:sz w:val="22"/>
          <w:szCs w:val="22"/>
          <w:lang w:val="en-US"/>
        </w:rPr>
        <w:t>00</w:t>
      </w:r>
      <w:r w:rsidR="00567EC1" w:rsidRPr="003E5D32">
        <w:rPr>
          <w:rFonts w:asciiTheme="minorHAnsi" w:hAnsiTheme="minorHAnsi" w:cstheme="minorHAnsi"/>
          <w:color w:val="000000" w:themeColor="text1"/>
          <w:sz w:val="22"/>
          <w:szCs w:val="22"/>
          <w:lang w:val="en-US"/>
        </w:rPr>
        <w:t xml:space="preserve"> </w:t>
      </w:r>
      <w:r w:rsidR="00014241">
        <w:rPr>
          <w:rFonts w:asciiTheme="minorHAnsi" w:hAnsiTheme="minorHAnsi" w:cstheme="minorHAnsi"/>
          <w:color w:val="000000" w:themeColor="text1"/>
          <w:sz w:val="22"/>
          <w:szCs w:val="22"/>
          <w:lang w:val="en-US"/>
        </w:rPr>
        <w:t>UTC</w:t>
      </w:r>
    </w:p>
    <w:p w14:paraId="2F2B0CDD" w14:textId="07156CCD" w:rsidR="00C80E64" w:rsidRPr="00C80E64" w:rsidRDefault="00C80E64" w:rsidP="007F1CB6">
      <w:pPr>
        <w:jc w:val="center"/>
        <w:outlineLvl w:val="0"/>
        <w:rPr>
          <w:rFonts w:asciiTheme="minorHAnsi" w:hAnsiTheme="minorHAnsi" w:cstheme="minorHAnsi"/>
          <w:b/>
          <w:bCs/>
          <w:color w:val="000000" w:themeColor="text1"/>
          <w:sz w:val="22"/>
          <w:szCs w:val="22"/>
          <w:lang w:val="en-US"/>
        </w:rPr>
      </w:pPr>
      <w:r w:rsidRPr="00C80E64">
        <w:rPr>
          <w:rFonts w:asciiTheme="minorHAnsi" w:hAnsiTheme="minorHAnsi" w:cstheme="minorHAnsi"/>
          <w:b/>
          <w:bCs/>
          <w:color w:val="000000" w:themeColor="text1"/>
          <w:sz w:val="22"/>
          <w:szCs w:val="22"/>
          <w:lang w:val="en-US"/>
        </w:rPr>
        <w:t>Meeting Wiki:</w:t>
      </w:r>
    </w:p>
    <w:p w14:paraId="61B457F2" w14:textId="055A398E" w:rsidR="00C80E64" w:rsidRPr="003E5D32" w:rsidRDefault="00000000" w:rsidP="007F1CB6">
      <w:pPr>
        <w:jc w:val="center"/>
        <w:outlineLvl w:val="0"/>
        <w:rPr>
          <w:rFonts w:asciiTheme="minorHAnsi" w:hAnsiTheme="minorHAnsi" w:cstheme="minorHAnsi"/>
          <w:color w:val="000000" w:themeColor="text1"/>
          <w:sz w:val="22"/>
          <w:szCs w:val="22"/>
          <w:lang w:val="en-US"/>
        </w:rPr>
      </w:pPr>
      <w:hyperlink r:id="rId8" w:history="1">
        <w:r w:rsidR="00C80E64" w:rsidRPr="000C6973">
          <w:rPr>
            <w:rStyle w:val="Hyperlink"/>
            <w:rFonts w:asciiTheme="minorHAnsi" w:hAnsiTheme="minorHAnsi" w:cstheme="minorHAnsi"/>
            <w:sz w:val="22"/>
            <w:szCs w:val="22"/>
            <w:lang w:val="en-US"/>
          </w:rPr>
          <w:t>https://community.icann.org/pages/viewpage.action?pageId=344391841</w:t>
        </w:r>
      </w:hyperlink>
      <w:r w:rsidR="00C80E64">
        <w:rPr>
          <w:rFonts w:asciiTheme="minorHAnsi" w:hAnsiTheme="minorHAnsi" w:cstheme="minorHAnsi"/>
          <w:color w:val="000000" w:themeColor="text1"/>
          <w:sz w:val="22"/>
          <w:szCs w:val="22"/>
          <w:lang w:val="en-US"/>
        </w:rPr>
        <w:t xml:space="preserve"> </w:t>
      </w:r>
    </w:p>
    <w:p w14:paraId="3E79240D" w14:textId="3E55E958" w:rsidR="004A14DC" w:rsidRPr="003E5D32" w:rsidRDefault="004A14DC" w:rsidP="0047706E">
      <w:pPr>
        <w:jc w:val="center"/>
        <w:outlineLvl w:val="0"/>
        <w:rPr>
          <w:rFonts w:asciiTheme="minorHAnsi" w:hAnsiTheme="minorHAnsi" w:cstheme="minorHAnsi"/>
          <w:b/>
          <w:bCs/>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6295"/>
        <w:gridCol w:w="3055"/>
      </w:tblGrid>
      <w:tr w:rsidR="00C80E64" w14:paraId="62C7692F" w14:textId="77777777" w:rsidTr="006C0D9B">
        <w:trPr>
          <w:trHeight w:val="1826"/>
        </w:trPr>
        <w:tc>
          <w:tcPr>
            <w:tcW w:w="6295" w:type="dxa"/>
            <w:tcBorders>
              <w:top w:val="single" w:sz="4" w:space="0" w:color="000000"/>
              <w:left w:val="single" w:sz="4" w:space="0" w:color="000000"/>
              <w:bottom w:val="single" w:sz="4" w:space="0" w:color="000000"/>
              <w:right w:val="single" w:sz="4" w:space="0" w:color="000000"/>
            </w:tcBorders>
            <w:shd w:val="clear" w:color="auto" w:fill="EEECE1"/>
            <w:hideMark/>
          </w:tcPr>
          <w:p w14:paraId="48B2653C" w14:textId="77777777" w:rsidR="00C80E64" w:rsidRPr="00DF4A01" w:rsidRDefault="00C80E64" w:rsidP="006C0D9B">
            <w:pPr>
              <w:pStyle w:val="NormalWeb"/>
              <w:spacing w:before="0" w:beforeAutospacing="0" w:after="0" w:afterAutospacing="0"/>
              <w:rPr>
                <w:rFonts w:ascii="Calibri" w:hAnsi="Calibri" w:cs="Calibri"/>
              </w:rPr>
            </w:pPr>
            <w:r w:rsidRPr="00DF4A01">
              <w:rPr>
                <w:rFonts w:ascii="Calibri" w:hAnsi="Calibri" w:cs="Calibri"/>
                <w:b/>
                <w:bCs/>
                <w:color w:val="000000"/>
                <w:sz w:val="22"/>
                <w:szCs w:val="22"/>
              </w:rPr>
              <w:t>Review Team Members and Liaisons:</w:t>
            </w:r>
          </w:p>
          <w:p w14:paraId="7EE294C5" w14:textId="0A63BC25" w:rsidR="00C80E64" w:rsidRPr="00DF4A01" w:rsidRDefault="00C80E64" w:rsidP="006C0D9B">
            <w:pPr>
              <w:spacing w:after="240"/>
              <w:rPr>
                <w:rFonts w:ascii="Calibri" w:hAnsi="Calibri" w:cs="Calibri"/>
                <w:sz w:val="22"/>
                <w:szCs w:val="22"/>
              </w:rPr>
            </w:pPr>
            <w:r>
              <w:rPr>
                <w:rFonts w:ascii="Calibri" w:hAnsi="Calibri" w:cs="Calibri"/>
                <w:sz w:val="22"/>
                <w:szCs w:val="22"/>
              </w:rPr>
              <w:t xml:space="preserve">Alan Barrett, </w:t>
            </w:r>
            <w:r w:rsidRPr="00DF4A01">
              <w:rPr>
                <w:rFonts w:ascii="Calibri" w:hAnsi="Calibri" w:cs="Calibri"/>
                <w:sz w:val="22"/>
                <w:szCs w:val="22"/>
              </w:rPr>
              <w:t xml:space="preserve">Ashley Heineman, </w:t>
            </w:r>
            <w:r>
              <w:rPr>
                <w:rFonts w:ascii="Calibri" w:hAnsi="Calibri" w:cs="Calibri"/>
                <w:sz w:val="22"/>
                <w:szCs w:val="22"/>
              </w:rPr>
              <w:t xml:space="preserve">Brett Carr, </w:t>
            </w:r>
            <w:r w:rsidR="004D6C32">
              <w:rPr>
                <w:rFonts w:ascii="Calibri" w:hAnsi="Calibri" w:cs="Calibri"/>
                <w:sz w:val="22"/>
                <w:szCs w:val="22"/>
              </w:rPr>
              <w:t xml:space="preserve">Carlton Samuels, </w:t>
            </w:r>
            <w:proofErr w:type="spellStart"/>
            <w:r w:rsidR="004D6C32">
              <w:rPr>
                <w:rFonts w:ascii="Calibri" w:hAnsi="Calibri" w:cs="Calibri"/>
                <w:color w:val="000000"/>
                <w:sz w:val="22"/>
                <w:szCs w:val="22"/>
              </w:rPr>
              <w:t>Edowaye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Makanjuola</w:t>
            </w:r>
            <w:proofErr w:type="spellEnd"/>
            <w:r>
              <w:rPr>
                <w:rFonts w:ascii="Calibri" w:hAnsi="Calibri" w:cs="Calibri"/>
                <w:color w:val="000000"/>
                <w:sz w:val="22"/>
                <w:szCs w:val="22"/>
              </w:rPr>
              <w:t xml:space="preserve">, </w:t>
            </w:r>
            <w:r w:rsidR="004D6C32">
              <w:rPr>
                <w:rFonts w:ascii="Calibri" w:hAnsi="Calibri" w:cs="Calibri"/>
                <w:color w:val="000000"/>
                <w:sz w:val="22"/>
                <w:szCs w:val="22"/>
              </w:rPr>
              <w:t>Jonathan Robinson, Kim Davies</w:t>
            </w:r>
            <w:r>
              <w:rPr>
                <w:rFonts w:ascii="Calibri" w:hAnsi="Calibri" w:cs="Calibri"/>
                <w:sz w:val="22"/>
                <w:szCs w:val="22"/>
              </w:rPr>
              <w:t xml:space="preserve">, </w:t>
            </w:r>
            <w:r w:rsidR="004D6C32">
              <w:rPr>
                <w:rFonts w:ascii="Calibri" w:hAnsi="Calibri" w:cs="Calibri"/>
                <w:sz w:val="22"/>
                <w:szCs w:val="22"/>
              </w:rPr>
              <w:t xml:space="preserve">Lars-Johan Liman, Lyman Chapin, </w:t>
            </w:r>
            <w:r>
              <w:rPr>
                <w:rFonts w:ascii="Calibri" w:hAnsi="Calibri" w:cs="Calibri"/>
                <w:sz w:val="22"/>
                <w:szCs w:val="22"/>
              </w:rPr>
              <w:t>Peter Koch, Rick</w:t>
            </w:r>
            <w:r w:rsidRPr="00DF4A01">
              <w:rPr>
                <w:rFonts w:ascii="Calibri" w:hAnsi="Calibri" w:cs="Calibri"/>
                <w:sz w:val="22"/>
                <w:szCs w:val="22"/>
              </w:rPr>
              <w:t xml:space="preserve"> Wilhelm, </w:t>
            </w:r>
            <w:r>
              <w:rPr>
                <w:rFonts w:ascii="Calibri" w:hAnsi="Calibri" w:cs="Calibri"/>
                <w:sz w:val="22"/>
                <w:szCs w:val="22"/>
              </w:rPr>
              <w:t>Sami Ali, Steve Conte</w:t>
            </w:r>
          </w:p>
          <w:p w14:paraId="557251EF" w14:textId="6004BA12" w:rsidR="00C80E64" w:rsidRPr="00DF4A01" w:rsidRDefault="00C80E64" w:rsidP="006C0D9B">
            <w:pPr>
              <w:spacing w:after="240"/>
              <w:rPr>
                <w:rFonts w:ascii="Calibri" w:hAnsi="Calibri" w:cs="Calibri"/>
                <w:color w:val="000000"/>
                <w:sz w:val="22"/>
                <w:szCs w:val="22"/>
              </w:rPr>
            </w:pPr>
            <w:r w:rsidRPr="00DF4A01">
              <w:rPr>
                <w:rFonts w:ascii="Calibri" w:hAnsi="Calibri" w:cs="Calibri"/>
                <w:b/>
                <w:bCs/>
                <w:color w:val="000000"/>
                <w:sz w:val="22"/>
                <w:szCs w:val="22"/>
              </w:rPr>
              <w:t>Apologies:</w:t>
            </w:r>
            <w:r>
              <w:rPr>
                <w:rFonts w:ascii="Calibri" w:hAnsi="Calibri" w:cs="Calibri"/>
                <w:b/>
                <w:bCs/>
                <w:color w:val="000000"/>
                <w:sz w:val="22"/>
                <w:szCs w:val="22"/>
              </w:rPr>
              <w:t xml:space="preserve"> </w:t>
            </w:r>
            <w:r w:rsidR="004D6C32" w:rsidRPr="004D6C32">
              <w:rPr>
                <w:rFonts w:ascii="Calibri" w:hAnsi="Calibri" w:cs="Calibri"/>
                <w:color w:val="000000"/>
                <w:sz w:val="22"/>
                <w:szCs w:val="22"/>
              </w:rPr>
              <w:t>Brenda Brewer</w:t>
            </w:r>
            <w:r w:rsidR="004D6C32">
              <w:rPr>
                <w:rFonts w:ascii="Calibri" w:hAnsi="Calibri" w:cs="Calibri"/>
                <w:color w:val="000000"/>
                <w:sz w:val="22"/>
                <w:szCs w:val="22"/>
              </w:rPr>
              <w:t xml:space="preserve">, </w:t>
            </w:r>
            <w:r w:rsidR="004D6C32" w:rsidRPr="004D6C32">
              <w:rPr>
                <w:rFonts w:ascii="Calibri" w:hAnsi="Calibri" w:cs="Calibri"/>
                <w:color w:val="000000"/>
                <w:sz w:val="22"/>
                <w:szCs w:val="22"/>
              </w:rPr>
              <w:t xml:space="preserve">Rafik </w:t>
            </w:r>
            <w:proofErr w:type="spellStart"/>
            <w:r w:rsidR="004D6C32" w:rsidRPr="004D6C32">
              <w:rPr>
                <w:rFonts w:ascii="Calibri" w:hAnsi="Calibri" w:cs="Calibri"/>
                <w:color w:val="000000"/>
                <w:sz w:val="22"/>
                <w:szCs w:val="22"/>
              </w:rPr>
              <w:t>Dammak</w:t>
            </w:r>
            <w:proofErr w:type="spellEnd"/>
            <w:r w:rsidRPr="00E71AA8">
              <w:rPr>
                <w:rFonts w:ascii="Calibri" w:hAnsi="Calibri" w:cs="Calibri"/>
                <w:color w:val="000000"/>
                <w:sz w:val="22"/>
                <w:szCs w:val="22"/>
              </w:rPr>
              <w:br/>
            </w:r>
          </w:p>
          <w:p w14:paraId="1DBE2E25" w14:textId="77777777" w:rsidR="00C80E64" w:rsidRPr="00DF4A01" w:rsidRDefault="00C80E64" w:rsidP="006C0D9B">
            <w:pPr>
              <w:rPr>
                <w:rFonts w:ascii="Calibri" w:hAnsi="Calibri" w:cs="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EEECE1"/>
            <w:hideMark/>
          </w:tcPr>
          <w:p w14:paraId="23FCFFA2" w14:textId="77777777" w:rsidR="00C80E64" w:rsidRPr="00DF4A01" w:rsidRDefault="00C80E64" w:rsidP="006C0D9B">
            <w:pPr>
              <w:pStyle w:val="NormalWeb"/>
              <w:spacing w:before="0" w:beforeAutospacing="0" w:after="0" w:afterAutospacing="0"/>
              <w:rPr>
                <w:rFonts w:ascii="Calibri" w:hAnsi="Calibri" w:cs="Calibri"/>
              </w:rPr>
            </w:pPr>
            <w:r w:rsidRPr="00DF4A01">
              <w:rPr>
                <w:rFonts w:ascii="Calibri" w:hAnsi="Calibri" w:cs="Calibri"/>
                <w:b/>
                <w:bCs/>
                <w:color w:val="000000"/>
                <w:sz w:val="22"/>
                <w:szCs w:val="22"/>
              </w:rPr>
              <w:t xml:space="preserve"> Observers:</w:t>
            </w:r>
            <w:r>
              <w:rPr>
                <w:rFonts w:ascii="Calibri" w:hAnsi="Calibri" w:cs="Calibri"/>
                <w:sz w:val="22"/>
                <w:szCs w:val="22"/>
              </w:rPr>
              <w:t xml:space="preserve"> N/A</w:t>
            </w:r>
            <w:r w:rsidRPr="00DF4A01">
              <w:rPr>
                <w:rFonts w:ascii="Calibri" w:hAnsi="Calibri" w:cs="Calibri"/>
                <w:b/>
                <w:bCs/>
                <w:color w:val="000000"/>
                <w:sz w:val="22"/>
                <w:szCs w:val="22"/>
              </w:rPr>
              <w:t xml:space="preserve"> </w:t>
            </w:r>
            <w:r w:rsidRPr="00DF4A01">
              <w:rPr>
                <w:rFonts w:ascii="Calibri" w:hAnsi="Calibri" w:cs="Calibri"/>
                <w:b/>
                <w:bCs/>
                <w:color w:val="000000"/>
                <w:sz w:val="22"/>
                <w:szCs w:val="22"/>
              </w:rPr>
              <w:br/>
            </w:r>
          </w:p>
          <w:p w14:paraId="3BE7BA8D" w14:textId="77777777" w:rsidR="00C80E64" w:rsidRPr="00DF4A01" w:rsidRDefault="00C80E64" w:rsidP="006C0D9B">
            <w:pPr>
              <w:pStyle w:val="NormalWeb"/>
              <w:spacing w:before="0" w:beforeAutospacing="0" w:after="0" w:afterAutospacing="0"/>
              <w:rPr>
                <w:rFonts w:ascii="Calibri" w:hAnsi="Calibri" w:cs="Calibri"/>
              </w:rPr>
            </w:pPr>
            <w:r w:rsidRPr="00DF4A01">
              <w:rPr>
                <w:rFonts w:ascii="Calibri" w:hAnsi="Calibri" w:cs="Calibri"/>
                <w:b/>
                <w:bCs/>
                <w:color w:val="000000"/>
                <w:sz w:val="22"/>
                <w:szCs w:val="22"/>
              </w:rPr>
              <w:t>ICANN Org:</w:t>
            </w:r>
          </w:p>
          <w:p w14:paraId="43EC7EC0" w14:textId="288503C6" w:rsidR="00C80E64" w:rsidRPr="00DF4A01" w:rsidRDefault="004D6C32" w:rsidP="006C0D9B">
            <w:pPr>
              <w:pStyle w:val="NormalWeb"/>
              <w:spacing w:before="0" w:beforeAutospacing="0" w:after="0" w:afterAutospacing="0"/>
              <w:rPr>
                <w:rFonts w:ascii="Calibri" w:hAnsi="Calibri" w:cs="Calibri"/>
              </w:rPr>
            </w:pPr>
            <w:r>
              <w:rPr>
                <w:rFonts w:ascii="Calibri" w:hAnsi="Calibri" w:cs="Calibri"/>
                <w:sz w:val="22"/>
                <w:szCs w:val="22"/>
              </w:rPr>
              <w:t xml:space="preserve">Jennifer Bryce, </w:t>
            </w:r>
            <w:r w:rsidR="00C80E64">
              <w:rPr>
                <w:rFonts w:ascii="Calibri" w:hAnsi="Calibri" w:cs="Calibri"/>
                <w:sz w:val="22"/>
                <w:szCs w:val="22"/>
              </w:rPr>
              <w:t xml:space="preserve">Reda </w:t>
            </w:r>
            <w:proofErr w:type="spellStart"/>
            <w:r w:rsidR="00C80E64">
              <w:rPr>
                <w:rFonts w:ascii="Calibri" w:hAnsi="Calibri" w:cs="Calibri"/>
                <w:sz w:val="22"/>
                <w:szCs w:val="22"/>
              </w:rPr>
              <w:t>Josifi</w:t>
            </w:r>
            <w:proofErr w:type="spellEnd"/>
            <w:r>
              <w:rPr>
                <w:rFonts w:ascii="Calibri" w:hAnsi="Calibri" w:cs="Calibri"/>
                <w:sz w:val="22"/>
                <w:szCs w:val="22"/>
              </w:rPr>
              <w:t>, Sam Eisner</w:t>
            </w:r>
          </w:p>
        </w:tc>
      </w:tr>
    </w:tbl>
    <w:p w14:paraId="171B1D53" w14:textId="53200D67" w:rsidR="00C80E64" w:rsidRDefault="00C80E64" w:rsidP="00C80E64">
      <w:pPr>
        <w:spacing w:before="100" w:beforeAutospacing="1" w:after="100" w:afterAutospacing="1"/>
        <w:rPr>
          <w:rFonts w:ascii="Calibri" w:hAnsi="Calibri" w:cs="Calibri"/>
          <w:sz w:val="22"/>
          <w:szCs w:val="22"/>
        </w:rPr>
      </w:pPr>
      <w:r w:rsidRPr="00DF4A01">
        <w:rPr>
          <w:rFonts w:ascii="Calibri" w:hAnsi="Calibri" w:cs="Calibri"/>
          <w:sz w:val="22"/>
          <w:szCs w:val="22"/>
        </w:rPr>
        <w:t xml:space="preserve">These high-level notes are designed to help people to navigate through the content of the call. They are not meant to be a substitute for the meeting recording, which can be accessed directly via this </w:t>
      </w:r>
      <w:hyperlink r:id="rId9" w:history="1">
        <w:r w:rsidRPr="00C80E64">
          <w:rPr>
            <w:rStyle w:val="Hyperlink"/>
            <w:rFonts w:ascii="Calibri" w:hAnsi="Calibri" w:cs="Calibri"/>
            <w:sz w:val="22"/>
            <w:szCs w:val="22"/>
          </w:rPr>
          <w:t>link</w:t>
        </w:r>
      </w:hyperlink>
      <w:r w:rsidRPr="00C80E64">
        <w:rPr>
          <w:rFonts w:ascii="Calibri" w:hAnsi="Calibri" w:cs="Calibri"/>
          <w:sz w:val="22"/>
          <w:szCs w:val="22"/>
        </w:rPr>
        <w:t xml:space="preserve">, </w:t>
      </w:r>
      <w:r w:rsidRPr="00DF4A01">
        <w:rPr>
          <w:rFonts w:ascii="Calibri" w:hAnsi="Calibri" w:cs="Calibri"/>
          <w:sz w:val="22"/>
          <w:szCs w:val="22"/>
        </w:rPr>
        <w:t xml:space="preserve">or on the wiki page linked above. </w:t>
      </w:r>
    </w:p>
    <w:p w14:paraId="0640A630" w14:textId="77777777" w:rsidR="00C80E64" w:rsidRDefault="00C80E64" w:rsidP="00C80E64">
      <w:pPr>
        <w:spacing w:before="100" w:beforeAutospacing="1" w:after="100" w:afterAutospacing="1"/>
        <w:rPr>
          <w:rFonts w:ascii="Calibri" w:hAnsi="Calibri" w:cs="Calibri"/>
          <w:b/>
          <w:bCs/>
          <w:sz w:val="22"/>
          <w:szCs w:val="22"/>
        </w:rPr>
      </w:pPr>
      <w:r>
        <w:rPr>
          <w:rFonts w:ascii="Calibri" w:hAnsi="Calibri" w:cs="Calibri"/>
          <w:b/>
          <w:bCs/>
          <w:sz w:val="22"/>
          <w:szCs w:val="22"/>
        </w:rPr>
        <w:t xml:space="preserve">Newly Added </w:t>
      </w:r>
      <w:r w:rsidRPr="001220FE">
        <w:rPr>
          <w:rFonts w:ascii="Calibri" w:hAnsi="Calibri" w:cs="Calibri"/>
          <w:b/>
          <w:bCs/>
          <w:sz w:val="22"/>
          <w:szCs w:val="22"/>
        </w:rPr>
        <w:t>Action Item</w:t>
      </w:r>
      <w:r>
        <w:rPr>
          <w:rFonts w:ascii="Calibri" w:hAnsi="Calibri" w:cs="Calibri"/>
          <w:b/>
          <w:bCs/>
          <w:sz w:val="22"/>
          <w:szCs w:val="22"/>
        </w:rPr>
        <w:t>(</w:t>
      </w:r>
      <w:r w:rsidRPr="001220FE">
        <w:rPr>
          <w:rFonts w:ascii="Calibri" w:hAnsi="Calibri" w:cs="Calibri"/>
          <w:b/>
          <w:bCs/>
          <w:sz w:val="22"/>
          <w:szCs w:val="22"/>
        </w:rPr>
        <w:t>s</w:t>
      </w:r>
      <w:r>
        <w:rPr>
          <w:rFonts w:ascii="Calibri" w:hAnsi="Calibri" w:cs="Calibri"/>
          <w:b/>
          <w:bCs/>
          <w:sz w:val="22"/>
          <w:szCs w:val="22"/>
        </w:rPr>
        <w:t>)</w:t>
      </w:r>
      <w:r w:rsidRPr="001220FE">
        <w:rPr>
          <w:rFonts w:ascii="Calibri" w:hAnsi="Calibri" w:cs="Calibri"/>
          <w:b/>
          <w:bCs/>
          <w:sz w:val="22"/>
          <w:szCs w:val="22"/>
        </w:rPr>
        <w:t>:</w:t>
      </w:r>
    </w:p>
    <w:p w14:paraId="79343947" w14:textId="77777777" w:rsidR="00C80E64" w:rsidRPr="0066071A" w:rsidRDefault="00C80E64" w:rsidP="00C80E64">
      <w:pPr>
        <w:pStyle w:val="ListParagraph"/>
        <w:numPr>
          <w:ilvl w:val="0"/>
          <w:numId w:val="36"/>
        </w:numPr>
        <w:spacing w:before="100" w:beforeAutospacing="1" w:after="100" w:afterAutospacing="1"/>
        <w:rPr>
          <w:rFonts w:ascii="Calibri" w:hAnsi="Calibri" w:cs="Calibri"/>
          <w:color w:val="000000"/>
          <w:sz w:val="22"/>
          <w:szCs w:val="22"/>
        </w:rPr>
      </w:pPr>
      <w:r w:rsidRPr="00A3468C">
        <w:rPr>
          <w:rFonts w:ascii="Calibri" w:eastAsia="Times New Roman" w:hAnsi="Calibri" w:cs="Calibri"/>
          <w:sz w:val="22"/>
          <w:szCs w:val="22"/>
          <w:lang w:val="en-US" w:eastAsia="en-US"/>
        </w:rPr>
        <w:t>ICANN support team to share homework assignment with the review team via email.</w:t>
      </w:r>
    </w:p>
    <w:p w14:paraId="40D2032D" w14:textId="77777777" w:rsidR="009019EE" w:rsidRPr="003E5D32" w:rsidRDefault="004A14DC" w:rsidP="007F1CB6">
      <w:pPr>
        <w:pStyle w:val="ListParagraph"/>
        <w:numPr>
          <w:ilvl w:val="0"/>
          <w:numId w:val="15"/>
        </w:numPr>
        <w:rPr>
          <w:rFonts w:asciiTheme="minorHAnsi" w:hAnsiTheme="minorHAnsi" w:cstheme="minorHAnsi"/>
          <w:b/>
          <w:sz w:val="22"/>
          <w:szCs w:val="22"/>
        </w:rPr>
      </w:pPr>
      <w:r w:rsidRPr="003E5D32">
        <w:rPr>
          <w:rFonts w:asciiTheme="minorHAnsi" w:hAnsiTheme="minorHAnsi" w:cstheme="minorHAnsi"/>
          <w:b/>
          <w:sz w:val="22"/>
          <w:szCs w:val="22"/>
        </w:rPr>
        <w:t>Welcome</w:t>
      </w:r>
      <w:r w:rsidR="00641141" w:rsidRPr="003E5D32">
        <w:rPr>
          <w:rFonts w:asciiTheme="minorHAnsi" w:hAnsiTheme="minorHAnsi" w:cstheme="minorHAnsi"/>
          <w:b/>
          <w:sz w:val="22"/>
          <w:szCs w:val="22"/>
        </w:rPr>
        <w:t>,</w:t>
      </w:r>
      <w:r w:rsidRPr="003E5D32">
        <w:rPr>
          <w:rFonts w:asciiTheme="minorHAnsi" w:hAnsiTheme="minorHAnsi" w:cstheme="minorHAnsi"/>
          <w:b/>
          <w:sz w:val="22"/>
          <w:szCs w:val="22"/>
        </w:rPr>
        <w:t xml:space="preserve"> Roll Call</w:t>
      </w:r>
      <w:r w:rsidR="00641141" w:rsidRPr="003E5D32">
        <w:rPr>
          <w:rFonts w:asciiTheme="minorHAnsi" w:hAnsiTheme="minorHAnsi" w:cstheme="minorHAnsi"/>
          <w:b/>
          <w:sz w:val="22"/>
          <w:szCs w:val="22"/>
        </w:rPr>
        <w:t>, SOI updates</w:t>
      </w:r>
    </w:p>
    <w:p w14:paraId="132067CD" w14:textId="77777777" w:rsidR="00641141" w:rsidRPr="003E5D32" w:rsidRDefault="00641141" w:rsidP="003F52F8">
      <w:pPr>
        <w:rPr>
          <w:rFonts w:asciiTheme="minorHAnsi" w:hAnsiTheme="minorHAnsi" w:cstheme="minorHAnsi"/>
          <w:b/>
          <w:sz w:val="22"/>
          <w:szCs w:val="22"/>
        </w:rPr>
      </w:pPr>
    </w:p>
    <w:p w14:paraId="09599C28" w14:textId="62DA6C90" w:rsidR="007F1CB6" w:rsidRPr="003E5D32" w:rsidRDefault="007F1CB6" w:rsidP="007F1CB6">
      <w:pPr>
        <w:pStyle w:val="ListParagraph"/>
        <w:numPr>
          <w:ilvl w:val="0"/>
          <w:numId w:val="15"/>
        </w:numPr>
        <w:rPr>
          <w:rFonts w:asciiTheme="minorHAnsi" w:hAnsiTheme="minorHAnsi" w:cstheme="minorHAnsi"/>
          <w:b/>
          <w:sz w:val="22"/>
          <w:szCs w:val="22"/>
        </w:rPr>
      </w:pPr>
      <w:r w:rsidRPr="003E5D32">
        <w:rPr>
          <w:rFonts w:asciiTheme="minorHAnsi" w:hAnsiTheme="minorHAnsi" w:cstheme="minorHAnsi"/>
          <w:b/>
          <w:sz w:val="22"/>
          <w:szCs w:val="22"/>
        </w:rPr>
        <w:t>Action Items</w:t>
      </w:r>
      <w:r w:rsidR="00C816F9" w:rsidRPr="003E5D32">
        <w:rPr>
          <w:rFonts w:asciiTheme="minorHAnsi" w:hAnsiTheme="minorHAnsi" w:cstheme="minorHAnsi"/>
          <w:b/>
          <w:sz w:val="22"/>
          <w:szCs w:val="22"/>
        </w:rPr>
        <w:t xml:space="preserve"> </w:t>
      </w:r>
      <w:r w:rsidR="00C816F9" w:rsidRPr="003E5D32">
        <w:rPr>
          <w:rFonts w:asciiTheme="minorHAnsi" w:hAnsiTheme="minorHAnsi" w:cstheme="minorHAnsi"/>
          <w:bCs/>
          <w:sz w:val="22"/>
          <w:szCs w:val="22"/>
        </w:rPr>
        <w:t xml:space="preserve">(all action items tracked in the Google sheet linked </w:t>
      </w:r>
      <w:hyperlink r:id="rId10" w:history="1">
        <w:r w:rsidR="00C816F9" w:rsidRPr="003E5D32">
          <w:rPr>
            <w:rStyle w:val="Hyperlink"/>
            <w:rFonts w:asciiTheme="minorHAnsi" w:hAnsiTheme="minorHAnsi" w:cstheme="minorHAnsi"/>
            <w:bCs/>
            <w:sz w:val="22"/>
            <w:szCs w:val="22"/>
          </w:rPr>
          <w:t>here</w:t>
        </w:r>
      </w:hyperlink>
      <w:r w:rsidR="00C816F9" w:rsidRPr="003E5D32">
        <w:rPr>
          <w:rFonts w:asciiTheme="minorHAnsi" w:hAnsiTheme="minorHAnsi" w:cstheme="minorHAnsi"/>
          <w:bCs/>
          <w:sz w:val="22"/>
          <w:szCs w:val="22"/>
        </w:rPr>
        <w:t>)</w:t>
      </w:r>
    </w:p>
    <w:p w14:paraId="382F191A" w14:textId="77777777" w:rsidR="00641141" w:rsidRPr="003E5D32" w:rsidRDefault="00641141" w:rsidP="00641141">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20"/>
        <w:gridCol w:w="1069"/>
        <w:gridCol w:w="2847"/>
        <w:gridCol w:w="3814"/>
      </w:tblGrid>
      <w:tr w:rsidR="00641141" w:rsidRPr="003E5D32" w14:paraId="0B302384" w14:textId="77777777" w:rsidTr="007A027D">
        <w:tc>
          <w:tcPr>
            <w:tcW w:w="1620" w:type="dxa"/>
            <w:shd w:val="clear" w:color="auto" w:fill="auto"/>
          </w:tcPr>
          <w:p w14:paraId="623D6120" w14:textId="75E033DF" w:rsidR="00641141" w:rsidRPr="003E5D32" w:rsidRDefault="00641141" w:rsidP="008755E8">
            <w:pPr>
              <w:rPr>
                <w:rFonts w:asciiTheme="minorHAnsi" w:hAnsiTheme="minorHAnsi" w:cstheme="minorHAnsi"/>
                <w:b/>
                <w:sz w:val="22"/>
                <w:szCs w:val="22"/>
              </w:rPr>
            </w:pPr>
            <w:r w:rsidRPr="003E5D32">
              <w:rPr>
                <w:rFonts w:asciiTheme="minorHAnsi" w:hAnsiTheme="minorHAnsi" w:cstheme="minorHAnsi"/>
                <w:b/>
                <w:sz w:val="22"/>
                <w:szCs w:val="22"/>
              </w:rPr>
              <w:t xml:space="preserve">Reference </w:t>
            </w:r>
          </w:p>
        </w:tc>
        <w:tc>
          <w:tcPr>
            <w:tcW w:w="1069" w:type="dxa"/>
          </w:tcPr>
          <w:p w14:paraId="718ECAD4" w14:textId="606BC4F5" w:rsidR="00641141" w:rsidRPr="003E5D32" w:rsidRDefault="00641141" w:rsidP="00A83BCD">
            <w:pPr>
              <w:pStyle w:val="NoSpacing"/>
              <w:rPr>
                <w:rFonts w:asciiTheme="minorHAnsi" w:hAnsiTheme="minorHAnsi" w:cstheme="minorHAnsi"/>
                <w:b/>
                <w:sz w:val="22"/>
                <w:szCs w:val="22"/>
              </w:rPr>
            </w:pPr>
            <w:r w:rsidRPr="003E5D32">
              <w:rPr>
                <w:rFonts w:asciiTheme="minorHAnsi" w:hAnsiTheme="minorHAnsi" w:cstheme="minorHAnsi"/>
                <w:b/>
                <w:sz w:val="22"/>
                <w:szCs w:val="22"/>
              </w:rPr>
              <w:t xml:space="preserve">Date </w:t>
            </w:r>
          </w:p>
        </w:tc>
        <w:tc>
          <w:tcPr>
            <w:tcW w:w="2847" w:type="dxa"/>
            <w:shd w:val="clear" w:color="auto" w:fill="auto"/>
          </w:tcPr>
          <w:p w14:paraId="67C3E66F" w14:textId="09A2294F" w:rsidR="00641141" w:rsidRPr="003E5D32" w:rsidRDefault="00641141" w:rsidP="00A83BCD">
            <w:pPr>
              <w:pStyle w:val="NoSpacing"/>
              <w:rPr>
                <w:rFonts w:asciiTheme="minorHAnsi" w:hAnsiTheme="minorHAnsi" w:cstheme="minorHAnsi"/>
                <w:b/>
                <w:bCs/>
                <w:sz w:val="22"/>
                <w:szCs w:val="22"/>
              </w:rPr>
            </w:pPr>
            <w:r w:rsidRPr="003E5D32">
              <w:rPr>
                <w:rFonts w:asciiTheme="minorHAnsi" w:hAnsiTheme="minorHAnsi" w:cstheme="minorHAnsi"/>
                <w:b/>
                <w:bCs/>
                <w:sz w:val="22"/>
                <w:szCs w:val="22"/>
              </w:rPr>
              <w:t xml:space="preserve">Action item </w:t>
            </w:r>
          </w:p>
        </w:tc>
        <w:tc>
          <w:tcPr>
            <w:tcW w:w="3814" w:type="dxa"/>
            <w:shd w:val="clear" w:color="auto" w:fill="auto"/>
          </w:tcPr>
          <w:p w14:paraId="616C1A0C" w14:textId="1D60CD19" w:rsidR="00641141" w:rsidRPr="003E5D32" w:rsidRDefault="00641141" w:rsidP="00CD3D01">
            <w:pPr>
              <w:pStyle w:val="ListParagraph"/>
              <w:ind w:left="0"/>
              <w:rPr>
                <w:rFonts w:asciiTheme="minorHAnsi" w:hAnsiTheme="minorHAnsi" w:cstheme="minorHAnsi"/>
                <w:b/>
                <w:sz w:val="22"/>
                <w:szCs w:val="22"/>
              </w:rPr>
            </w:pPr>
            <w:r w:rsidRPr="003E5D32">
              <w:rPr>
                <w:rFonts w:asciiTheme="minorHAnsi" w:hAnsiTheme="minorHAnsi" w:cstheme="minorHAnsi"/>
                <w:b/>
                <w:sz w:val="22"/>
                <w:szCs w:val="22"/>
              </w:rPr>
              <w:t xml:space="preserve">Status </w:t>
            </w:r>
          </w:p>
        </w:tc>
      </w:tr>
      <w:tr w:rsidR="00510663" w:rsidRPr="003E5D32" w14:paraId="2B457B4E" w14:textId="77777777" w:rsidTr="007A027D">
        <w:tc>
          <w:tcPr>
            <w:tcW w:w="1620" w:type="dxa"/>
            <w:shd w:val="clear" w:color="auto" w:fill="auto"/>
          </w:tcPr>
          <w:p w14:paraId="69C891ED" w14:textId="0E7D369D" w:rsidR="00510663" w:rsidRDefault="00510663" w:rsidP="008755E8">
            <w:pPr>
              <w:rPr>
                <w:rFonts w:asciiTheme="minorHAnsi" w:hAnsiTheme="minorHAnsi" w:cstheme="minorHAnsi"/>
                <w:sz w:val="22"/>
                <w:szCs w:val="22"/>
              </w:rPr>
            </w:pPr>
            <w:r>
              <w:rPr>
                <w:rFonts w:asciiTheme="minorHAnsi" w:hAnsiTheme="minorHAnsi" w:cstheme="minorHAnsi"/>
                <w:sz w:val="22"/>
                <w:szCs w:val="22"/>
              </w:rPr>
              <w:t>16-02</w:t>
            </w:r>
          </w:p>
        </w:tc>
        <w:tc>
          <w:tcPr>
            <w:tcW w:w="1069" w:type="dxa"/>
          </w:tcPr>
          <w:p w14:paraId="4E932BD4" w14:textId="06CD0792" w:rsidR="00510663" w:rsidRDefault="00510663" w:rsidP="00B660E3">
            <w:pPr>
              <w:pStyle w:val="NoSpacing"/>
              <w:rPr>
                <w:rFonts w:asciiTheme="minorHAnsi" w:hAnsiTheme="minorHAnsi" w:cstheme="minorHAnsi"/>
                <w:sz w:val="22"/>
                <w:szCs w:val="22"/>
              </w:rPr>
            </w:pPr>
            <w:r>
              <w:rPr>
                <w:rFonts w:asciiTheme="minorHAnsi" w:hAnsiTheme="minorHAnsi" w:cstheme="minorHAnsi"/>
                <w:sz w:val="22"/>
                <w:szCs w:val="22"/>
              </w:rPr>
              <w:t>9 July 2024</w:t>
            </w:r>
          </w:p>
        </w:tc>
        <w:tc>
          <w:tcPr>
            <w:tcW w:w="2847" w:type="dxa"/>
            <w:shd w:val="clear" w:color="auto" w:fill="auto"/>
          </w:tcPr>
          <w:p w14:paraId="7F055215" w14:textId="22C68984" w:rsidR="00510663" w:rsidRPr="00643BED" w:rsidRDefault="00510663" w:rsidP="004C1FDF">
            <w:pPr>
              <w:rPr>
                <w:rFonts w:ascii="Calibri" w:hAnsi="Calibri" w:cs="Calibri"/>
                <w:sz w:val="22"/>
                <w:szCs w:val="22"/>
              </w:rPr>
            </w:pPr>
            <w:r w:rsidRPr="00510663">
              <w:rPr>
                <w:rFonts w:ascii="Calibri" w:hAnsi="Calibri" w:cs="Calibri"/>
                <w:sz w:val="22"/>
                <w:szCs w:val="22"/>
              </w:rPr>
              <w:t>I</w:t>
            </w:r>
            <w:r>
              <w:rPr>
                <w:rFonts w:ascii="Calibri" w:hAnsi="Calibri" w:cs="Calibri"/>
                <w:sz w:val="22"/>
                <w:szCs w:val="22"/>
              </w:rPr>
              <w:t>FR2</w:t>
            </w:r>
            <w:r w:rsidRPr="00510663">
              <w:rPr>
                <w:rFonts w:ascii="Calibri" w:hAnsi="Calibri" w:cs="Calibri"/>
                <w:sz w:val="22"/>
                <w:szCs w:val="22"/>
              </w:rPr>
              <w:t xml:space="preserve"> support team to reach out to PTI/Marilia, CSC</w:t>
            </w:r>
            <w:r>
              <w:rPr>
                <w:rFonts w:ascii="Calibri" w:hAnsi="Calibri" w:cs="Calibri"/>
                <w:sz w:val="22"/>
                <w:szCs w:val="22"/>
              </w:rPr>
              <w:t>,</w:t>
            </w:r>
            <w:r w:rsidRPr="00510663">
              <w:rPr>
                <w:rFonts w:ascii="Calibri" w:hAnsi="Calibri" w:cs="Calibri"/>
                <w:sz w:val="22"/>
                <w:szCs w:val="22"/>
              </w:rPr>
              <w:t xml:space="preserve"> and ICANN </w:t>
            </w:r>
            <w:r>
              <w:rPr>
                <w:rFonts w:ascii="Calibri" w:hAnsi="Calibri" w:cs="Calibri"/>
                <w:sz w:val="22"/>
                <w:szCs w:val="22"/>
              </w:rPr>
              <w:t>L</w:t>
            </w:r>
            <w:r w:rsidRPr="00510663">
              <w:rPr>
                <w:rFonts w:ascii="Calibri" w:hAnsi="Calibri" w:cs="Calibri"/>
                <w:sz w:val="22"/>
                <w:szCs w:val="22"/>
              </w:rPr>
              <w:t>egal for clarifications on questions that came up during today's meeting.</w:t>
            </w:r>
          </w:p>
        </w:tc>
        <w:tc>
          <w:tcPr>
            <w:tcW w:w="3814" w:type="dxa"/>
            <w:shd w:val="clear" w:color="auto" w:fill="auto"/>
          </w:tcPr>
          <w:p w14:paraId="178D4CFF" w14:textId="2A96EB52" w:rsidR="00510663" w:rsidRDefault="00510663" w:rsidP="006F2C90">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Ongoin</w:t>
            </w:r>
            <w:r w:rsidR="008A028A">
              <w:rPr>
                <w:rFonts w:asciiTheme="minorHAnsi" w:hAnsiTheme="minorHAnsi" w:cstheme="minorHAnsi"/>
                <w:sz w:val="22"/>
                <w:szCs w:val="22"/>
              </w:rPr>
              <w:t>g</w:t>
            </w:r>
            <w:r>
              <w:rPr>
                <w:rFonts w:asciiTheme="minorHAnsi" w:hAnsiTheme="minorHAnsi" w:cstheme="minorHAnsi"/>
                <w:sz w:val="22"/>
                <w:szCs w:val="22"/>
              </w:rPr>
              <w:t xml:space="preserve"> </w:t>
            </w:r>
          </w:p>
          <w:p w14:paraId="2ABC5487" w14:textId="2809F6F2" w:rsidR="00510663" w:rsidRDefault="00510663" w:rsidP="006F2C90">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 xml:space="preserve">Questions for PTI and ICANN Legal </w:t>
            </w:r>
            <w:r w:rsidR="00B55724">
              <w:rPr>
                <w:rFonts w:asciiTheme="minorHAnsi" w:hAnsiTheme="minorHAnsi" w:cstheme="minorHAnsi"/>
                <w:sz w:val="22"/>
                <w:szCs w:val="22"/>
              </w:rPr>
              <w:t>are scheduled on the agenda for the meeting today.</w:t>
            </w:r>
            <w:r>
              <w:rPr>
                <w:rFonts w:asciiTheme="minorHAnsi" w:hAnsiTheme="minorHAnsi" w:cstheme="minorHAnsi"/>
                <w:sz w:val="22"/>
                <w:szCs w:val="22"/>
              </w:rPr>
              <w:t xml:space="preserve"> </w:t>
            </w:r>
          </w:p>
          <w:p w14:paraId="0A2AE951" w14:textId="511D63F6" w:rsidR="00510663" w:rsidRDefault="00510663" w:rsidP="006F2C90">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 xml:space="preserve">Questions for CSC are in the “Questions for the CSC” tab of the workbook – collating for a future discussion with CSC. </w:t>
            </w:r>
          </w:p>
        </w:tc>
      </w:tr>
      <w:tr w:rsidR="00510663" w:rsidRPr="003E5D32" w14:paraId="34DF9339" w14:textId="77777777" w:rsidTr="007A027D">
        <w:tc>
          <w:tcPr>
            <w:tcW w:w="1620" w:type="dxa"/>
            <w:shd w:val="clear" w:color="auto" w:fill="auto"/>
          </w:tcPr>
          <w:p w14:paraId="094F7968" w14:textId="74C94142" w:rsidR="00510663" w:rsidRDefault="00510663" w:rsidP="008755E8">
            <w:pPr>
              <w:rPr>
                <w:rFonts w:asciiTheme="minorHAnsi" w:hAnsiTheme="minorHAnsi" w:cstheme="minorHAnsi"/>
                <w:sz w:val="22"/>
                <w:szCs w:val="22"/>
              </w:rPr>
            </w:pPr>
            <w:r>
              <w:rPr>
                <w:rFonts w:asciiTheme="minorHAnsi" w:hAnsiTheme="minorHAnsi" w:cstheme="minorHAnsi"/>
                <w:sz w:val="22"/>
                <w:szCs w:val="22"/>
              </w:rPr>
              <w:t>16-01</w:t>
            </w:r>
          </w:p>
        </w:tc>
        <w:tc>
          <w:tcPr>
            <w:tcW w:w="1069" w:type="dxa"/>
          </w:tcPr>
          <w:p w14:paraId="48F15017" w14:textId="583EA918" w:rsidR="00510663" w:rsidRDefault="00510663" w:rsidP="00B660E3">
            <w:pPr>
              <w:pStyle w:val="NoSpacing"/>
              <w:rPr>
                <w:rFonts w:asciiTheme="minorHAnsi" w:hAnsiTheme="minorHAnsi" w:cstheme="minorHAnsi"/>
                <w:sz w:val="22"/>
                <w:szCs w:val="22"/>
              </w:rPr>
            </w:pPr>
            <w:r>
              <w:rPr>
                <w:rFonts w:asciiTheme="minorHAnsi" w:hAnsiTheme="minorHAnsi" w:cstheme="minorHAnsi"/>
                <w:sz w:val="22"/>
                <w:szCs w:val="22"/>
              </w:rPr>
              <w:t>9 July 2024</w:t>
            </w:r>
          </w:p>
        </w:tc>
        <w:tc>
          <w:tcPr>
            <w:tcW w:w="2847" w:type="dxa"/>
            <w:shd w:val="clear" w:color="auto" w:fill="auto"/>
          </w:tcPr>
          <w:p w14:paraId="6C9A5CDE" w14:textId="18ED7E12" w:rsidR="00510663" w:rsidRPr="00643BED" w:rsidRDefault="00510663" w:rsidP="004C1FDF">
            <w:pPr>
              <w:rPr>
                <w:rFonts w:ascii="Calibri" w:hAnsi="Calibri" w:cs="Calibri"/>
                <w:sz w:val="22"/>
                <w:szCs w:val="22"/>
              </w:rPr>
            </w:pPr>
            <w:r w:rsidRPr="00510663">
              <w:rPr>
                <w:rFonts w:ascii="Calibri" w:hAnsi="Calibri" w:cs="Calibri"/>
                <w:sz w:val="22"/>
                <w:szCs w:val="22"/>
              </w:rPr>
              <w:t>I</w:t>
            </w:r>
            <w:r>
              <w:rPr>
                <w:rFonts w:ascii="Calibri" w:hAnsi="Calibri" w:cs="Calibri"/>
                <w:sz w:val="22"/>
                <w:szCs w:val="22"/>
              </w:rPr>
              <w:t>FR2</w:t>
            </w:r>
            <w:r w:rsidRPr="00510663">
              <w:rPr>
                <w:rFonts w:ascii="Calibri" w:hAnsi="Calibri" w:cs="Calibri"/>
                <w:sz w:val="22"/>
                <w:szCs w:val="22"/>
              </w:rPr>
              <w:t xml:space="preserve"> support team to share homework assignment with the review team via email.</w:t>
            </w:r>
          </w:p>
        </w:tc>
        <w:tc>
          <w:tcPr>
            <w:tcW w:w="3814" w:type="dxa"/>
            <w:shd w:val="clear" w:color="auto" w:fill="auto"/>
          </w:tcPr>
          <w:p w14:paraId="78E99AAB" w14:textId="384C9566" w:rsidR="00510663" w:rsidRDefault="00510663" w:rsidP="006F2C90">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Complete.</w:t>
            </w:r>
          </w:p>
        </w:tc>
      </w:tr>
      <w:tr w:rsidR="00643BED" w:rsidRPr="003E5D32" w14:paraId="7EFEB941" w14:textId="77777777" w:rsidTr="007A027D">
        <w:tc>
          <w:tcPr>
            <w:tcW w:w="1620" w:type="dxa"/>
            <w:shd w:val="clear" w:color="auto" w:fill="auto"/>
          </w:tcPr>
          <w:p w14:paraId="04DB46A0" w14:textId="7770FEE7" w:rsidR="00643BED" w:rsidRDefault="00643BED" w:rsidP="008755E8">
            <w:pPr>
              <w:rPr>
                <w:rFonts w:asciiTheme="minorHAnsi" w:hAnsiTheme="minorHAnsi" w:cstheme="minorHAnsi"/>
                <w:sz w:val="22"/>
                <w:szCs w:val="22"/>
              </w:rPr>
            </w:pPr>
            <w:r>
              <w:rPr>
                <w:rFonts w:asciiTheme="minorHAnsi" w:hAnsiTheme="minorHAnsi" w:cstheme="minorHAnsi"/>
                <w:sz w:val="22"/>
                <w:szCs w:val="22"/>
              </w:rPr>
              <w:t>11-01</w:t>
            </w:r>
          </w:p>
        </w:tc>
        <w:tc>
          <w:tcPr>
            <w:tcW w:w="1069" w:type="dxa"/>
          </w:tcPr>
          <w:p w14:paraId="6B311CF2" w14:textId="3E28678C" w:rsidR="00643BED" w:rsidRDefault="00643BED" w:rsidP="00B660E3">
            <w:pPr>
              <w:pStyle w:val="NoSpacing"/>
              <w:rPr>
                <w:rFonts w:asciiTheme="minorHAnsi" w:hAnsiTheme="minorHAnsi" w:cstheme="minorHAnsi"/>
                <w:sz w:val="22"/>
                <w:szCs w:val="22"/>
              </w:rPr>
            </w:pPr>
            <w:r>
              <w:rPr>
                <w:rFonts w:asciiTheme="minorHAnsi" w:hAnsiTheme="minorHAnsi" w:cstheme="minorHAnsi"/>
                <w:sz w:val="22"/>
                <w:szCs w:val="22"/>
              </w:rPr>
              <w:t>30 April 2024</w:t>
            </w:r>
          </w:p>
        </w:tc>
        <w:tc>
          <w:tcPr>
            <w:tcW w:w="2847" w:type="dxa"/>
            <w:shd w:val="clear" w:color="auto" w:fill="auto"/>
          </w:tcPr>
          <w:p w14:paraId="5630724A" w14:textId="1036E8CB" w:rsidR="00643BED" w:rsidRPr="00643BED" w:rsidRDefault="00643BED" w:rsidP="004C1FDF">
            <w:pPr>
              <w:rPr>
                <w:rFonts w:ascii="Calibri" w:hAnsi="Calibri" w:cs="Calibri"/>
                <w:sz w:val="22"/>
                <w:szCs w:val="22"/>
              </w:rPr>
            </w:pPr>
            <w:r w:rsidRPr="00643BED">
              <w:rPr>
                <w:rFonts w:ascii="Calibri" w:hAnsi="Calibri" w:cs="Calibri"/>
                <w:sz w:val="22"/>
                <w:szCs w:val="22"/>
              </w:rPr>
              <w:t>IFR2 team to put together</w:t>
            </w:r>
            <w:r w:rsidR="002D3137">
              <w:rPr>
                <w:rFonts w:ascii="Calibri" w:hAnsi="Calibri" w:cs="Calibri"/>
                <w:sz w:val="22"/>
                <w:szCs w:val="22"/>
              </w:rPr>
              <w:t xml:space="preserve"> a</w:t>
            </w:r>
            <w:r w:rsidRPr="00643BED">
              <w:rPr>
                <w:rFonts w:ascii="Calibri" w:hAnsi="Calibri" w:cs="Calibri"/>
                <w:sz w:val="22"/>
                <w:szCs w:val="22"/>
              </w:rPr>
              <w:t xml:space="preserve"> list of ongoing questions to ask ICANN </w:t>
            </w:r>
            <w:r w:rsidR="00D82C1C">
              <w:rPr>
                <w:rFonts w:ascii="Calibri" w:hAnsi="Calibri" w:cs="Calibri"/>
                <w:sz w:val="22"/>
                <w:szCs w:val="22"/>
              </w:rPr>
              <w:t>L</w:t>
            </w:r>
            <w:r w:rsidRPr="00643BED">
              <w:rPr>
                <w:rFonts w:ascii="Calibri" w:hAnsi="Calibri" w:cs="Calibri"/>
                <w:sz w:val="22"/>
                <w:szCs w:val="22"/>
              </w:rPr>
              <w:t>egal</w:t>
            </w:r>
            <w:r w:rsidR="00D9194D">
              <w:rPr>
                <w:rFonts w:ascii="Calibri" w:hAnsi="Calibri" w:cs="Calibri"/>
                <w:sz w:val="22"/>
                <w:szCs w:val="22"/>
              </w:rPr>
              <w:t>.</w:t>
            </w:r>
          </w:p>
        </w:tc>
        <w:tc>
          <w:tcPr>
            <w:tcW w:w="3814" w:type="dxa"/>
            <w:shd w:val="clear" w:color="auto" w:fill="auto"/>
          </w:tcPr>
          <w:p w14:paraId="1B9D5CD3" w14:textId="75BEC412" w:rsidR="00643BED" w:rsidRDefault="002D3137" w:rsidP="006F2C90">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 xml:space="preserve">Ongoing - </w:t>
            </w:r>
            <w:r w:rsidR="00643BED">
              <w:rPr>
                <w:rFonts w:asciiTheme="minorHAnsi" w:hAnsiTheme="minorHAnsi" w:cstheme="minorHAnsi"/>
                <w:sz w:val="22"/>
                <w:szCs w:val="22"/>
              </w:rPr>
              <w:t>See ‘</w:t>
            </w:r>
            <w:hyperlink r:id="rId11" w:anchor="gid=467621701" w:history="1">
              <w:r w:rsidR="00643BED" w:rsidRPr="00643BED">
                <w:rPr>
                  <w:rStyle w:val="Hyperlink"/>
                  <w:rFonts w:asciiTheme="minorHAnsi" w:hAnsiTheme="minorHAnsi" w:cstheme="minorHAnsi"/>
                  <w:sz w:val="22"/>
                  <w:szCs w:val="22"/>
                </w:rPr>
                <w:t>Questions for Legal</w:t>
              </w:r>
            </w:hyperlink>
            <w:r w:rsidR="00643BED">
              <w:rPr>
                <w:rFonts w:asciiTheme="minorHAnsi" w:hAnsiTheme="minorHAnsi" w:cstheme="minorHAnsi"/>
                <w:sz w:val="22"/>
                <w:szCs w:val="22"/>
              </w:rPr>
              <w:t xml:space="preserve">’ tab in the IFR2 </w:t>
            </w:r>
            <w:r w:rsidR="00D82C1C">
              <w:rPr>
                <w:rFonts w:asciiTheme="minorHAnsi" w:hAnsiTheme="minorHAnsi" w:cstheme="minorHAnsi"/>
                <w:sz w:val="22"/>
                <w:szCs w:val="22"/>
              </w:rPr>
              <w:t xml:space="preserve">IANA Naming Function </w:t>
            </w:r>
            <w:r w:rsidR="00643BED">
              <w:rPr>
                <w:rFonts w:asciiTheme="minorHAnsi" w:hAnsiTheme="minorHAnsi" w:cstheme="minorHAnsi"/>
                <w:sz w:val="22"/>
                <w:szCs w:val="22"/>
              </w:rPr>
              <w:t xml:space="preserve">Contract Breakdown workbook. </w:t>
            </w:r>
            <w:r w:rsidR="00D82C1C">
              <w:rPr>
                <w:rFonts w:asciiTheme="minorHAnsi" w:hAnsiTheme="minorHAnsi" w:cstheme="minorHAnsi"/>
                <w:sz w:val="22"/>
                <w:szCs w:val="22"/>
              </w:rPr>
              <w:t>Staff</w:t>
            </w:r>
            <w:r w:rsidR="00643BED">
              <w:rPr>
                <w:rFonts w:asciiTheme="minorHAnsi" w:hAnsiTheme="minorHAnsi" w:cstheme="minorHAnsi"/>
                <w:sz w:val="22"/>
                <w:szCs w:val="22"/>
              </w:rPr>
              <w:t xml:space="preserve"> will also share</w:t>
            </w:r>
            <w:r w:rsidR="00D82C1C">
              <w:rPr>
                <w:rFonts w:asciiTheme="minorHAnsi" w:hAnsiTheme="minorHAnsi" w:cstheme="minorHAnsi"/>
                <w:sz w:val="22"/>
                <w:szCs w:val="22"/>
              </w:rPr>
              <w:t xml:space="preserve"> questions </w:t>
            </w:r>
            <w:r w:rsidR="00643BED">
              <w:rPr>
                <w:rFonts w:asciiTheme="minorHAnsi" w:hAnsiTheme="minorHAnsi" w:cstheme="minorHAnsi"/>
                <w:sz w:val="22"/>
                <w:szCs w:val="22"/>
              </w:rPr>
              <w:t>with Legal as</w:t>
            </w:r>
            <w:r w:rsidR="00D82C1C">
              <w:rPr>
                <w:rFonts w:asciiTheme="minorHAnsi" w:hAnsiTheme="minorHAnsi" w:cstheme="minorHAnsi"/>
                <w:sz w:val="22"/>
                <w:szCs w:val="22"/>
              </w:rPr>
              <w:t xml:space="preserve"> they come up, as</w:t>
            </w:r>
            <w:r w:rsidR="00643BED">
              <w:rPr>
                <w:rFonts w:asciiTheme="minorHAnsi" w:hAnsiTheme="minorHAnsi" w:cstheme="minorHAnsi"/>
                <w:sz w:val="22"/>
                <w:szCs w:val="22"/>
              </w:rPr>
              <w:t xml:space="preserve"> appropriate</w:t>
            </w:r>
            <w:r w:rsidR="00D82C1C">
              <w:rPr>
                <w:rFonts w:asciiTheme="minorHAnsi" w:hAnsiTheme="minorHAnsi" w:cstheme="minorHAnsi"/>
                <w:sz w:val="22"/>
                <w:szCs w:val="22"/>
              </w:rPr>
              <w:t>,</w:t>
            </w:r>
            <w:r w:rsidR="00643BED">
              <w:rPr>
                <w:rFonts w:asciiTheme="minorHAnsi" w:hAnsiTheme="minorHAnsi" w:cstheme="minorHAnsi"/>
                <w:sz w:val="22"/>
                <w:szCs w:val="22"/>
              </w:rPr>
              <w:t xml:space="preserve"> </w:t>
            </w:r>
            <w:r w:rsidR="00D82C1C">
              <w:rPr>
                <w:rFonts w:asciiTheme="minorHAnsi" w:hAnsiTheme="minorHAnsi" w:cstheme="minorHAnsi"/>
                <w:sz w:val="22"/>
                <w:szCs w:val="22"/>
              </w:rPr>
              <w:t>to</w:t>
            </w:r>
            <w:r w:rsidR="00643BED">
              <w:rPr>
                <w:rFonts w:asciiTheme="minorHAnsi" w:hAnsiTheme="minorHAnsi" w:cstheme="minorHAnsi"/>
                <w:sz w:val="22"/>
                <w:szCs w:val="22"/>
              </w:rPr>
              <w:t xml:space="preserve"> answer questions via email or during regular meetings if possible. </w:t>
            </w:r>
          </w:p>
        </w:tc>
      </w:tr>
      <w:tr w:rsidR="00641141" w:rsidRPr="003E5D32" w14:paraId="198ECA83" w14:textId="77777777" w:rsidTr="007A027D">
        <w:tc>
          <w:tcPr>
            <w:tcW w:w="1620" w:type="dxa"/>
            <w:shd w:val="clear" w:color="auto" w:fill="auto"/>
          </w:tcPr>
          <w:p w14:paraId="10CA8015" w14:textId="0AE0EBE5" w:rsidR="00641141" w:rsidRPr="003E5D32" w:rsidRDefault="007A027D" w:rsidP="008755E8">
            <w:pPr>
              <w:rPr>
                <w:rFonts w:asciiTheme="minorHAnsi" w:hAnsiTheme="minorHAnsi" w:cstheme="minorHAnsi"/>
                <w:sz w:val="22"/>
                <w:szCs w:val="22"/>
              </w:rPr>
            </w:pPr>
            <w:r w:rsidRPr="003E5D32">
              <w:rPr>
                <w:rFonts w:asciiTheme="minorHAnsi" w:hAnsiTheme="minorHAnsi" w:cstheme="minorHAnsi"/>
                <w:sz w:val="22"/>
                <w:szCs w:val="22"/>
              </w:rPr>
              <w:t>07-01</w:t>
            </w:r>
          </w:p>
        </w:tc>
        <w:tc>
          <w:tcPr>
            <w:tcW w:w="1069" w:type="dxa"/>
          </w:tcPr>
          <w:p w14:paraId="46430105" w14:textId="57A8407A" w:rsidR="00641141" w:rsidRPr="003E5D32" w:rsidRDefault="007A027D" w:rsidP="00B660E3">
            <w:pPr>
              <w:pStyle w:val="NoSpacing"/>
              <w:rPr>
                <w:rFonts w:asciiTheme="minorHAnsi" w:hAnsiTheme="minorHAnsi" w:cstheme="minorHAnsi"/>
                <w:sz w:val="22"/>
                <w:szCs w:val="22"/>
              </w:rPr>
            </w:pPr>
            <w:r w:rsidRPr="003E5D32">
              <w:rPr>
                <w:rFonts w:asciiTheme="minorHAnsi" w:hAnsiTheme="minorHAnsi" w:cstheme="minorHAnsi"/>
                <w:sz w:val="22"/>
                <w:szCs w:val="22"/>
              </w:rPr>
              <w:t>4 March 2024</w:t>
            </w:r>
          </w:p>
        </w:tc>
        <w:tc>
          <w:tcPr>
            <w:tcW w:w="2847" w:type="dxa"/>
            <w:shd w:val="clear" w:color="auto" w:fill="auto"/>
          </w:tcPr>
          <w:p w14:paraId="43A058CE" w14:textId="7E8517CA" w:rsidR="00641141" w:rsidRPr="003E5D32" w:rsidRDefault="00130FA4" w:rsidP="002A6E8E">
            <w:pPr>
              <w:pStyle w:val="NoSpacing"/>
              <w:rPr>
                <w:rFonts w:asciiTheme="minorHAnsi" w:hAnsiTheme="minorHAnsi" w:cstheme="minorHAnsi"/>
                <w:color w:val="000000"/>
                <w:sz w:val="22"/>
                <w:szCs w:val="22"/>
              </w:rPr>
            </w:pPr>
            <w:r w:rsidRPr="003E5D32">
              <w:rPr>
                <w:rFonts w:asciiTheme="minorHAnsi" w:hAnsiTheme="minorHAnsi" w:cstheme="minorHAnsi"/>
                <w:color w:val="000000"/>
                <w:sz w:val="22"/>
                <w:szCs w:val="22"/>
              </w:rPr>
              <w:t>As follow up from the 6 March CSC briefing: Co-</w:t>
            </w:r>
            <w:r w:rsidRPr="003E5D32">
              <w:rPr>
                <w:rFonts w:asciiTheme="minorHAnsi" w:hAnsiTheme="minorHAnsi" w:cstheme="minorHAnsi"/>
                <w:color w:val="000000"/>
                <w:sz w:val="22"/>
                <w:szCs w:val="22"/>
              </w:rPr>
              <w:lastRenderedPageBreak/>
              <w:t>chairs to consider fo</w:t>
            </w:r>
            <w:r w:rsidR="007A027D" w:rsidRPr="003E5D32">
              <w:rPr>
                <w:rFonts w:asciiTheme="minorHAnsi" w:hAnsiTheme="minorHAnsi" w:cstheme="minorHAnsi"/>
                <w:color w:val="000000"/>
                <w:sz w:val="22"/>
                <w:szCs w:val="22"/>
              </w:rPr>
              <w:t>rmal</w:t>
            </w:r>
            <w:r w:rsidRPr="003E5D32">
              <w:rPr>
                <w:rFonts w:asciiTheme="minorHAnsi" w:hAnsiTheme="minorHAnsi" w:cstheme="minorHAnsi"/>
                <w:color w:val="000000"/>
                <w:sz w:val="22"/>
                <w:szCs w:val="22"/>
              </w:rPr>
              <w:t>ly</w:t>
            </w:r>
            <w:r w:rsidR="007A027D" w:rsidRPr="003E5D32">
              <w:rPr>
                <w:rFonts w:asciiTheme="minorHAnsi" w:hAnsiTheme="minorHAnsi" w:cstheme="minorHAnsi"/>
                <w:color w:val="000000"/>
                <w:sz w:val="22"/>
                <w:szCs w:val="22"/>
              </w:rPr>
              <w:t xml:space="preserve"> </w:t>
            </w:r>
            <w:r w:rsidRPr="003E5D32">
              <w:rPr>
                <w:rFonts w:asciiTheme="minorHAnsi" w:hAnsiTheme="minorHAnsi" w:cstheme="minorHAnsi"/>
                <w:color w:val="000000"/>
                <w:sz w:val="22"/>
                <w:szCs w:val="22"/>
              </w:rPr>
              <w:t>asking the</w:t>
            </w:r>
            <w:r w:rsidR="007A027D" w:rsidRPr="003E5D32">
              <w:rPr>
                <w:rFonts w:asciiTheme="minorHAnsi" w:hAnsiTheme="minorHAnsi" w:cstheme="minorHAnsi"/>
                <w:color w:val="000000"/>
                <w:sz w:val="22"/>
                <w:szCs w:val="22"/>
              </w:rPr>
              <w:t xml:space="preserve"> CSC</w:t>
            </w:r>
            <w:r w:rsidRPr="003E5D32">
              <w:rPr>
                <w:rFonts w:asciiTheme="minorHAnsi" w:hAnsiTheme="minorHAnsi" w:cstheme="minorHAnsi"/>
                <w:color w:val="000000"/>
                <w:sz w:val="22"/>
                <w:szCs w:val="22"/>
              </w:rPr>
              <w:t xml:space="preserve"> liaison if there is anything they would like to bring to the attention of the IFR2.</w:t>
            </w:r>
          </w:p>
        </w:tc>
        <w:tc>
          <w:tcPr>
            <w:tcW w:w="3814" w:type="dxa"/>
            <w:shd w:val="clear" w:color="auto" w:fill="auto"/>
          </w:tcPr>
          <w:p w14:paraId="797BB2FF" w14:textId="68D8B3DB" w:rsidR="00567EC1" w:rsidRPr="003E5D32" w:rsidRDefault="002D3137" w:rsidP="006F2C90">
            <w:pPr>
              <w:pStyle w:val="ListParagraph"/>
              <w:numPr>
                <w:ilvl w:val="0"/>
                <w:numId w:val="32"/>
              </w:numPr>
              <w:rPr>
                <w:rFonts w:asciiTheme="minorHAnsi" w:hAnsiTheme="minorHAnsi" w:cstheme="minorHAnsi"/>
                <w:bCs/>
                <w:sz w:val="22"/>
                <w:szCs w:val="22"/>
              </w:rPr>
            </w:pPr>
            <w:r>
              <w:rPr>
                <w:rFonts w:asciiTheme="minorHAnsi" w:hAnsiTheme="minorHAnsi" w:cstheme="minorHAnsi"/>
                <w:bCs/>
                <w:sz w:val="22"/>
                <w:szCs w:val="22"/>
              </w:rPr>
              <w:lastRenderedPageBreak/>
              <w:t xml:space="preserve">Ongoing - </w:t>
            </w:r>
            <w:r w:rsidR="00130FA4" w:rsidRPr="003E5D32">
              <w:rPr>
                <w:rFonts w:asciiTheme="minorHAnsi" w:hAnsiTheme="minorHAnsi" w:cstheme="minorHAnsi"/>
                <w:bCs/>
                <w:sz w:val="22"/>
                <w:szCs w:val="22"/>
              </w:rPr>
              <w:t>On hold for future consideration, once the IFR2</w:t>
            </w:r>
            <w:r w:rsidR="00803CF1" w:rsidRPr="003E5D32">
              <w:rPr>
                <w:rFonts w:asciiTheme="minorHAnsi" w:hAnsiTheme="minorHAnsi" w:cstheme="minorHAnsi"/>
                <w:bCs/>
                <w:sz w:val="22"/>
                <w:szCs w:val="22"/>
              </w:rPr>
              <w:t xml:space="preserve"> </w:t>
            </w:r>
            <w:r w:rsidR="00803CF1" w:rsidRPr="003E5D32">
              <w:rPr>
                <w:rFonts w:asciiTheme="minorHAnsi" w:hAnsiTheme="minorHAnsi" w:cstheme="minorHAnsi"/>
                <w:bCs/>
                <w:sz w:val="22"/>
                <w:szCs w:val="22"/>
              </w:rPr>
              <w:lastRenderedPageBreak/>
              <w:t>gets to a place in its work where it feels it can phrase the question</w:t>
            </w:r>
            <w:r w:rsidR="00130FA4" w:rsidRPr="003E5D32">
              <w:rPr>
                <w:rFonts w:asciiTheme="minorHAnsi" w:hAnsiTheme="minorHAnsi" w:cstheme="minorHAnsi"/>
                <w:bCs/>
                <w:sz w:val="22"/>
                <w:szCs w:val="22"/>
              </w:rPr>
              <w:t xml:space="preserve"> </w:t>
            </w:r>
            <w:r w:rsidR="00803CF1" w:rsidRPr="003E5D32">
              <w:rPr>
                <w:rFonts w:asciiTheme="minorHAnsi" w:hAnsiTheme="minorHAnsi" w:cstheme="minorHAnsi"/>
                <w:bCs/>
                <w:sz w:val="22"/>
                <w:szCs w:val="22"/>
              </w:rPr>
              <w:t>most meaningfully.</w:t>
            </w:r>
          </w:p>
        </w:tc>
      </w:tr>
    </w:tbl>
    <w:p w14:paraId="7A05A1E8" w14:textId="77777777" w:rsidR="00BE664D" w:rsidRPr="00A1019E" w:rsidRDefault="00BE664D" w:rsidP="00A1019E">
      <w:pPr>
        <w:rPr>
          <w:rFonts w:asciiTheme="minorHAnsi" w:hAnsiTheme="minorHAnsi" w:cstheme="minorHAnsi"/>
          <w:b/>
          <w:sz w:val="22"/>
          <w:szCs w:val="22"/>
          <w:lang w:val="en-US"/>
        </w:rPr>
      </w:pPr>
    </w:p>
    <w:p w14:paraId="296001BE" w14:textId="6AA19FD1" w:rsidR="00B55724" w:rsidRPr="00B55724" w:rsidRDefault="00B55724" w:rsidP="00B55724">
      <w:pPr>
        <w:pStyle w:val="ListParagraph"/>
        <w:numPr>
          <w:ilvl w:val="0"/>
          <w:numId w:val="15"/>
        </w:numPr>
        <w:rPr>
          <w:rFonts w:asciiTheme="minorHAnsi" w:hAnsiTheme="minorHAnsi" w:cstheme="minorHAnsi"/>
          <w:b/>
          <w:sz w:val="22"/>
          <w:szCs w:val="22"/>
          <w:lang w:val="en-US"/>
        </w:rPr>
      </w:pPr>
      <w:r>
        <w:rPr>
          <w:rFonts w:asciiTheme="minorHAnsi" w:hAnsiTheme="minorHAnsi" w:cstheme="minorHAnsi"/>
          <w:b/>
          <w:sz w:val="22"/>
          <w:szCs w:val="22"/>
          <w:lang w:val="en-US"/>
        </w:rPr>
        <w:t xml:space="preserve">Review specific questions for ICANN Legal (with Sam Eisner, ICANN Legal): </w:t>
      </w:r>
    </w:p>
    <w:p w14:paraId="0960A54A" w14:textId="77777777" w:rsidR="0077101D" w:rsidRDefault="00B55724" w:rsidP="00C80E64">
      <w:pPr>
        <w:pStyle w:val="ListParagraph"/>
        <w:numPr>
          <w:ilvl w:val="1"/>
          <w:numId w:val="15"/>
        </w:numPr>
        <w:rPr>
          <w:rFonts w:asciiTheme="minorHAnsi" w:hAnsiTheme="minorHAnsi" w:cstheme="minorHAnsi"/>
          <w:b/>
          <w:sz w:val="22"/>
          <w:szCs w:val="22"/>
          <w:lang w:val="en-US"/>
        </w:rPr>
      </w:pPr>
      <w:r w:rsidRPr="00C06C29">
        <w:rPr>
          <w:rFonts w:asciiTheme="minorHAnsi" w:hAnsiTheme="minorHAnsi" w:cstheme="minorHAnsi"/>
          <w:b/>
          <w:sz w:val="22"/>
          <w:szCs w:val="22"/>
          <w:lang w:val="en-US"/>
        </w:rPr>
        <w:t xml:space="preserve">General process question: If IFR2 got to the threshold where they wanted to see modifications - who gets to make those? </w:t>
      </w:r>
    </w:p>
    <w:p w14:paraId="1EE2EB42" w14:textId="1A7ED09F" w:rsidR="0077101D" w:rsidRPr="0077101D" w:rsidRDefault="0077101D" w:rsidP="0077101D">
      <w:pPr>
        <w:pStyle w:val="ListParagraph"/>
        <w:numPr>
          <w:ilvl w:val="2"/>
          <w:numId w:val="15"/>
        </w:numPr>
        <w:rPr>
          <w:rFonts w:asciiTheme="minorHAnsi" w:hAnsiTheme="minorHAnsi" w:cstheme="minorHAnsi"/>
          <w:bCs/>
          <w:sz w:val="22"/>
          <w:szCs w:val="22"/>
          <w:lang w:val="en-US"/>
        </w:rPr>
      </w:pPr>
      <w:r w:rsidRPr="0077101D">
        <w:rPr>
          <w:rFonts w:asciiTheme="minorHAnsi" w:hAnsiTheme="minorHAnsi" w:cstheme="minorHAnsi"/>
          <w:bCs/>
          <w:sz w:val="22"/>
          <w:szCs w:val="22"/>
          <w:lang w:val="en-US"/>
        </w:rPr>
        <w:t xml:space="preserve">The </w:t>
      </w:r>
      <w:r w:rsidR="000A582D">
        <w:rPr>
          <w:rFonts w:asciiTheme="minorHAnsi" w:hAnsiTheme="minorHAnsi" w:cstheme="minorHAnsi"/>
          <w:bCs/>
          <w:sz w:val="22"/>
          <w:szCs w:val="22"/>
          <w:lang w:val="en-US"/>
        </w:rPr>
        <w:t xml:space="preserve">IFR </w:t>
      </w:r>
      <w:r w:rsidRPr="0077101D">
        <w:rPr>
          <w:rFonts w:asciiTheme="minorHAnsi" w:hAnsiTheme="minorHAnsi" w:cstheme="minorHAnsi"/>
          <w:bCs/>
          <w:sz w:val="22"/>
          <w:szCs w:val="22"/>
          <w:lang w:val="en-US"/>
        </w:rPr>
        <w:t>review team</w:t>
      </w:r>
      <w:r>
        <w:rPr>
          <w:rFonts w:asciiTheme="minorHAnsi" w:hAnsiTheme="minorHAnsi" w:cstheme="minorHAnsi"/>
          <w:bCs/>
          <w:sz w:val="22"/>
          <w:szCs w:val="22"/>
          <w:lang w:val="en-US"/>
        </w:rPr>
        <w:t xml:space="preserve"> makes recommendations</w:t>
      </w:r>
      <w:r w:rsidR="000A582D">
        <w:rPr>
          <w:rFonts w:asciiTheme="minorHAnsi" w:hAnsiTheme="minorHAnsi" w:cstheme="minorHAnsi"/>
          <w:bCs/>
          <w:sz w:val="22"/>
          <w:szCs w:val="22"/>
          <w:lang w:val="en-US"/>
        </w:rPr>
        <w:t xml:space="preserve"> and is </w:t>
      </w:r>
      <w:r>
        <w:rPr>
          <w:rFonts w:asciiTheme="minorHAnsi" w:hAnsiTheme="minorHAnsi" w:cstheme="minorHAnsi"/>
          <w:bCs/>
          <w:sz w:val="22"/>
          <w:szCs w:val="22"/>
          <w:lang w:val="en-US"/>
        </w:rPr>
        <w:t xml:space="preserve">expected to work with ICANN legal and PTI on the actual text of the amendment to ensure that the language works for everyone to achieve the stated goals. </w:t>
      </w:r>
    </w:p>
    <w:p w14:paraId="4B091A21" w14:textId="77777777" w:rsidR="0077101D" w:rsidRDefault="0077101D" w:rsidP="0077101D">
      <w:pPr>
        <w:pStyle w:val="ListParagraph"/>
        <w:rPr>
          <w:rFonts w:asciiTheme="minorHAnsi" w:hAnsiTheme="minorHAnsi" w:cstheme="minorHAnsi"/>
          <w:b/>
          <w:sz w:val="22"/>
          <w:szCs w:val="22"/>
          <w:lang w:val="en-US"/>
        </w:rPr>
      </w:pPr>
    </w:p>
    <w:p w14:paraId="5CE87D7A" w14:textId="5BB1B211" w:rsidR="002F1D97" w:rsidRPr="00C80E64" w:rsidRDefault="00B55724" w:rsidP="0077101D">
      <w:pPr>
        <w:pStyle w:val="ListParagraph"/>
        <w:rPr>
          <w:rFonts w:asciiTheme="minorHAnsi" w:hAnsiTheme="minorHAnsi" w:cstheme="minorHAnsi"/>
          <w:b/>
          <w:sz w:val="22"/>
          <w:szCs w:val="22"/>
          <w:lang w:val="en-US"/>
        </w:rPr>
      </w:pPr>
      <w:r w:rsidRPr="00C06C29">
        <w:rPr>
          <w:rFonts w:asciiTheme="minorHAnsi" w:hAnsiTheme="minorHAnsi" w:cstheme="minorHAnsi"/>
          <w:b/>
          <w:sz w:val="22"/>
          <w:szCs w:val="22"/>
          <w:lang w:val="en-US"/>
        </w:rPr>
        <w:t xml:space="preserve">How does this fit within the mandate of the review team? (Also refer to email from ICANN Legal shared 22 July) </w:t>
      </w:r>
    </w:p>
    <w:p w14:paraId="7C8E7758" w14:textId="71B60EDD" w:rsidR="0077101D" w:rsidRPr="000A582D" w:rsidRDefault="0077101D" w:rsidP="000A582D">
      <w:pPr>
        <w:pStyle w:val="xmsonormal"/>
        <w:numPr>
          <w:ilvl w:val="0"/>
          <w:numId w:val="4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Proposed redline clarifications might not appropriately be the subject of a unilateral amendment that can result from the IFR outputs. For these clarification items, while they may not be “formal” outputs of the IFR, ICANN org welcomes the suggestions of the IFRT on areas for ICANN and PTI to jointly evaluate to see if a mutually negotiated amendment might be appropriate.</w:t>
      </w:r>
    </w:p>
    <w:p w14:paraId="2990BF3B" w14:textId="611ECDF0" w:rsidR="0077101D" w:rsidRPr="0077101D" w:rsidRDefault="0077101D" w:rsidP="0077101D">
      <w:pPr>
        <w:pStyle w:val="xmsonormal"/>
        <w:numPr>
          <w:ilvl w:val="0"/>
          <w:numId w:val="4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As the IFRT’s work also could result in proposed changes that are appropriately the subject of the unilateral amendment after the IFR process completes, the ICANN and PTI teams look forward to engaging with the IFRT to identify the language that could address the issues uncovered by the IFRT, so that any updates are clear and consistent with the other language of the Contract.</w:t>
      </w:r>
    </w:p>
    <w:p w14:paraId="171A6FA1" w14:textId="537DAAA9" w:rsidR="00201565" w:rsidRPr="00201565" w:rsidRDefault="00201565" w:rsidP="00201565">
      <w:pPr>
        <w:pStyle w:val="ListParagraph"/>
        <w:numPr>
          <w:ilvl w:val="0"/>
          <w:numId w:val="44"/>
        </w:numPr>
        <w:rPr>
          <w:rFonts w:asciiTheme="minorHAnsi" w:hAnsiTheme="minorHAnsi" w:cstheme="minorHAnsi"/>
          <w:bCs/>
          <w:sz w:val="22"/>
          <w:szCs w:val="22"/>
          <w:lang w:val="en-US"/>
        </w:rPr>
      </w:pPr>
      <w:r>
        <w:rPr>
          <w:rFonts w:asciiTheme="minorHAnsi" w:hAnsiTheme="minorHAnsi" w:cstheme="minorHAnsi"/>
          <w:bCs/>
          <w:sz w:val="22"/>
          <w:szCs w:val="22"/>
          <w:lang w:val="en-US"/>
        </w:rPr>
        <w:t xml:space="preserve">For </w:t>
      </w:r>
      <w:r w:rsidR="00A0166A">
        <w:rPr>
          <w:rFonts w:asciiTheme="minorHAnsi" w:hAnsiTheme="minorHAnsi" w:cstheme="minorHAnsi"/>
          <w:bCs/>
          <w:sz w:val="22"/>
          <w:szCs w:val="22"/>
          <w:lang w:val="en-US"/>
        </w:rPr>
        <w:t>the recommendations</w:t>
      </w:r>
      <w:r>
        <w:rPr>
          <w:rFonts w:asciiTheme="minorHAnsi" w:hAnsiTheme="minorHAnsi" w:cstheme="minorHAnsi"/>
          <w:bCs/>
          <w:sz w:val="22"/>
          <w:szCs w:val="22"/>
          <w:lang w:val="en-US"/>
        </w:rPr>
        <w:t xml:space="preserve"> that fit under a ‘nice to have’ category, the IFR </w:t>
      </w:r>
      <w:r w:rsidR="0077101D">
        <w:rPr>
          <w:rFonts w:asciiTheme="minorHAnsi" w:hAnsiTheme="minorHAnsi" w:cstheme="minorHAnsi"/>
          <w:bCs/>
          <w:sz w:val="22"/>
          <w:szCs w:val="22"/>
          <w:lang w:val="en-US"/>
        </w:rPr>
        <w:t xml:space="preserve">review </w:t>
      </w:r>
      <w:r>
        <w:rPr>
          <w:rFonts w:asciiTheme="minorHAnsi" w:hAnsiTheme="minorHAnsi" w:cstheme="minorHAnsi"/>
          <w:bCs/>
          <w:sz w:val="22"/>
          <w:szCs w:val="22"/>
          <w:lang w:val="en-US"/>
        </w:rPr>
        <w:t>team and the legal team should put the recommendations on a track that makes sense to be a part of a mutual amendment process so that the work of the IFR is not lost.</w:t>
      </w:r>
    </w:p>
    <w:p w14:paraId="3C80E682" w14:textId="77777777" w:rsidR="000E1433" w:rsidRDefault="000E1433" w:rsidP="000E1433">
      <w:pPr>
        <w:pStyle w:val="ListParagraph"/>
        <w:rPr>
          <w:rFonts w:asciiTheme="minorHAnsi" w:hAnsiTheme="minorHAnsi" w:cstheme="minorHAnsi"/>
          <w:b/>
          <w:sz w:val="22"/>
          <w:szCs w:val="22"/>
          <w:lang w:val="en-US"/>
        </w:rPr>
      </w:pPr>
    </w:p>
    <w:p w14:paraId="06B3FD42" w14:textId="77777777" w:rsidR="000E1433" w:rsidRPr="00C06C29" w:rsidRDefault="000E1433" w:rsidP="000E1433">
      <w:pPr>
        <w:pStyle w:val="ListParagraph"/>
        <w:rPr>
          <w:rFonts w:asciiTheme="minorHAnsi" w:hAnsiTheme="minorHAnsi" w:cstheme="minorHAnsi"/>
          <w:b/>
          <w:sz w:val="22"/>
          <w:szCs w:val="22"/>
          <w:lang w:val="en-US"/>
        </w:rPr>
      </w:pPr>
    </w:p>
    <w:p w14:paraId="6D9ABD11" w14:textId="1C867AEA" w:rsidR="002F1D97" w:rsidRPr="00DC4914" w:rsidRDefault="00B55724" w:rsidP="00DC4914">
      <w:pPr>
        <w:pStyle w:val="ListParagraph"/>
        <w:numPr>
          <w:ilvl w:val="1"/>
          <w:numId w:val="15"/>
        </w:numPr>
        <w:rPr>
          <w:rFonts w:asciiTheme="minorHAnsi" w:hAnsiTheme="minorHAnsi" w:cstheme="minorHAnsi"/>
          <w:b/>
          <w:sz w:val="22"/>
          <w:szCs w:val="22"/>
          <w:lang w:val="en-US"/>
        </w:rPr>
      </w:pPr>
      <w:r w:rsidRPr="00C06C29">
        <w:rPr>
          <w:rFonts w:asciiTheme="minorHAnsi" w:hAnsiTheme="minorHAnsi" w:cstheme="minorHAnsi"/>
          <w:b/>
          <w:sz w:val="22"/>
          <w:szCs w:val="22"/>
          <w:lang w:val="en-US"/>
        </w:rPr>
        <w:t xml:space="preserve">Article VIII, Section 8.1 Complaint Resolution Process (workbook row 48): Should the mediation be tied to LA, should other options be </w:t>
      </w:r>
      <w:r w:rsidR="00DC4914" w:rsidRPr="00C06C29">
        <w:rPr>
          <w:rFonts w:asciiTheme="minorHAnsi" w:hAnsiTheme="minorHAnsi" w:cstheme="minorHAnsi"/>
          <w:b/>
          <w:sz w:val="22"/>
          <w:szCs w:val="22"/>
          <w:lang w:val="en-US"/>
        </w:rPr>
        <w:t>listed,</w:t>
      </w:r>
      <w:r w:rsidRPr="00C06C29">
        <w:rPr>
          <w:rFonts w:asciiTheme="minorHAnsi" w:hAnsiTheme="minorHAnsi" w:cstheme="minorHAnsi"/>
          <w:b/>
          <w:sz w:val="22"/>
          <w:szCs w:val="22"/>
          <w:lang w:val="en-US"/>
        </w:rPr>
        <w:t xml:space="preserve"> or should it just </w:t>
      </w:r>
      <w:r w:rsidR="000E1433" w:rsidRPr="00C06C29">
        <w:rPr>
          <w:rFonts w:asciiTheme="minorHAnsi" w:hAnsiTheme="minorHAnsi" w:cstheme="minorHAnsi"/>
          <w:b/>
          <w:sz w:val="22"/>
          <w:szCs w:val="22"/>
          <w:lang w:val="en-US"/>
        </w:rPr>
        <w:t>say,</w:t>
      </w:r>
      <w:r w:rsidRPr="00C06C29">
        <w:rPr>
          <w:rFonts w:asciiTheme="minorHAnsi" w:hAnsiTheme="minorHAnsi" w:cstheme="minorHAnsi"/>
          <w:b/>
          <w:sz w:val="22"/>
          <w:szCs w:val="22"/>
          <w:lang w:val="en-US"/>
        </w:rPr>
        <w:t xml:space="preserve"> "a mutually agreed location"?</w:t>
      </w:r>
    </w:p>
    <w:p w14:paraId="42652A4A" w14:textId="01D8462A" w:rsidR="00BE410E" w:rsidRDefault="00C06C29" w:rsidP="00C06C29">
      <w:pPr>
        <w:pStyle w:val="ListParagraph"/>
        <w:numPr>
          <w:ilvl w:val="0"/>
          <w:numId w:val="37"/>
        </w:numPr>
        <w:rPr>
          <w:rFonts w:asciiTheme="minorHAnsi" w:hAnsiTheme="minorHAnsi" w:cstheme="minorHAnsi"/>
          <w:bCs/>
          <w:sz w:val="22"/>
          <w:szCs w:val="22"/>
          <w:lang w:val="en-US"/>
        </w:rPr>
      </w:pPr>
      <w:r>
        <w:rPr>
          <w:rFonts w:asciiTheme="minorHAnsi" w:hAnsiTheme="minorHAnsi" w:cstheme="minorHAnsi"/>
          <w:bCs/>
          <w:sz w:val="22"/>
          <w:szCs w:val="22"/>
          <w:lang w:val="en-US"/>
        </w:rPr>
        <w:t>It</w:t>
      </w:r>
      <w:r w:rsidR="000E1433">
        <w:rPr>
          <w:rFonts w:asciiTheme="minorHAnsi" w:hAnsiTheme="minorHAnsi" w:cstheme="minorHAnsi"/>
          <w:bCs/>
          <w:sz w:val="22"/>
          <w:szCs w:val="22"/>
          <w:lang w:val="en-US"/>
        </w:rPr>
        <w:t xml:space="preserve"> is </w:t>
      </w:r>
      <w:r w:rsidR="005E2C4E">
        <w:rPr>
          <w:rFonts w:asciiTheme="minorHAnsi" w:hAnsiTheme="minorHAnsi" w:cstheme="minorHAnsi"/>
          <w:bCs/>
          <w:sz w:val="22"/>
          <w:szCs w:val="22"/>
          <w:lang w:val="en-US"/>
        </w:rPr>
        <w:t xml:space="preserve">a practical </w:t>
      </w:r>
      <w:r w:rsidR="000E1433">
        <w:rPr>
          <w:rFonts w:asciiTheme="minorHAnsi" w:hAnsiTheme="minorHAnsi" w:cstheme="minorHAnsi"/>
          <w:bCs/>
          <w:sz w:val="22"/>
          <w:szCs w:val="22"/>
          <w:lang w:val="en-US"/>
        </w:rPr>
        <w:t xml:space="preserve">choice </w:t>
      </w:r>
      <w:r w:rsidR="00BE410E">
        <w:rPr>
          <w:rFonts w:asciiTheme="minorHAnsi" w:hAnsiTheme="minorHAnsi" w:cstheme="minorHAnsi"/>
          <w:bCs/>
          <w:sz w:val="22"/>
          <w:szCs w:val="22"/>
          <w:lang w:val="en-US"/>
        </w:rPr>
        <w:t xml:space="preserve">to have the mediation tied to LA </w:t>
      </w:r>
      <w:r w:rsidR="00DC4914">
        <w:rPr>
          <w:rFonts w:asciiTheme="minorHAnsi" w:hAnsiTheme="minorHAnsi" w:cstheme="minorHAnsi"/>
          <w:bCs/>
          <w:sz w:val="22"/>
          <w:szCs w:val="22"/>
          <w:lang w:val="en-US"/>
        </w:rPr>
        <w:t>with one of the reasons being that</w:t>
      </w:r>
      <w:r>
        <w:rPr>
          <w:rFonts w:asciiTheme="minorHAnsi" w:hAnsiTheme="minorHAnsi" w:cstheme="minorHAnsi"/>
          <w:bCs/>
          <w:sz w:val="22"/>
          <w:szCs w:val="22"/>
          <w:lang w:val="en-US"/>
        </w:rPr>
        <w:t xml:space="preserve"> </w:t>
      </w:r>
      <w:r w:rsidR="005E2C4E">
        <w:rPr>
          <w:rFonts w:asciiTheme="minorHAnsi" w:hAnsiTheme="minorHAnsi" w:cstheme="minorHAnsi"/>
          <w:bCs/>
          <w:sz w:val="22"/>
          <w:szCs w:val="22"/>
          <w:lang w:val="en-US"/>
        </w:rPr>
        <w:t xml:space="preserve">the </w:t>
      </w:r>
      <w:r>
        <w:rPr>
          <w:rFonts w:asciiTheme="minorHAnsi" w:hAnsiTheme="minorHAnsi" w:cstheme="minorHAnsi"/>
          <w:bCs/>
          <w:sz w:val="22"/>
          <w:szCs w:val="22"/>
          <w:lang w:val="en-US"/>
        </w:rPr>
        <w:t xml:space="preserve">IANA team is based in LA. </w:t>
      </w:r>
    </w:p>
    <w:p w14:paraId="55914DEB" w14:textId="0C661F36" w:rsidR="00BE410E" w:rsidRDefault="00C06C29" w:rsidP="00C06C29">
      <w:pPr>
        <w:pStyle w:val="ListParagraph"/>
        <w:numPr>
          <w:ilvl w:val="0"/>
          <w:numId w:val="37"/>
        </w:numPr>
        <w:rPr>
          <w:rFonts w:asciiTheme="minorHAnsi" w:hAnsiTheme="minorHAnsi" w:cstheme="minorHAnsi"/>
          <w:bCs/>
          <w:sz w:val="22"/>
          <w:szCs w:val="22"/>
          <w:lang w:val="en-US"/>
        </w:rPr>
      </w:pPr>
      <w:r>
        <w:rPr>
          <w:rFonts w:asciiTheme="minorHAnsi" w:hAnsiTheme="minorHAnsi" w:cstheme="minorHAnsi"/>
          <w:bCs/>
          <w:sz w:val="22"/>
          <w:szCs w:val="22"/>
          <w:lang w:val="en-US"/>
        </w:rPr>
        <w:t>It allows the mediation to proceed more quickly</w:t>
      </w:r>
      <w:r w:rsidR="00DC4914">
        <w:rPr>
          <w:rFonts w:asciiTheme="minorHAnsi" w:hAnsiTheme="minorHAnsi" w:cstheme="minorHAnsi"/>
          <w:bCs/>
          <w:sz w:val="22"/>
          <w:szCs w:val="22"/>
          <w:lang w:val="en-US"/>
        </w:rPr>
        <w:t>, i</w:t>
      </w:r>
      <w:r>
        <w:rPr>
          <w:rFonts w:asciiTheme="minorHAnsi" w:hAnsiTheme="minorHAnsi" w:cstheme="minorHAnsi"/>
          <w:bCs/>
          <w:sz w:val="22"/>
          <w:szCs w:val="22"/>
          <w:lang w:val="en-US"/>
        </w:rPr>
        <w:t>f the parties do</w:t>
      </w:r>
      <w:r w:rsidR="00BE410E">
        <w:rPr>
          <w:rFonts w:asciiTheme="minorHAnsi" w:hAnsiTheme="minorHAnsi" w:cstheme="minorHAnsi"/>
          <w:bCs/>
          <w:sz w:val="22"/>
          <w:szCs w:val="22"/>
          <w:lang w:val="en-US"/>
        </w:rPr>
        <w:t xml:space="preserve"> not</w:t>
      </w:r>
      <w:r>
        <w:rPr>
          <w:rFonts w:asciiTheme="minorHAnsi" w:hAnsiTheme="minorHAnsi" w:cstheme="minorHAnsi"/>
          <w:bCs/>
          <w:sz w:val="22"/>
          <w:szCs w:val="22"/>
          <w:lang w:val="en-US"/>
        </w:rPr>
        <w:t xml:space="preserve"> want to engage </w:t>
      </w:r>
      <w:r w:rsidR="005E2C4E">
        <w:rPr>
          <w:rFonts w:asciiTheme="minorHAnsi" w:hAnsiTheme="minorHAnsi" w:cstheme="minorHAnsi"/>
          <w:bCs/>
          <w:sz w:val="22"/>
          <w:szCs w:val="22"/>
          <w:lang w:val="en-US"/>
        </w:rPr>
        <w:t xml:space="preserve">on whether they want to find an alternate location. </w:t>
      </w:r>
    </w:p>
    <w:p w14:paraId="08BA0BDE" w14:textId="77777777" w:rsidR="00BE410E" w:rsidRDefault="005E2C4E" w:rsidP="00C06C29">
      <w:pPr>
        <w:pStyle w:val="ListParagraph"/>
        <w:numPr>
          <w:ilvl w:val="0"/>
          <w:numId w:val="37"/>
        </w:numPr>
        <w:rPr>
          <w:rFonts w:asciiTheme="minorHAnsi" w:hAnsiTheme="minorHAnsi" w:cstheme="minorHAnsi"/>
          <w:bCs/>
          <w:sz w:val="22"/>
          <w:szCs w:val="22"/>
          <w:lang w:val="en-US"/>
        </w:rPr>
      </w:pPr>
      <w:r>
        <w:rPr>
          <w:rFonts w:asciiTheme="minorHAnsi" w:hAnsiTheme="minorHAnsi" w:cstheme="minorHAnsi"/>
          <w:bCs/>
          <w:sz w:val="22"/>
          <w:szCs w:val="22"/>
          <w:lang w:val="en-US"/>
        </w:rPr>
        <w:t>If you remove a primary selection of a location, then anytime ICANN goes to mediation (which has not happened since the contract came into existence</w:t>
      </w:r>
      <w:r w:rsidR="000E1433">
        <w:rPr>
          <w:rFonts w:asciiTheme="minorHAnsi" w:hAnsiTheme="minorHAnsi" w:cstheme="minorHAnsi"/>
          <w:bCs/>
          <w:sz w:val="22"/>
          <w:szCs w:val="22"/>
          <w:lang w:val="en-US"/>
        </w:rPr>
        <w:t>), you</w:t>
      </w:r>
      <w:r>
        <w:rPr>
          <w:rFonts w:asciiTheme="minorHAnsi" w:hAnsiTheme="minorHAnsi" w:cstheme="minorHAnsi"/>
          <w:bCs/>
          <w:sz w:val="22"/>
          <w:szCs w:val="22"/>
          <w:lang w:val="en-US"/>
        </w:rPr>
        <w:t xml:space="preserve"> are requiring the parties to have a pre negotiation about where the negotiation would happen. </w:t>
      </w:r>
    </w:p>
    <w:p w14:paraId="4BF7D1FA" w14:textId="62059343" w:rsidR="00C06C29" w:rsidRPr="00B55724" w:rsidRDefault="005E2C4E" w:rsidP="00C06C29">
      <w:pPr>
        <w:pStyle w:val="ListParagraph"/>
        <w:numPr>
          <w:ilvl w:val="0"/>
          <w:numId w:val="37"/>
        </w:numPr>
        <w:rPr>
          <w:rFonts w:asciiTheme="minorHAnsi" w:hAnsiTheme="minorHAnsi" w:cstheme="minorHAnsi"/>
          <w:bCs/>
          <w:sz w:val="22"/>
          <w:szCs w:val="22"/>
          <w:lang w:val="en-US"/>
        </w:rPr>
      </w:pPr>
      <w:r>
        <w:rPr>
          <w:rFonts w:asciiTheme="minorHAnsi" w:hAnsiTheme="minorHAnsi" w:cstheme="minorHAnsi"/>
          <w:bCs/>
          <w:sz w:val="22"/>
          <w:szCs w:val="22"/>
          <w:lang w:val="en-US"/>
        </w:rPr>
        <w:t xml:space="preserve">The clause in the contract allows </w:t>
      </w:r>
      <w:r w:rsidR="00BE410E">
        <w:rPr>
          <w:rFonts w:asciiTheme="minorHAnsi" w:hAnsiTheme="minorHAnsi" w:cstheme="minorHAnsi"/>
          <w:bCs/>
          <w:sz w:val="22"/>
          <w:szCs w:val="22"/>
          <w:lang w:val="en-US"/>
        </w:rPr>
        <w:t xml:space="preserve">for </w:t>
      </w:r>
      <w:r>
        <w:rPr>
          <w:rFonts w:asciiTheme="minorHAnsi" w:hAnsiTheme="minorHAnsi" w:cstheme="minorHAnsi"/>
          <w:bCs/>
          <w:sz w:val="22"/>
          <w:szCs w:val="22"/>
          <w:lang w:val="en-US"/>
        </w:rPr>
        <w:t>the ability to identify the potential to mutually agree on a different location.  It gives the parties the opportunity to get things done more quickly unless they decide they want to move to a different location.</w:t>
      </w:r>
      <w:r>
        <w:rPr>
          <w:rFonts w:asciiTheme="minorHAnsi" w:hAnsiTheme="minorHAnsi" w:cstheme="minorHAnsi"/>
          <w:bCs/>
          <w:sz w:val="22"/>
          <w:szCs w:val="22"/>
          <w:lang w:val="en-US"/>
        </w:rPr>
        <w:br/>
        <w:t xml:space="preserve"> </w:t>
      </w:r>
    </w:p>
    <w:p w14:paraId="52FDA343" w14:textId="0ACF38AF" w:rsidR="00B55724" w:rsidRPr="00C06C29" w:rsidRDefault="00B55724" w:rsidP="00B55724">
      <w:pPr>
        <w:pStyle w:val="ListParagraph"/>
        <w:numPr>
          <w:ilvl w:val="1"/>
          <w:numId w:val="15"/>
        </w:numPr>
        <w:rPr>
          <w:rFonts w:asciiTheme="minorHAnsi" w:hAnsiTheme="minorHAnsi" w:cstheme="minorHAnsi"/>
          <w:b/>
          <w:sz w:val="22"/>
          <w:szCs w:val="22"/>
          <w:lang w:val="en-US"/>
        </w:rPr>
      </w:pPr>
      <w:r w:rsidRPr="00C06C29">
        <w:rPr>
          <w:rFonts w:asciiTheme="minorHAnsi" w:hAnsiTheme="minorHAnsi" w:cstheme="minorHAnsi"/>
          <w:b/>
          <w:sz w:val="22"/>
          <w:szCs w:val="22"/>
          <w:lang w:val="en-US"/>
        </w:rPr>
        <w:t xml:space="preserve">Article VIII, Section 8.1 Complaint Resolution Process (workbook row 48): </w:t>
      </w:r>
    </w:p>
    <w:p w14:paraId="0790BC7A" w14:textId="2261499E" w:rsidR="00B55724" w:rsidRDefault="00BA18DE" w:rsidP="00B55724">
      <w:pPr>
        <w:pStyle w:val="ListParagraph"/>
        <w:numPr>
          <w:ilvl w:val="2"/>
          <w:numId w:val="15"/>
        </w:numPr>
        <w:rPr>
          <w:rFonts w:asciiTheme="minorHAnsi" w:hAnsiTheme="minorHAnsi" w:cstheme="minorHAnsi"/>
          <w:b/>
          <w:sz w:val="22"/>
          <w:szCs w:val="22"/>
          <w:lang w:val="en-US"/>
        </w:rPr>
      </w:pPr>
      <w:r>
        <w:rPr>
          <w:rFonts w:asciiTheme="minorHAnsi" w:hAnsiTheme="minorHAnsi" w:cstheme="minorHAnsi"/>
          <w:b/>
          <w:sz w:val="22"/>
          <w:szCs w:val="22"/>
          <w:lang w:val="en-US"/>
        </w:rPr>
        <w:t>W</w:t>
      </w:r>
      <w:r w:rsidR="00B55724" w:rsidRPr="00C06C29">
        <w:rPr>
          <w:rFonts w:asciiTheme="minorHAnsi" w:hAnsiTheme="minorHAnsi" w:cstheme="minorHAnsi"/>
          <w:b/>
          <w:sz w:val="22"/>
          <w:szCs w:val="22"/>
          <w:lang w:val="en-US"/>
        </w:rPr>
        <w:t>hat is the nature of complaint that could be escalated to the Ombudsman?</w:t>
      </w:r>
    </w:p>
    <w:p w14:paraId="0D8D685B" w14:textId="77777777" w:rsidR="000E1433" w:rsidRDefault="000E1433" w:rsidP="000E1433">
      <w:pPr>
        <w:pStyle w:val="ListParagraph"/>
        <w:ind w:left="1080"/>
        <w:rPr>
          <w:rFonts w:asciiTheme="minorHAnsi" w:hAnsiTheme="minorHAnsi" w:cstheme="minorHAnsi"/>
          <w:b/>
          <w:sz w:val="22"/>
          <w:szCs w:val="22"/>
          <w:lang w:val="en-US"/>
        </w:rPr>
      </w:pPr>
    </w:p>
    <w:p w14:paraId="044A9A9E" w14:textId="2087C4E4" w:rsidR="000E1433" w:rsidRPr="00051635" w:rsidRDefault="000E1433" w:rsidP="00BE410E">
      <w:pPr>
        <w:pStyle w:val="ListParagraph"/>
        <w:numPr>
          <w:ilvl w:val="0"/>
          <w:numId w:val="37"/>
        </w:numPr>
        <w:rPr>
          <w:rFonts w:asciiTheme="minorHAnsi" w:hAnsiTheme="minorHAnsi" w:cstheme="minorHAnsi"/>
          <w:bCs/>
          <w:sz w:val="22"/>
          <w:szCs w:val="22"/>
          <w:lang w:val="en-US"/>
        </w:rPr>
      </w:pPr>
      <w:r w:rsidRPr="00051635">
        <w:rPr>
          <w:rFonts w:asciiTheme="minorHAnsi" w:hAnsiTheme="minorHAnsi" w:cstheme="minorHAnsi"/>
          <w:bCs/>
          <w:sz w:val="22"/>
          <w:szCs w:val="22"/>
          <w:lang w:val="en-US"/>
        </w:rPr>
        <w:lastRenderedPageBreak/>
        <w:t>There is always a potential that any customer or anyone who comes to ICANN or PTI might have th</w:t>
      </w:r>
      <w:r w:rsidR="00BE410E" w:rsidRPr="00051635">
        <w:rPr>
          <w:rFonts w:asciiTheme="minorHAnsi" w:hAnsiTheme="minorHAnsi" w:cstheme="minorHAnsi"/>
          <w:bCs/>
          <w:sz w:val="22"/>
          <w:szCs w:val="22"/>
          <w:lang w:val="en-US"/>
        </w:rPr>
        <w:t>e</w:t>
      </w:r>
      <w:r w:rsidRPr="00051635">
        <w:rPr>
          <w:rFonts w:asciiTheme="minorHAnsi" w:hAnsiTheme="minorHAnsi" w:cstheme="minorHAnsi"/>
          <w:bCs/>
          <w:sz w:val="22"/>
          <w:szCs w:val="22"/>
          <w:lang w:val="en-US"/>
        </w:rPr>
        <w:t xml:space="preserve"> concern </w:t>
      </w:r>
      <w:r w:rsidR="00BE410E" w:rsidRPr="00051635">
        <w:rPr>
          <w:rFonts w:asciiTheme="minorHAnsi" w:hAnsiTheme="minorHAnsi" w:cstheme="minorHAnsi"/>
          <w:bCs/>
          <w:sz w:val="22"/>
          <w:szCs w:val="22"/>
          <w:lang w:val="en-US"/>
        </w:rPr>
        <w:t>that they are not being</w:t>
      </w:r>
      <w:r w:rsidRPr="00051635">
        <w:rPr>
          <w:rFonts w:asciiTheme="minorHAnsi" w:hAnsiTheme="minorHAnsi" w:cstheme="minorHAnsi"/>
          <w:bCs/>
          <w:sz w:val="22"/>
          <w:szCs w:val="22"/>
          <w:lang w:val="en-US"/>
        </w:rPr>
        <w:t xml:space="preserve"> treated fairly</w:t>
      </w:r>
      <w:r w:rsidR="001B298E" w:rsidRPr="00051635">
        <w:rPr>
          <w:rFonts w:asciiTheme="minorHAnsi" w:hAnsiTheme="minorHAnsi" w:cstheme="minorHAnsi"/>
          <w:bCs/>
          <w:sz w:val="22"/>
          <w:szCs w:val="22"/>
          <w:lang w:val="en-US"/>
        </w:rPr>
        <w:t xml:space="preserve"> no matter the topic (i.e. Customer</w:t>
      </w:r>
      <w:r w:rsidRPr="00051635">
        <w:rPr>
          <w:rFonts w:asciiTheme="minorHAnsi" w:hAnsiTheme="minorHAnsi" w:cstheme="minorHAnsi"/>
          <w:bCs/>
          <w:sz w:val="22"/>
          <w:szCs w:val="22"/>
          <w:lang w:val="en-US"/>
        </w:rPr>
        <w:t xml:space="preserve"> service, directly with the Ombudsman remit</w:t>
      </w:r>
      <w:r w:rsidR="001B298E" w:rsidRPr="00051635">
        <w:rPr>
          <w:rFonts w:asciiTheme="minorHAnsi" w:hAnsiTheme="minorHAnsi" w:cstheme="minorHAnsi"/>
          <w:bCs/>
          <w:sz w:val="22"/>
          <w:szCs w:val="22"/>
          <w:lang w:val="en-US"/>
        </w:rPr>
        <w:t>)</w:t>
      </w:r>
      <w:r w:rsidRPr="00051635">
        <w:rPr>
          <w:rFonts w:asciiTheme="minorHAnsi" w:hAnsiTheme="minorHAnsi" w:cstheme="minorHAnsi"/>
          <w:bCs/>
          <w:sz w:val="22"/>
          <w:szCs w:val="22"/>
          <w:lang w:val="en-US"/>
        </w:rPr>
        <w:t xml:space="preserve">. One of the things reflected within the </w:t>
      </w:r>
      <w:hyperlink r:id="rId12" w:history="1">
        <w:r w:rsidRPr="00051635">
          <w:rPr>
            <w:rStyle w:val="Hyperlink"/>
            <w:rFonts w:asciiTheme="minorHAnsi" w:hAnsiTheme="minorHAnsi" w:cstheme="minorHAnsi"/>
            <w:bCs/>
            <w:sz w:val="22"/>
            <w:szCs w:val="22"/>
            <w:lang w:val="en-US"/>
          </w:rPr>
          <w:t>ICG proposal</w:t>
        </w:r>
      </w:hyperlink>
      <w:r w:rsidRPr="00051635">
        <w:rPr>
          <w:rFonts w:asciiTheme="minorHAnsi" w:hAnsiTheme="minorHAnsi" w:cstheme="minorHAnsi"/>
          <w:bCs/>
          <w:sz w:val="22"/>
          <w:szCs w:val="22"/>
          <w:lang w:val="en-US"/>
        </w:rPr>
        <w:t xml:space="preserve"> is this recognition. Paragraph 1368 </w:t>
      </w:r>
      <w:r w:rsidR="001B298E" w:rsidRPr="00051635">
        <w:rPr>
          <w:rFonts w:asciiTheme="minorHAnsi" w:hAnsiTheme="minorHAnsi" w:cstheme="minorHAnsi"/>
          <w:bCs/>
          <w:sz w:val="22"/>
          <w:szCs w:val="22"/>
          <w:lang w:val="en-US"/>
        </w:rPr>
        <w:t>states “Efforts</w:t>
      </w:r>
      <w:r w:rsidRPr="00051635">
        <w:rPr>
          <w:rFonts w:asciiTheme="minorHAnsi" w:hAnsiTheme="minorHAnsi" w:cstheme="minorHAnsi"/>
          <w:bCs/>
          <w:sz w:val="22"/>
          <w:szCs w:val="22"/>
          <w:lang w:val="en-US"/>
        </w:rPr>
        <w:t xml:space="preserve"> are made to resolve complaints as soon as possible, but the structure of process above allows escalation to IANA management team</w:t>
      </w:r>
      <w:r w:rsidR="000C6468" w:rsidRPr="00051635">
        <w:rPr>
          <w:rFonts w:asciiTheme="minorHAnsi" w:hAnsiTheme="minorHAnsi" w:cstheme="minorHAnsi"/>
          <w:bCs/>
          <w:sz w:val="22"/>
          <w:szCs w:val="22"/>
          <w:lang w:val="en-US"/>
        </w:rPr>
        <w:t xml:space="preserve">. If, at any point, the complaint is not satisfied with the resolution process, the complainant can use the Ombudsman (or similar process) instead.” This </w:t>
      </w:r>
      <w:r w:rsidR="001B298E" w:rsidRPr="00051635">
        <w:rPr>
          <w:rFonts w:asciiTheme="minorHAnsi" w:hAnsiTheme="minorHAnsi" w:cstheme="minorHAnsi"/>
          <w:bCs/>
          <w:sz w:val="22"/>
          <w:szCs w:val="22"/>
          <w:lang w:val="en-US"/>
        </w:rPr>
        <w:t xml:space="preserve">clause </w:t>
      </w:r>
      <w:r w:rsidR="000C6468" w:rsidRPr="00051635">
        <w:rPr>
          <w:rFonts w:asciiTheme="minorHAnsi" w:hAnsiTheme="minorHAnsi" w:cstheme="minorHAnsi"/>
          <w:bCs/>
          <w:sz w:val="22"/>
          <w:szCs w:val="22"/>
          <w:lang w:val="en-US"/>
        </w:rPr>
        <w:t>should not be read as to expanding the Ombudsman</w:t>
      </w:r>
      <w:r w:rsidR="001B298E" w:rsidRPr="00051635">
        <w:rPr>
          <w:rFonts w:asciiTheme="minorHAnsi" w:hAnsiTheme="minorHAnsi" w:cstheme="minorHAnsi"/>
          <w:bCs/>
          <w:sz w:val="22"/>
          <w:szCs w:val="22"/>
          <w:lang w:val="en-US"/>
        </w:rPr>
        <w:t>’s jurisdiction</w:t>
      </w:r>
      <w:r w:rsidR="000C6468" w:rsidRPr="00051635">
        <w:rPr>
          <w:rFonts w:asciiTheme="minorHAnsi" w:hAnsiTheme="minorHAnsi" w:cstheme="minorHAnsi"/>
          <w:bCs/>
          <w:sz w:val="22"/>
          <w:szCs w:val="22"/>
          <w:lang w:val="en-US"/>
        </w:rPr>
        <w:t>, but rather it should be read in harmony with the jurisdiction and based on dissatisfaction.</w:t>
      </w:r>
    </w:p>
    <w:p w14:paraId="24F8C6A8" w14:textId="4751A4FC" w:rsidR="000C6468" w:rsidRDefault="00000000" w:rsidP="000E1433">
      <w:pPr>
        <w:pStyle w:val="ListParagraph"/>
        <w:numPr>
          <w:ilvl w:val="0"/>
          <w:numId w:val="37"/>
        </w:numPr>
        <w:rPr>
          <w:rFonts w:asciiTheme="minorHAnsi" w:hAnsiTheme="minorHAnsi" w:cstheme="minorHAnsi"/>
          <w:bCs/>
          <w:sz w:val="22"/>
          <w:szCs w:val="22"/>
          <w:lang w:val="en-US"/>
        </w:rPr>
      </w:pPr>
      <w:hyperlink r:id="rId13" w:history="1">
        <w:r w:rsidR="001B298E" w:rsidRPr="00051635">
          <w:rPr>
            <w:rStyle w:val="Hyperlink"/>
            <w:rFonts w:asciiTheme="minorHAnsi" w:hAnsiTheme="minorHAnsi" w:cstheme="minorHAnsi"/>
            <w:bCs/>
            <w:sz w:val="22"/>
            <w:szCs w:val="22"/>
            <w:lang w:val="en-US"/>
          </w:rPr>
          <w:t xml:space="preserve">ICG </w:t>
        </w:r>
        <w:r w:rsidR="000C6468" w:rsidRPr="00051635">
          <w:rPr>
            <w:rStyle w:val="Hyperlink"/>
            <w:rFonts w:asciiTheme="minorHAnsi" w:hAnsiTheme="minorHAnsi" w:cstheme="minorHAnsi"/>
            <w:bCs/>
            <w:sz w:val="22"/>
            <w:szCs w:val="22"/>
            <w:lang w:val="en-US"/>
          </w:rPr>
          <w:t>Pg .111</w:t>
        </w:r>
      </w:hyperlink>
      <w:r w:rsidR="000C6468" w:rsidRPr="00051635">
        <w:rPr>
          <w:rFonts w:asciiTheme="minorHAnsi" w:hAnsiTheme="minorHAnsi" w:cstheme="minorHAnsi"/>
          <w:bCs/>
          <w:sz w:val="22"/>
          <w:szCs w:val="22"/>
          <w:lang w:val="en-US"/>
        </w:rPr>
        <w:t xml:space="preserve"> ‘Phase’ specifically identifies ICANN Ombudsman’s roles and one of those roles goes to non-direct customers.</w:t>
      </w:r>
    </w:p>
    <w:p w14:paraId="6C14D423" w14:textId="398EBCC5" w:rsidR="00E60D99" w:rsidRPr="00051635" w:rsidRDefault="00E60D99" w:rsidP="000E1433">
      <w:pPr>
        <w:pStyle w:val="ListParagraph"/>
        <w:numPr>
          <w:ilvl w:val="0"/>
          <w:numId w:val="37"/>
        </w:numPr>
        <w:rPr>
          <w:rFonts w:asciiTheme="minorHAnsi" w:hAnsiTheme="minorHAnsi" w:cstheme="minorHAnsi"/>
          <w:bCs/>
          <w:sz w:val="22"/>
          <w:szCs w:val="22"/>
          <w:lang w:val="en-US"/>
        </w:rPr>
      </w:pPr>
      <w:r>
        <w:rPr>
          <w:rFonts w:asciiTheme="minorHAnsi" w:hAnsiTheme="minorHAnsi" w:cstheme="minorHAnsi"/>
          <w:bCs/>
          <w:sz w:val="22"/>
          <w:szCs w:val="22"/>
          <w:lang w:val="en-US"/>
        </w:rPr>
        <w:t>There are opportunities for the Ombudsman to have jurisdiction over the issues, if they are properly framed. This has never been tested as ICANN has not had a complaint go through this process.</w:t>
      </w:r>
    </w:p>
    <w:p w14:paraId="123C8FFB" w14:textId="77777777" w:rsidR="000E1433" w:rsidRPr="00BE410E" w:rsidRDefault="000E1433" w:rsidP="00BE410E">
      <w:pPr>
        <w:rPr>
          <w:rFonts w:asciiTheme="minorHAnsi" w:hAnsiTheme="minorHAnsi" w:cstheme="minorHAnsi"/>
          <w:b/>
          <w:sz w:val="22"/>
          <w:szCs w:val="22"/>
          <w:lang w:val="en-US"/>
        </w:rPr>
      </w:pPr>
    </w:p>
    <w:p w14:paraId="5E4CCD08" w14:textId="29ACA8DB" w:rsidR="00B55724" w:rsidRDefault="00BA18DE" w:rsidP="00B55724">
      <w:pPr>
        <w:pStyle w:val="ListParagraph"/>
        <w:numPr>
          <w:ilvl w:val="2"/>
          <w:numId w:val="15"/>
        </w:numPr>
        <w:rPr>
          <w:rFonts w:asciiTheme="minorHAnsi" w:hAnsiTheme="minorHAnsi" w:cstheme="minorHAnsi"/>
          <w:b/>
          <w:sz w:val="22"/>
          <w:szCs w:val="22"/>
          <w:lang w:val="en-US"/>
        </w:rPr>
      </w:pPr>
      <w:r>
        <w:rPr>
          <w:rFonts w:asciiTheme="minorHAnsi" w:hAnsiTheme="minorHAnsi" w:cstheme="minorHAnsi"/>
          <w:b/>
          <w:sz w:val="22"/>
          <w:szCs w:val="22"/>
          <w:lang w:val="en-US"/>
        </w:rPr>
        <w:t>W</w:t>
      </w:r>
      <w:r w:rsidR="00B55724" w:rsidRPr="00C06C29">
        <w:rPr>
          <w:rFonts w:asciiTheme="minorHAnsi" w:hAnsiTheme="minorHAnsi" w:cstheme="minorHAnsi"/>
          <w:b/>
          <w:sz w:val="22"/>
          <w:szCs w:val="22"/>
          <w:lang w:val="en-US"/>
        </w:rPr>
        <w:t>ould the Ombudsman be prepared to deal with the issue, i.e., does it appear on their duty list?</w:t>
      </w:r>
    </w:p>
    <w:p w14:paraId="70581C6A" w14:textId="5015144A" w:rsidR="00F3511C" w:rsidRPr="000A582D" w:rsidRDefault="00F3511C" w:rsidP="00BA18DE">
      <w:pPr>
        <w:pStyle w:val="ListParagraph"/>
        <w:numPr>
          <w:ilvl w:val="0"/>
          <w:numId w:val="46"/>
        </w:numPr>
        <w:rPr>
          <w:rFonts w:asciiTheme="minorHAnsi" w:hAnsiTheme="minorHAnsi" w:cstheme="minorHAnsi"/>
          <w:bCs/>
          <w:sz w:val="22"/>
          <w:szCs w:val="22"/>
          <w:lang w:val="en-US"/>
        </w:rPr>
      </w:pPr>
      <w:r w:rsidRPr="000A582D">
        <w:rPr>
          <w:rFonts w:asciiTheme="minorHAnsi" w:hAnsiTheme="minorHAnsi" w:cstheme="minorHAnsi"/>
          <w:bCs/>
          <w:sz w:val="22"/>
          <w:szCs w:val="22"/>
          <w:lang w:val="en-US"/>
        </w:rPr>
        <w:t>We want to be careful about expanding the role of the Ombudsman too much because if you give the Ombudsman a role outside of its fairness remit, then it likely becomes conflicted if the same matter comes into the fairness remit, they’ve already had it.</w:t>
      </w:r>
    </w:p>
    <w:p w14:paraId="6D25B0B9" w14:textId="6EBFDC14" w:rsidR="00F3511C" w:rsidRPr="00BA18DE" w:rsidRDefault="000A582D" w:rsidP="00BA18DE">
      <w:pPr>
        <w:pStyle w:val="ListParagraph"/>
        <w:numPr>
          <w:ilvl w:val="0"/>
          <w:numId w:val="46"/>
        </w:numPr>
        <w:rPr>
          <w:rFonts w:asciiTheme="minorHAnsi" w:hAnsiTheme="minorHAnsi" w:cstheme="minorHAnsi"/>
          <w:bCs/>
          <w:sz w:val="22"/>
          <w:szCs w:val="22"/>
          <w:lang w:val="en-US"/>
        </w:rPr>
      </w:pPr>
      <w:r>
        <w:rPr>
          <w:rFonts w:asciiTheme="minorHAnsi" w:hAnsiTheme="minorHAnsi" w:cstheme="minorHAnsi"/>
          <w:bCs/>
          <w:sz w:val="22"/>
          <w:szCs w:val="22"/>
          <w:lang w:val="en-US"/>
        </w:rPr>
        <w:t>ICANN org has</w:t>
      </w:r>
      <w:r w:rsidR="00F3511C" w:rsidRPr="00BA18DE">
        <w:rPr>
          <w:rFonts w:asciiTheme="minorHAnsi" w:hAnsiTheme="minorHAnsi" w:cstheme="minorHAnsi"/>
          <w:bCs/>
          <w:sz w:val="22"/>
          <w:szCs w:val="22"/>
          <w:lang w:val="en-US"/>
        </w:rPr>
        <w:t xml:space="preserve"> a process for</w:t>
      </w:r>
      <w:r>
        <w:rPr>
          <w:rFonts w:asciiTheme="minorHAnsi" w:hAnsiTheme="minorHAnsi" w:cstheme="minorHAnsi"/>
          <w:bCs/>
          <w:sz w:val="22"/>
          <w:szCs w:val="22"/>
          <w:lang w:val="en-US"/>
        </w:rPr>
        <w:t xml:space="preserve"> the</w:t>
      </w:r>
      <w:r w:rsidR="00F3511C" w:rsidRPr="00BA18DE">
        <w:rPr>
          <w:rFonts w:asciiTheme="minorHAnsi" w:hAnsiTheme="minorHAnsi" w:cstheme="minorHAnsi"/>
          <w:bCs/>
          <w:sz w:val="22"/>
          <w:szCs w:val="22"/>
          <w:lang w:val="en-US"/>
        </w:rPr>
        <w:t xml:space="preserve"> Ombudsman to be assigned different tasks that might not actually be reflected within its documented duties, and that would go back to having community conversations.</w:t>
      </w:r>
    </w:p>
    <w:p w14:paraId="0912CFB8" w14:textId="77777777" w:rsidR="002F1D97" w:rsidRPr="009C1054" w:rsidRDefault="002F1D97" w:rsidP="009C1054">
      <w:pPr>
        <w:rPr>
          <w:rFonts w:asciiTheme="minorHAnsi" w:hAnsiTheme="minorHAnsi" w:cstheme="minorHAnsi"/>
          <w:bCs/>
          <w:sz w:val="22"/>
          <w:szCs w:val="22"/>
          <w:lang w:val="en-US"/>
        </w:rPr>
      </w:pPr>
    </w:p>
    <w:p w14:paraId="3E439FE0" w14:textId="77777777" w:rsidR="00B55724" w:rsidRDefault="00B55724" w:rsidP="00B55724">
      <w:pPr>
        <w:pStyle w:val="ListParagraph"/>
        <w:ind w:left="360"/>
        <w:rPr>
          <w:rFonts w:asciiTheme="minorHAnsi" w:hAnsiTheme="minorHAnsi" w:cstheme="minorHAnsi"/>
          <w:b/>
          <w:sz w:val="22"/>
          <w:szCs w:val="22"/>
          <w:lang w:val="en-US"/>
        </w:rPr>
      </w:pPr>
    </w:p>
    <w:p w14:paraId="3A640760" w14:textId="212BDB50" w:rsidR="00B55724" w:rsidRDefault="00B55724" w:rsidP="00D82C1C">
      <w:pPr>
        <w:pStyle w:val="ListParagraph"/>
        <w:numPr>
          <w:ilvl w:val="0"/>
          <w:numId w:val="15"/>
        </w:numPr>
        <w:rPr>
          <w:rFonts w:asciiTheme="minorHAnsi" w:hAnsiTheme="minorHAnsi" w:cstheme="minorHAnsi"/>
          <w:b/>
          <w:sz w:val="22"/>
          <w:szCs w:val="22"/>
          <w:lang w:val="en-US"/>
        </w:rPr>
      </w:pPr>
      <w:r>
        <w:rPr>
          <w:rFonts w:asciiTheme="minorHAnsi" w:hAnsiTheme="minorHAnsi" w:cstheme="minorHAnsi"/>
          <w:b/>
          <w:sz w:val="22"/>
          <w:szCs w:val="22"/>
          <w:lang w:val="en-US"/>
        </w:rPr>
        <w:t>Review specific questions for PTI (with Kim Davies, PTI)</w:t>
      </w:r>
    </w:p>
    <w:p w14:paraId="6CAC8CF9" w14:textId="27758664" w:rsidR="00B55724" w:rsidRPr="00C06C29" w:rsidRDefault="00B55724" w:rsidP="00B55724">
      <w:pPr>
        <w:pStyle w:val="ListParagraph"/>
        <w:numPr>
          <w:ilvl w:val="1"/>
          <w:numId w:val="15"/>
        </w:numPr>
        <w:rPr>
          <w:rFonts w:asciiTheme="minorHAnsi" w:hAnsiTheme="minorHAnsi" w:cstheme="minorHAnsi"/>
          <w:b/>
          <w:sz w:val="22"/>
          <w:szCs w:val="22"/>
          <w:lang w:val="en-US"/>
        </w:rPr>
      </w:pPr>
      <w:r w:rsidRPr="00C06C29">
        <w:rPr>
          <w:rFonts w:asciiTheme="minorHAnsi" w:hAnsiTheme="minorHAnsi" w:cstheme="minorHAnsi"/>
          <w:b/>
          <w:sz w:val="22"/>
          <w:szCs w:val="22"/>
          <w:lang w:val="en-US"/>
        </w:rPr>
        <w:t xml:space="preserve">Article VII, Section 7.1 (b) Audits (workbook row 41): “Contractor shall annually perform a specialized compliance audit of Contractor’s security provisions relating to the IANA Naming Function against existing best practices and ARTICLE XI. This specialized compliance audit shall be performed by an external, independent auditor.” </w:t>
      </w:r>
    </w:p>
    <w:p w14:paraId="6499B958" w14:textId="4CF71107" w:rsidR="00DF2256" w:rsidRDefault="00B55724" w:rsidP="00B55724">
      <w:pPr>
        <w:pStyle w:val="ListParagraph"/>
        <w:numPr>
          <w:ilvl w:val="2"/>
          <w:numId w:val="15"/>
        </w:numPr>
        <w:rPr>
          <w:rFonts w:asciiTheme="minorHAnsi" w:hAnsiTheme="minorHAnsi" w:cstheme="minorHAnsi"/>
          <w:b/>
          <w:sz w:val="22"/>
          <w:szCs w:val="22"/>
          <w:lang w:val="en-US"/>
        </w:rPr>
      </w:pPr>
      <w:r w:rsidRPr="00C06C29">
        <w:rPr>
          <w:rFonts w:asciiTheme="minorHAnsi" w:hAnsiTheme="minorHAnsi" w:cstheme="minorHAnsi"/>
          <w:b/>
          <w:sz w:val="22"/>
          <w:szCs w:val="22"/>
          <w:lang w:val="en-US"/>
        </w:rPr>
        <w:t xml:space="preserve">Are these reports happening? </w:t>
      </w:r>
    </w:p>
    <w:p w14:paraId="694F02CE" w14:textId="77777777" w:rsidR="00BE410E" w:rsidRPr="00BE410E" w:rsidRDefault="00F3511C" w:rsidP="00DF2256">
      <w:pPr>
        <w:pStyle w:val="ListParagraph"/>
        <w:numPr>
          <w:ilvl w:val="0"/>
          <w:numId w:val="40"/>
        </w:numPr>
        <w:rPr>
          <w:rFonts w:asciiTheme="minorHAnsi" w:hAnsiTheme="minorHAnsi" w:cstheme="minorHAnsi"/>
          <w:b/>
          <w:sz w:val="22"/>
          <w:szCs w:val="22"/>
          <w:lang w:val="en-US"/>
        </w:rPr>
      </w:pPr>
      <w:r w:rsidRPr="00F3511C">
        <w:rPr>
          <w:rFonts w:asciiTheme="minorHAnsi" w:hAnsiTheme="minorHAnsi" w:cstheme="minorHAnsi"/>
          <w:bCs/>
          <w:sz w:val="22"/>
          <w:szCs w:val="22"/>
          <w:lang w:val="en-US"/>
        </w:rPr>
        <w:t>PTI has a practice of conducting two annual third party service organization</w:t>
      </w:r>
      <w:r w:rsidR="00C93BD0">
        <w:rPr>
          <w:rFonts w:asciiTheme="minorHAnsi" w:hAnsiTheme="minorHAnsi" w:cstheme="minorHAnsi"/>
          <w:bCs/>
          <w:sz w:val="22"/>
          <w:szCs w:val="22"/>
          <w:lang w:val="en-US"/>
        </w:rPr>
        <w:t>al</w:t>
      </w:r>
      <w:r w:rsidRPr="00F3511C">
        <w:rPr>
          <w:rFonts w:asciiTheme="minorHAnsi" w:hAnsiTheme="minorHAnsi" w:cstheme="minorHAnsi"/>
          <w:bCs/>
          <w:sz w:val="22"/>
          <w:szCs w:val="22"/>
          <w:lang w:val="en-US"/>
        </w:rPr>
        <w:t xml:space="preserve"> control</w:t>
      </w:r>
      <w:r>
        <w:rPr>
          <w:rFonts w:asciiTheme="minorHAnsi" w:hAnsiTheme="minorHAnsi" w:cstheme="minorHAnsi"/>
          <w:b/>
          <w:sz w:val="22"/>
          <w:szCs w:val="22"/>
          <w:lang w:val="en-US"/>
        </w:rPr>
        <w:t xml:space="preserve"> </w:t>
      </w:r>
      <w:r w:rsidR="00BE410E" w:rsidRPr="00DF2256">
        <w:rPr>
          <w:rFonts w:asciiTheme="minorHAnsi" w:hAnsiTheme="minorHAnsi" w:cstheme="minorHAnsi"/>
          <w:bCs/>
          <w:sz w:val="22"/>
          <w:szCs w:val="22"/>
          <w:lang w:val="en-US"/>
        </w:rPr>
        <w:t>audits</w:t>
      </w:r>
      <w:r w:rsidR="00BE410E">
        <w:rPr>
          <w:rFonts w:asciiTheme="minorHAnsi" w:hAnsiTheme="minorHAnsi" w:cstheme="minorHAnsi"/>
          <w:bCs/>
          <w:sz w:val="22"/>
          <w:szCs w:val="22"/>
          <w:lang w:val="en-US"/>
        </w:rPr>
        <w:t xml:space="preserve">, </w:t>
      </w:r>
      <w:r w:rsidR="00BE410E" w:rsidRPr="00DF2256">
        <w:rPr>
          <w:rFonts w:asciiTheme="minorHAnsi" w:hAnsiTheme="minorHAnsi" w:cstheme="minorHAnsi"/>
          <w:bCs/>
          <w:sz w:val="22"/>
          <w:szCs w:val="22"/>
          <w:lang w:val="en-US"/>
        </w:rPr>
        <w:t>also</w:t>
      </w:r>
      <w:r w:rsidRPr="00DF2256">
        <w:rPr>
          <w:rFonts w:asciiTheme="minorHAnsi" w:hAnsiTheme="minorHAnsi" w:cstheme="minorHAnsi"/>
          <w:bCs/>
          <w:sz w:val="22"/>
          <w:szCs w:val="22"/>
          <w:lang w:val="en-US"/>
        </w:rPr>
        <w:t xml:space="preserve"> known as </w:t>
      </w:r>
      <w:r w:rsidR="00DF2256" w:rsidRPr="00DF2256">
        <w:rPr>
          <w:rFonts w:asciiTheme="minorHAnsi" w:hAnsiTheme="minorHAnsi" w:cstheme="minorHAnsi"/>
          <w:bCs/>
          <w:sz w:val="22"/>
          <w:szCs w:val="22"/>
          <w:lang w:val="en-US"/>
        </w:rPr>
        <w:t xml:space="preserve">SOC audits. </w:t>
      </w:r>
    </w:p>
    <w:p w14:paraId="1BB388B8" w14:textId="12D418BF" w:rsidR="00B55724" w:rsidRDefault="00BE410E" w:rsidP="00DF2256">
      <w:pPr>
        <w:pStyle w:val="ListParagraph"/>
        <w:numPr>
          <w:ilvl w:val="0"/>
          <w:numId w:val="40"/>
        </w:numPr>
        <w:rPr>
          <w:rFonts w:asciiTheme="minorHAnsi" w:hAnsiTheme="minorHAnsi" w:cstheme="minorHAnsi"/>
          <w:b/>
          <w:sz w:val="22"/>
          <w:szCs w:val="22"/>
          <w:lang w:val="en-US"/>
        </w:rPr>
      </w:pPr>
      <w:r>
        <w:rPr>
          <w:rFonts w:asciiTheme="minorHAnsi" w:hAnsiTheme="minorHAnsi" w:cstheme="minorHAnsi"/>
          <w:bCs/>
          <w:sz w:val="22"/>
          <w:szCs w:val="22"/>
          <w:lang w:val="en-US"/>
        </w:rPr>
        <w:t>The first type</w:t>
      </w:r>
      <w:r w:rsidR="00DF2256" w:rsidRPr="00DF2256">
        <w:rPr>
          <w:rFonts w:asciiTheme="minorHAnsi" w:hAnsiTheme="minorHAnsi" w:cstheme="minorHAnsi"/>
          <w:bCs/>
          <w:sz w:val="22"/>
          <w:szCs w:val="22"/>
          <w:lang w:val="en-US"/>
        </w:rPr>
        <w:t xml:space="preserve"> is referred to as SOC2 audit, a </w:t>
      </w:r>
      <w:r w:rsidR="00C93BD0">
        <w:rPr>
          <w:rFonts w:asciiTheme="minorHAnsi" w:hAnsiTheme="minorHAnsi" w:cstheme="minorHAnsi"/>
          <w:bCs/>
          <w:sz w:val="22"/>
          <w:szCs w:val="22"/>
          <w:lang w:val="en-US"/>
        </w:rPr>
        <w:t>T</w:t>
      </w:r>
      <w:r w:rsidR="00DF2256" w:rsidRPr="00DF2256">
        <w:rPr>
          <w:rFonts w:asciiTheme="minorHAnsi" w:hAnsiTheme="minorHAnsi" w:cstheme="minorHAnsi"/>
          <w:bCs/>
          <w:sz w:val="22"/>
          <w:szCs w:val="22"/>
          <w:lang w:val="en-US"/>
        </w:rPr>
        <w:t xml:space="preserve">ype </w:t>
      </w:r>
      <w:r w:rsidR="00C93BD0">
        <w:rPr>
          <w:rFonts w:asciiTheme="minorHAnsi" w:hAnsiTheme="minorHAnsi" w:cstheme="minorHAnsi"/>
          <w:bCs/>
          <w:sz w:val="22"/>
          <w:szCs w:val="22"/>
          <w:lang w:val="en-US"/>
        </w:rPr>
        <w:t>II</w:t>
      </w:r>
      <w:r w:rsidR="00DF2256" w:rsidRPr="00DF2256">
        <w:rPr>
          <w:rFonts w:asciiTheme="minorHAnsi" w:hAnsiTheme="minorHAnsi" w:cstheme="minorHAnsi"/>
          <w:bCs/>
          <w:sz w:val="22"/>
          <w:szCs w:val="22"/>
          <w:lang w:val="en-US"/>
        </w:rPr>
        <w:t xml:space="preserve"> sales organization control audit which governs </w:t>
      </w:r>
      <w:r w:rsidR="0058016A" w:rsidRPr="00DF2256">
        <w:rPr>
          <w:rFonts w:asciiTheme="minorHAnsi" w:hAnsiTheme="minorHAnsi" w:cstheme="minorHAnsi"/>
          <w:bCs/>
          <w:sz w:val="22"/>
          <w:szCs w:val="22"/>
          <w:lang w:val="en-US"/>
        </w:rPr>
        <w:t>all</w:t>
      </w:r>
      <w:r w:rsidR="00DF2256" w:rsidRPr="00DF2256">
        <w:rPr>
          <w:rFonts w:asciiTheme="minorHAnsi" w:hAnsiTheme="minorHAnsi" w:cstheme="minorHAnsi"/>
          <w:bCs/>
          <w:sz w:val="22"/>
          <w:szCs w:val="22"/>
          <w:lang w:val="en-US"/>
        </w:rPr>
        <w:t xml:space="preserve"> the IANA transactional processing activities. It assesses different security and operational controls related to how PTI does transactional processing.</w:t>
      </w:r>
    </w:p>
    <w:p w14:paraId="48341D4E" w14:textId="520C9F92" w:rsidR="00DF2256" w:rsidRPr="00B63504" w:rsidRDefault="0058016A" w:rsidP="00DF2256">
      <w:pPr>
        <w:pStyle w:val="ListParagraph"/>
        <w:numPr>
          <w:ilvl w:val="0"/>
          <w:numId w:val="39"/>
        </w:numPr>
        <w:rPr>
          <w:rFonts w:asciiTheme="minorHAnsi" w:hAnsiTheme="minorHAnsi" w:cstheme="minorHAnsi"/>
          <w:bCs/>
          <w:sz w:val="22"/>
          <w:szCs w:val="22"/>
          <w:lang w:val="en-US"/>
        </w:rPr>
      </w:pPr>
      <w:r w:rsidRPr="00B63504">
        <w:rPr>
          <w:rFonts w:asciiTheme="minorHAnsi" w:hAnsiTheme="minorHAnsi" w:cstheme="minorHAnsi"/>
          <w:bCs/>
          <w:sz w:val="22"/>
          <w:szCs w:val="22"/>
          <w:lang w:val="en-US"/>
        </w:rPr>
        <w:t xml:space="preserve">In parallel to SOC 2, PTI performs </w:t>
      </w:r>
      <w:r w:rsidR="00BE410E">
        <w:rPr>
          <w:rFonts w:asciiTheme="minorHAnsi" w:hAnsiTheme="minorHAnsi" w:cstheme="minorHAnsi"/>
          <w:bCs/>
          <w:sz w:val="22"/>
          <w:szCs w:val="22"/>
          <w:lang w:val="en-US"/>
        </w:rPr>
        <w:t xml:space="preserve">a </w:t>
      </w:r>
      <w:r w:rsidRPr="00B63504">
        <w:rPr>
          <w:rFonts w:asciiTheme="minorHAnsi" w:hAnsiTheme="minorHAnsi" w:cstheme="minorHAnsi"/>
          <w:bCs/>
          <w:sz w:val="22"/>
          <w:szCs w:val="22"/>
          <w:lang w:val="en-US"/>
        </w:rPr>
        <w:t xml:space="preserve">SOC 3 audit, </w:t>
      </w:r>
      <w:r w:rsidR="00BE410E">
        <w:rPr>
          <w:rFonts w:asciiTheme="minorHAnsi" w:hAnsiTheme="minorHAnsi" w:cstheme="minorHAnsi"/>
          <w:bCs/>
          <w:sz w:val="22"/>
          <w:szCs w:val="22"/>
          <w:lang w:val="en-US"/>
        </w:rPr>
        <w:t xml:space="preserve">which is </w:t>
      </w:r>
      <w:r w:rsidRPr="00B63504">
        <w:rPr>
          <w:rFonts w:asciiTheme="minorHAnsi" w:hAnsiTheme="minorHAnsi" w:cstheme="minorHAnsi"/>
          <w:bCs/>
          <w:sz w:val="22"/>
          <w:szCs w:val="22"/>
          <w:lang w:val="en-US"/>
        </w:rPr>
        <w:t xml:space="preserve">specific to how </w:t>
      </w:r>
      <w:r w:rsidR="00B63504" w:rsidRPr="00B63504">
        <w:rPr>
          <w:rFonts w:asciiTheme="minorHAnsi" w:hAnsiTheme="minorHAnsi" w:cstheme="minorHAnsi"/>
          <w:bCs/>
          <w:sz w:val="22"/>
          <w:szCs w:val="22"/>
          <w:lang w:val="en-US"/>
        </w:rPr>
        <w:t>IANA manages the root DNSSEC key signing tool</w:t>
      </w:r>
      <w:r w:rsidR="00BE410E">
        <w:rPr>
          <w:rFonts w:asciiTheme="minorHAnsi" w:hAnsiTheme="minorHAnsi" w:cstheme="minorHAnsi"/>
          <w:bCs/>
          <w:sz w:val="22"/>
          <w:szCs w:val="22"/>
          <w:lang w:val="en-US"/>
        </w:rPr>
        <w:t>.</w:t>
      </w:r>
    </w:p>
    <w:p w14:paraId="0BD9409D" w14:textId="393AC08D" w:rsidR="00B63504" w:rsidRPr="00B63504" w:rsidRDefault="00B63504" w:rsidP="00DF2256">
      <w:pPr>
        <w:pStyle w:val="ListParagraph"/>
        <w:numPr>
          <w:ilvl w:val="0"/>
          <w:numId w:val="39"/>
        </w:numPr>
        <w:rPr>
          <w:rFonts w:asciiTheme="minorHAnsi" w:hAnsiTheme="minorHAnsi" w:cstheme="minorHAnsi"/>
          <w:bCs/>
          <w:sz w:val="22"/>
          <w:szCs w:val="22"/>
          <w:lang w:val="en-US"/>
        </w:rPr>
      </w:pPr>
      <w:r w:rsidRPr="00B63504">
        <w:rPr>
          <w:rFonts w:asciiTheme="minorHAnsi" w:hAnsiTheme="minorHAnsi" w:cstheme="minorHAnsi"/>
          <w:bCs/>
          <w:sz w:val="22"/>
          <w:szCs w:val="22"/>
          <w:lang w:val="en-US"/>
        </w:rPr>
        <w:t xml:space="preserve">The </w:t>
      </w:r>
      <w:r w:rsidR="00BE410E">
        <w:rPr>
          <w:rFonts w:asciiTheme="minorHAnsi" w:hAnsiTheme="minorHAnsi" w:cstheme="minorHAnsi"/>
          <w:bCs/>
          <w:sz w:val="22"/>
          <w:szCs w:val="22"/>
          <w:lang w:val="en-US"/>
        </w:rPr>
        <w:t xml:space="preserve">SOC 3 </w:t>
      </w:r>
      <w:r w:rsidRPr="00B63504">
        <w:rPr>
          <w:rFonts w:asciiTheme="minorHAnsi" w:hAnsiTheme="minorHAnsi" w:cstheme="minorHAnsi"/>
          <w:bCs/>
          <w:sz w:val="22"/>
          <w:szCs w:val="22"/>
          <w:lang w:val="en-US"/>
        </w:rPr>
        <w:t xml:space="preserve">audit is structured differently and relates very specifically </w:t>
      </w:r>
      <w:r w:rsidR="00BE410E">
        <w:rPr>
          <w:rFonts w:asciiTheme="minorHAnsi" w:hAnsiTheme="minorHAnsi" w:cstheme="minorHAnsi"/>
          <w:bCs/>
          <w:sz w:val="22"/>
          <w:szCs w:val="22"/>
          <w:lang w:val="en-US"/>
        </w:rPr>
        <w:t xml:space="preserve">to </w:t>
      </w:r>
      <w:r w:rsidRPr="00B63504">
        <w:rPr>
          <w:rFonts w:asciiTheme="minorHAnsi" w:hAnsiTheme="minorHAnsi" w:cstheme="minorHAnsi"/>
          <w:bCs/>
          <w:sz w:val="22"/>
          <w:szCs w:val="22"/>
          <w:lang w:val="en-US"/>
        </w:rPr>
        <w:t xml:space="preserve">the security practices. It includes monitoring and observing how PTI conducts key signing ceremonies. It is very highly and narrowly defined in relation to that aspect of PTI’s operations. This audit </w:t>
      </w:r>
      <w:r w:rsidR="00BE410E" w:rsidRPr="00B63504">
        <w:rPr>
          <w:rFonts w:asciiTheme="minorHAnsi" w:hAnsiTheme="minorHAnsi" w:cstheme="minorHAnsi"/>
          <w:bCs/>
          <w:sz w:val="22"/>
          <w:szCs w:val="22"/>
          <w:lang w:val="en-US"/>
        </w:rPr>
        <w:t>dates to</w:t>
      </w:r>
      <w:r w:rsidRPr="00B63504">
        <w:rPr>
          <w:rFonts w:asciiTheme="minorHAnsi" w:hAnsiTheme="minorHAnsi" w:cstheme="minorHAnsi"/>
          <w:bCs/>
          <w:sz w:val="22"/>
          <w:szCs w:val="22"/>
          <w:lang w:val="en-US"/>
        </w:rPr>
        <w:t xml:space="preserve"> 2010, when IANA first started signing the root zone.</w:t>
      </w:r>
    </w:p>
    <w:p w14:paraId="3597E50B" w14:textId="77777777" w:rsidR="00DF2256" w:rsidRPr="00BE410E" w:rsidRDefault="00DF2256" w:rsidP="00BE410E">
      <w:pPr>
        <w:rPr>
          <w:rFonts w:asciiTheme="minorHAnsi" w:hAnsiTheme="minorHAnsi" w:cstheme="minorHAnsi"/>
          <w:b/>
          <w:sz w:val="22"/>
          <w:szCs w:val="22"/>
          <w:lang w:val="en-US"/>
        </w:rPr>
      </w:pPr>
    </w:p>
    <w:p w14:paraId="068309CC" w14:textId="77777777" w:rsidR="00B63504" w:rsidRDefault="00B55724" w:rsidP="00B55724">
      <w:pPr>
        <w:pStyle w:val="ListParagraph"/>
        <w:numPr>
          <w:ilvl w:val="2"/>
          <w:numId w:val="15"/>
        </w:numPr>
        <w:rPr>
          <w:rFonts w:asciiTheme="minorHAnsi" w:hAnsiTheme="minorHAnsi" w:cstheme="minorHAnsi"/>
          <w:b/>
          <w:sz w:val="22"/>
          <w:szCs w:val="22"/>
          <w:lang w:val="en-US"/>
        </w:rPr>
      </w:pPr>
      <w:r w:rsidRPr="00C06C29">
        <w:rPr>
          <w:rFonts w:asciiTheme="minorHAnsi" w:hAnsiTheme="minorHAnsi" w:cstheme="minorHAnsi"/>
          <w:b/>
          <w:sz w:val="22"/>
          <w:szCs w:val="22"/>
          <w:lang w:val="en-US"/>
        </w:rPr>
        <w:t xml:space="preserve">Is anyone reviewing these reports? </w:t>
      </w:r>
    </w:p>
    <w:p w14:paraId="064E2F97" w14:textId="73C0A859" w:rsidR="00BB32C4" w:rsidRDefault="00B63504" w:rsidP="00B63504">
      <w:pPr>
        <w:pStyle w:val="ListParagraph"/>
        <w:numPr>
          <w:ilvl w:val="0"/>
          <w:numId w:val="41"/>
        </w:numPr>
        <w:rPr>
          <w:rFonts w:asciiTheme="minorHAnsi" w:hAnsiTheme="minorHAnsi" w:cstheme="minorHAnsi"/>
          <w:bCs/>
          <w:sz w:val="22"/>
          <w:szCs w:val="22"/>
          <w:lang w:val="en-US"/>
        </w:rPr>
      </w:pPr>
      <w:r w:rsidRPr="009E31E4">
        <w:rPr>
          <w:rFonts w:asciiTheme="minorHAnsi" w:hAnsiTheme="minorHAnsi" w:cstheme="minorHAnsi"/>
          <w:bCs/>
          <w:sz w:val="22"/>
          <w:szCs w:val="22"/>
          <w:lang w:val="en-US"/>
        </w:rPr>
        <w:t>Ye</w:t>
      </w:r>
      <w:r w:rsidR="00BE410E">
        <w:rPr>
          <w:rFonts w:asciiTheme="minorHAnsi" w:hAnsiTheme="minorHAnsi" w:cstheme="minorHAnsi"/>
          <w:bCs/>
          <w:sz w:val="22"/>
          <w:szCs w:val="22"/>
          <w:lang w:val="en-US"/>
        </w:rPr>
        <w:t>s</w:t>
      </w:r>
      <w:r w:rsidR="00F3480F">
        <w:rPr>
          <w:rFonts w:asciiTheme="minorHAnsi" w:hAnsiTheme="minorHAnsi" w:cstheme="minorHAnsi"/>
          <w:bCs/>
          <w:sz w:val="22"/>
          <w:szCs w:val="22"/>
          <w:lang w:val="en-US"/>
        </w:rPr>
        <w:t>, h</w:t>
      </w:r>
      <w:r w:rsidRPr="009E31E4">
        <w:rPr>
          <w:rFonts w:asciiTheme="minorHAnsi" w:hAnsiTheme="minorHAnsi" w:cstheme="minorHAnsi"/>
          <w:bCs/>
          <w:sz w:val="22"/>
          <w:szCs w:val="22"/>
          <w:lang w:val="en-US"/>
        </w:rPr>
        <w:t xml:space="preserve">owever, the distribution of these reports differs for the two audits conducted. </w:t>
      </w:r>
    </w:p>
    <w:p w14:paraId="2BE11D62" w14:textId="22ADC1C7" w:rsidR="009E31E4" w:rsidRPr="00345FDF" w:rsidRDefault="00B63504" w:rsidP="00345FDF">
      <w:pPr>
        <w:pStyle w:val="ListParagraph"/>
        <w:numPr>
          <w:ilvl w:val="0"/>
          <w:numId w:val="41"/>
        </w:numPr>
        <w:rPr>
          <w:rFonts w:asciiTheme="minorHAnsi" w:hAnsiTheme="minorHAnsi" w:cstheme="minorHAnsi"/>
          <w:bCs/>
          <w:sz w:val="22"/>
          <w:szCs w:val="22"/>
          <w:lang w:val="en-US"/>
        </w:rPr>
      </w:pPr>
      <w:r w:rsidRPr="009E31E4">
        <w:rPr>
          <w:rFonts w:asciiTheme="minorHAnsi" w:hAnsiTheme="minorHAnsi" w:cstheme="minorHAnsi"/>
          <w:bCs/>
          <w:sz w:val="22"/>
          <w:szCs w:val="22"/>
          <w:lang w:val="en-US"/>
        </w:rPr>
        <w:t>SOC 2 audits are</w:t>
      </w:r>
      <w:r w:rsidR="00345FDF">
        <w:rPr>
          <w:rFonts w:asciiTheme="minorHAnsi" w:hAnsiTheme="minorHAnsi" w:cstheme="minorHAnsi"/>
          <w:bCs/>
          <w:sz w:val="22"/>
          <w:szCs w:val="22"/>
          <w:lang w:val="en-US"/>
        </w:rPr>
        <w:t xml:space="preserve"> </w:t>
      </w:r>
      <w:r w:rsidRPr="009E31E4">
        <w:rPr>
          <w:rFonts w:asciiTheme="minorHAnsi" w:hAnsiTheme="minorHAnsi" w:cstheme="minorHAnsi"/>
          <w:bCs/>
          <w:sz w:val="22"/>
          <w:szCs w:val="22"/>
          <w:lang w:val="en-US"/>
        </w:rPr>
        <w:t>intended for limited distribution with directly affected parties</w:t>
      </w:r>
      <w:r w:rsidR="00345FDF">
        <w:rPr>
          <w:rFonts w:asciiTheme="minorHAnsi" w:hAnsiTheme="minorHAnsi" w:cstheme="minorHAnsi"/>
          <w:bCs/>
          <w:sz w:val="22"/>
          <w:szCs w:val="22"/>
          <w:lang w:val="en-US"/>
        </w:rPr>
        <w:t xml:space="preserve"> familiar with the scope of the audit. </w:t>
      </w:r>
      <w:r w:rsidR="00BE410E" w:rsidRPr="00345FDF">
        <w:rPr>
          <w:rFonts w:asciiTheme="minorHAnsi" w:hAnsiTheme="minorHAnsi" w:cstheme="minorHAnsi"/>
          <w:bCs/>
          <w:sz w:val="22"/>
          <w:szCs w:val="22"/>
          <w:lang w:val="en-US"/>
        </w:rPr>
        <w:t>Th</w:t>
      </w:r>
      <w:r w:rsidR="00345FDF" w:rsidRPr="00345FDF">
        <w:rPr>
          <w:rFonts w:asciiTheme="minorHAnsi" w:hAnsiTheme="minorHAnsi" w:cstheme="minorHAnsi"/>
          <w:bCs/>
          <w:sz w:val="22"/>
          <w:szCs w:val="22"/>
          <w:lang w:val="en-US"/>
        </w:rPr>
        <w:t>is report</w:t>
      </w:r>
      <w:r w:rsidR="009E31E4" w:rsidRPr="00345FDF">
        <w:rPr>
          <w:rFonts w:asciiTheme="minorHAnsi" w:hAnsiTheme="minorHAnsi" w:cstheme="minorHAnsi"/>
          <w:bCs/>
          <w:sz w:val="22"/>
          <w:szCs w:val="22"/>
          <w:lang w:val="en-US"/>
        </w:rPr>
        <w:t xml:space="preserve"> includes sensitive materials (i.e. </w:t>
      </w:r>
      <w:r w:rsidR="009E31E4" w:rsidRPr="00345FDF">
        <w:rPr>
          <w:rFonts w:asciiTheme="minorHAnsi" w:hAnsiTheme="minorHAnsi" w:cstheme="minorHAnsi"/>
          <w:bCs/>
          <w:sz w:val="22"/>
          <w:szCs w:val="22"/>
          <w:lang w:val="en-US"/>
        </w:rPr>
        <w:lastRenderedPageBreak/>
        <w:t>network maps)</w:t>
      </w:r>
      <w:r w:rsidR="00345FDF">
        <w:rPr>
          <w:rFonts w:asciiTheme="minorHAnsi" w:hAnsiTheme="minorHAnsi" w:cstheme="minorHAnsi"/>
          <w:bCs/>
          <w:sz w:val="22"/>
          <w:szCs w:val="22"/>
          <w:lang w:val="en-US"/>
        </w:rPr>
        <w:t xml:space="preserve">. </w:t>
      </w:r>
      <w:r w:rsidRPr="00345FDF">
        <w:rPr>
          <w:rFonts w:asciiTheme="minorHAnsi" w:hAnsiTheme="minorHAnsi" w:cstheme="minorHAnsi"/>
          <w:bCs/>
          <w:sz w:val="22"/>
          <w:szCs w:val="22"/>
          <w:lang w:val="en-US"/>
        </w:rPr>
        <w:t xml:space="preserve">These reports are shared with ICANN Board of Directors, PTI Board of Directors, ICANN executives, </w:t>
      </w:r>
      <w:r w:rsidR="009E31E4" w:rsidRPr="00345FDF">
        <w:rPr>
          <w:rFonts w:asciiTheme="minorHAnsi" w:hAnsiTheme="minorHAnsi" w:cstheme="minorHAnsi"/>
          <w:bCs/>
          <w:sz w:val="22"/>
          <w:szCs w:val="22"/>
          <w:lang w:val="en-US"/>
        </w:rPr>
        <w:t xml:space="preserve">CEOs of regional internet registries, and the leadership of </w:t>
      </w:r>
      <w:r w:rsidR="00E41CCB">
        <w:rPr>
          <w:rFonts w:asciiTheme="minorHAnsi" w:hAnsiTheme="minorHAnsi" w:cstheme="minorHAnsi"/>
          <w:bCs/>
          <w:sz w:val="22"/>
          <w:szCs w:val="22"/>
          <w:lang w:val="en-US"/>
        </w:rPr>
        <w:t>IETF</w:t>
      </w:r>
      <w:r w:rsidR="00345FDF" w:rsidRPr="00345FDF">
        <w:rPr>
          <w:rFonts w:asciiTheme="minorHAnsi" w:hAnsiTheme="minorHAnsi" w:cstheme="minorHAnsi"/>
          <w:bCs/>
          <w:sz w:val="22"/>
          <w:szCs w:val="22"/>
          <w:lang w:val="en-US"/>
        </w:rPr>
        <w:t>. Summary</w:t>
      </w:r>
      <w:r w:rsidR="009E31E4" w:rsidRPr="00345FDF">
        <w:rPr>
          <w:rFonts w:asciiTheme="minorHAnsi" w:hAnsiTheme="minorHAnsi" w:cstheme="minorHAnsi"/>
          <w:bCs/>
          <w:sz w:val="22"/>
          <w:szCs w:val="22"/>
          <w:lang w:val="en-US"/>
        </w:rPr>
        <w:t xml:space="preserve"> of the findings is published as an announcement. The comprehensive report is not published.</w:t>
      </w:r>
    </w:p>
    <w:p w14:paraId="7D058AA1" w14:textId="02DB059C" w:rsidR="009E31E4" w:rsidRPr="009E31E4" w:rsidRDefault="009E31E4" w:rsidP="00B63504">
      <w:pPr>
        <w:pStyle w:val="ListParagraph"/>
        <w:numPr>
          <w:ilvl w:val="0"/>
          <w:numId w:val="41"/>
        </w:numPr>
        <w:rPr>
          <w:rFonts w:asciiTheme="minorHAnsi" w:hAnsiTheme="minorHAnsi" w:cstheme="minorHAnsi"/>
          <w:bCs/>
          <w:sz w:val="22"/>
          <w:szCs w:val="22"/>
          <w:lang w:val="en-US"/>
        </w:rPr>
      </w:pPr>
      <w:r w:rsidRPr="009E31E4">
        <w:rPr>
          <w:rFonts w:asciiTheme="minorHAnsi" w:hAnsiTheme="minorHAnsi" w:cstheme="minorHAnsi"/>
          <w:bCs/>
          <w:sz w:val="22"/>
          <w:szCs w:val="22"/>
          <w:lang w:val="en-US"/>
        </w:rPr>
        <w:t>SOC 3 is intended for general distribution and its findings are published on the IANA website.</w:t>
      </w:r>
    </w:p>
    <w:p w14:paraId="420D5C0E" w14:textId="77777777" w:rsidR="00B63504" w:rsidRPr="00C06C29" w:rsidRDefault="00B63504" w:rsidP="00B63504">
      <w:pPr>
        <w:pStyle w:val="ListParagraph"/>
        <w:ind w:left="1080"/>
        <w:rPr>
          <w:rFonts w:asciiTheme="minorHAnsi" w:hAnsiTheme="minorHAnsi" w:cstheme="minorHAnsi"/>
          <w:b/>
          <w:sz w:val="22"/>
          <w:szCs w:val="22"/>
          <w:lang w:val="en-US"/>
        </w:rPr>
      </w:pPr>
    </w:p>
    <w:p w14:paraId="1CFF8E81" w14:textId="77777777" w:rsidR="00B55724" w:rsidRDefault="00B55724" w:rsidP="00B55724">
      <w:pPr>
        <w:pStyle w:val="ListParagraph"/>
        <w:numPr>
          <w:ilvl w:val="2"/>
          <w:numId w:val="15"/>
        </w:numPr>
        <w:rPr>
          <w:rFonts w:asciiTheme="minorHAnsi" w:hAnsiTheme="minorHAnsi" w:cstheme="minorHAnsi"/>
          <w:b/>
          <w:sz w:val="22"/>
          <w:szCs w:val="22"/>
          <w:lang w:val="en-US"/>
        </w:rPr>
      </w:pPr>
      <w:r w:rsidRPr="00C06C29">
        <w:rPr>
          <w:rFonts w:asciiTheme="minorHAnsi" w:hAnsiTheme="minorHAnsi" w:cstheme="minorHAnsi"/>
          <w:b/>
          <w:sz w:val="22"/>
          <w:szCs w:val="22"/>
          <w:lang w:val="en-US"/>
        </w:rPr>
        <w:t>What is the outcome of these reports?</w:t>
      </w:r>
    </w:p>
    <w:p w14:paraId="19F8B6BD" w14:textId="033063BA" w:rsidR="009E31E4" w:rsidRDefault="009E31E4" w:rsidP="009E31E4">
      <w:pPr>
        <w:pStyle w:val="ListParagraph"/>
        <w:numPr>
          <w:ilvl w:val="0"/>
          <w:numId w:val="42"/>
        </w:numPr>
        <w:rPr>
          <w:rFonts w:asciiTheme="minorHAnsi" w:hAnsiTheme="minorHAnsi" w:cstheme="minorHAnsi"/>
          <w:bCs/>
          <w:sz w:val="22"/>
          <w:szCs w:val="22"/>
          <w:lang w:val="en-US"/>
        </w:rPr>
      </w:pPr>
      <w:r>
        <w:rPr>
          <w:rFonts w:asciiTheme="minorHAnsi" w:hAnsiTheme="minorHAnsi" w:cstheme="minorHAnsi"/>
          <w:bCs/>
          <w:sz w:val="22"/>
          <w:szCs w:val="22"/>
          <w:lang w:val="en-US"/>
        </w:rPr>
        <w:t>The reports themselves are the outcomes.</w:t>
      </w:r>
    </w:p>
    <w:p w14:paraId="06A7FA82" w14:textId="35AF998A" w:rsidR="009E31E4" w:rsidRDefault="009E31E4" w:rsidP="009E31E4">
      <w:pPr>
        <w:pStyle w:val="ListParagraph"/>
        <w:numPr>
          <w:ilvl w:val="0"/>
          <w:numId w:val="42"/>
        </w:numPr>
        <w:rPr>
          <w:rFonts w:asciiTheme="minorHAnsi" w:hAnsiTheme="minorHAnsi" w:cstheme="minorHAnsi"/>
          <w:bCs/>
          <w:sz w:val="22"/>
          <w:szCs w:val="22"/>
          <w:lang w:val="en-US"/>
        </w:rPr>
      </w:pPr>
      <w:r w:rsidRPr="009E31E4">
        <w:rPr>
          <w:rFonts w:asciiTheme="minorHAnsi" w:hAnsiTheme="minorHAnsi" w:cstheme="minorHAnsi"/>
          <w:bCs/>
          <w:sz w:val="22"/>
          <w:szCs w:val="22"/>
          <w:lang w:val="en-US"/>
        </w:rPr>
        <w:t>Learnings from these reports will trigger subsequent activities within the organization.</w:t>
      </w:r>
      <w:r>
        <w:rPr>
          <w:rFonts w:asciiTheme="minorHAnsi" w:hAnsiTheme="minorHAnsi" w:cstheme="minorHAnsi"/>
          <w:bCs/>
          <w:sz w:val="22"/>
          <w:szCs w:val="22"/>
          <w:lang w:val="en-US"/>
        </w:rPr>
        <w:t xml:space="preserve"> If areas of deficiencies are found, work will be triggered to fix the </w:t>
      </w:r>
      <w:r w:rsidR="00B05D4C">
        <w:rPr>
          <w:rFonts w:asciiTheme="minorHAnsi" w:hAnsiTheme="minorHAnsi" w:cstheme="minorHAnsi"/>
          <w:bCs/>
          <w:sz w:val="22"/>
          <w:szCs w:val="22"/>
          <w:lang w:val="en-US"/>
        </w:rPr>
        <w:t>deficiencies</w:t>
      </w:r>
      <w:r>
        <w:rPr>
          <w:rFonts w:asciiTheme="minorHAnsi" w:hAnsiTheme="minorHAnsi" w:cstheme="minorHAnsi"/>
          <w:bCs/>
          <w:sz w:val="22"/>
          <w:szCs w:val="22"/>
          <w:lang w:val="en-US"/>
        </w:rPr>
        <w:t xml:space="preserve"> so they would not be treated with deficiencies in the </w:t>
      </w:r>
      <w:r w:rsidR="00B05D4C">
        <w:rPr>
          <w:rFonts w:asciiTheme="minorHAnsi" w:hAnsiTheme="minorHAnsi" w:cstheme="minorHAnsi"/>
          <w:bCs/>
          <w:sz w:val="22"/>
          <w:szCs w:val="22"/>
          <w:lang w:val="en-US"/>
        </w:rPr>
        <w:t>subsequent</w:t>
      </w:r>
      <w:r>
        <w:rPr>
          <w:rFonts w:asciiTheme="minorHAnsi" w:hAnsiTheme="minorHAnsi" w:cstheme="minorHAnsi"/>
          <w:bCs/>
          <w:sz w:val="22"/>
          <w:szCs w:val="22"/>
          <w:lang w:val="en-US"/>
        </w:rPr>
        <w:t xml:space="preserve"> reporting period.</w:t>
      </w:r>
    </w:p>
    <w:p w14:paraId="74C543C9" w14:textId="352B132A" w:rsidR="009E31E4" w:rsidRDefault="009E31E4" w:rsidP="009E31E4">
      <w:pPr>
        <w:pStyle w:val="ListParagraph"/>
        <w:numPr>
          <w:ilvl w:val="0"/>
          <w:numId w:val="42"/>
        </w:numPr>
        <w:rPr>
          <w:rFonts w:asciiTheme="minorHAnsi" w:hAnsiTheme="minorHAnsi" w:cstheme="minorHAnsi"/>
          <w:bCs/>
          <w:sz w:val="22"/>
          <w:szCs w:val="22"/>
          <w:lang w:val="en-US"/>
        </w:rPr>
      </w:pPr>
      <w:r>
        <w:rPr>
          <w:rFonts w:asciiTheme="minorHAnsi" w:hAnsiTheme="minorHAnsi" w:cstheme="minorHAnsi"/>
          <w:bCs/>
          <w:sz w:val="22"/>
          <w:szCs w:val="22"/>
          <w:lang w:val="en-US"/>
        </w:rPr>
        <w:t>Ultimately, it</w:t>
      </w:r>
      <w:r w:rsidR="00BB32C4">
        <w:rPr>
          <w:rFonts w:asciiTheme="minorHAnsi" w:hAnsiTheme="minorHAnsi" w:cstheme="minorHAnsi"/>
          <w:bCs/>
          <w:sz w:val="22"/>
          <w:szCs w:val="22"/>
          <w:lang w:val="en-US"/>
        </w:rPr>
        <w:t xml:space="preserve"> is </w:t>
      </w:r>
      <w:r>
        <w:rPr>
          <w:rFonts w:asciiTheme="minorHAnsi" w:hAnsiTheme="minorHAnsi" w:cstheme="minorHAnsi"/>
          <w:bCs/>
          <w:sz w:val="22"/>
          <w:szCs w:val="22"/>
          <w:lang w:val="en-US"/>
        </w:rPr>
        <w:t>also a form of accountability and oversight</w:t>
      </w:r>
      <w:r w:rsidR="00BB32C4">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so entities that review the reports might use that as a basis to trigger further work.</w:t>
      </w:r>
    </w:p>
    <w:p w14:paraId="460FD072" w14:textId="68A2829B" w:rsidR="009E31E4" w:rsidRPr="00DC4914" w:rsidRDefault="009E31E4" w:rsidP="009E31E4">
      <w:pPr>
        <w:pStyle w:val="ListParagraph"/>
        <w:numPr>
          <w:ilvl w:val="0"/>
          <w:numId w:val="42"/>
        </w:numPr>
        <w:rPr>
          <w:rFonts w:asciiTheme="minorHAnsi" w:hAnsiTheme="minorHAnsi" w:cstheme="minorHAnsi"/>
          <w:bCs/>
          <w:sz w:val="22"/>
          <w:szCs w:val="22"/>
          <w:lang w:val="en-US"/>
        </w:rPr>
      </w:pPr>
      <w:r>
        <w:rPr>
          <w:rFonts w:asciiTheme="minorHAnsi" w:hAnsiTheme="minorHAnsi" w:cstheme="minorHAnsi"/>
          <w:bCs/>
          <w:sz w:val="22"/>
          <w:szCs w:val="22"/>
          <w:lang w:val="en-US"/>
        </w:rPr>
        <w:t xml:space="preserve">The CSC is not </w:t>
      </w:r>
      <w:r w:rsidR="004F0BFB">
        <w:rPr>
          <w:rFonts w:asciiTheme="minorHAnsi" w:hAnsiTheme="minorHAnsi" w:cstheme="minorHAnsi"/>
          <w:bCs/>
          <w:sz w:val="22"/>
          <w:szCs w:val="22"/>
          <w:lang w:val="en-US"/>
        </w:rPr>
        <w:t xml:space="preserve">one of the parties that receives the audit report. </w:t>
      </w:r>
      <w:r w:rsidR="00345FDF">
        <w:rPr>
          <w:rFonts w:asciiTheme="minorHAnsi" w:hAnsiTheme="minorHAnsi" w:cstheme="minorHAnsi"/>
          <w:bCs/>
          <w:sz w:val="22"/>
          <w:szCs w:val="22"/>
          <w:lang w:val="en-US"/>
        </w:rPr>
        <w:t xml:space="preserve">The </w:t>
      </w:r>
      <w:r w:rsidR="004F0BFB">
        <w:rPr>
          <w:rFonts w:asciiTheme="minorHAnsi" w:hAnsiTheme="minorHAnsi" w:cstheme="minorHAnsi"/>
          <w:bCs/>
          <w:sz w:val="22"/>
          <w:szCs w:val="22"/>
          <w:lang w:val="en-US"/>
        </w:rPr>
        <w:t>CSC is focused on SLA performance.</w:t>
      </w:r>
    </w:p>
    <w:p w14:paraId="42DE46A5" w14:textId="77777777" w:rsidR="009E31E4" w:rsidRPr="009E31E4" w:rsidRDefault="009E31E4" w:rsidP="009E31E4">
      <w:pPr>
        <w:rPr>
          <w:rFonts w:asciiTheme="minorHAnsi" w:hAnsiTheme="minorHAnsi" w:cstheme="minorHAnsi"/>
          <w:b/>
          <w:sz w:val="22"/>
          <w:szCs w:val="22"/>
          <w:lang w:val="en-US"/>
        </w:rPr>
      </w:pPr>
    </w:p>
    <w:p w14:paraId="1BD400ED" w14:textId="2B4E2523" w:rsidR="00B55724" w:rsidRPr="004F0BFB" w:rsidRDefault="00B55724" w:rsidP="00B55724">
      <w:pPr>
        <w:pStyle w:val="ListParagraph"/>
        <w:numPr>
          <w:ilvl w:val="1"/>
          <w:numId w:val="15"/>
        </w:numPr>
        <w:rPr>
          <w:rFonts w:asciiTheme="minorHAnsi" w:hAnsiTheme="minorHAnsi" w:cstheme="minorHAnsi"/>
          <w:b/>
          <w:sz w:val="22"/>
          <w:szCs w:val="22"/>
          <w:lang w:val="en-US"/>
        </w:rPr>
      </w:pPr>
      <w:r w:rsidRPr="00C06C29">
        <w:rPr>
          <w:rFonts w:asciiTheme="minorHAnsi" w:hAnsiTheme="minorHAnsi" w:cstheme="minorHAnsi"/>
          <w:b/>
          <w:color w:val="000000"/>
          <w:sz w:val="22"/>
          <w:szCs w:val="22"/>
        </w:rPr>
        <w:t>Article IX, Section 9.3 Transition (workbook row 54): The transition plan linked here is from December 2020. When is it due for a refresh? Can PTI provide some background on this transition plan before deciding if a refresh is required</w:t>
      </w:r>
      <w:r w:rsidR="00682C36" w:rsidRPr="00C06C29">
        <w:rPr>
          <w:rFonts w:asciiTheme="minorHAnsi" w:hAnsiTheme="minorHAnsi" w:cstheme="minorHAnsi"/>
          <w:b/>
          <w:color w:val="000000"/>
          <w:sz w:val="22"/>
          <w:szCs w:val="22"/>
        </w:rPr>
        <w:t>?</w:t>
      </w:r>
    </w:p>
    <w:p w14:paraId="2D6DC8ED" w14:textId="77777777" w:rsidR="004F0BFB" w:rsidRPr="004F0BFB" w:rsidRDefault="004F0BFB" w:rsidP="004F0BFB">
      <w:pPr>
        <w:pStyle w:val="ListParagraph"/>
        <w:rPr>
          <w:rFonts w:asciiTheme="minorHAnsi" w:hAnsiTheme="minorHAnsi" w:cstheme="minorHAnsi"/>
          <w:b/>
          <w:sz w:val="22"/>
          <w:szCs w:val="22"/>
          <w:lang w:val="en-US"/>
        </w:rPr>
      </w:pPr>
    </w:p>
    <w:p w14:paraId="70A57DAA" w14:textId="2C9A1E2D" w:rsidR="0026675D" w:rsidRPr="00BA18DE" w:rsidRDefault="004F0BFB" w:rsidP="00BA18DE">
      <w:pPr>
        <w:pStyle w:val="ListParagraph"/>
        <w:numPr>
          <w:ilvl w:val="0"/>
          <w:numId w:val="47"/>
        </w:numPr>
        <w:rPr>
          <w:rFonts w:asciiTheme="minorHAnsi" w:hAnsiTheme="minorHAnsi" w:cstheme="minorHAnsi"/>
          <w:bCs/>
          <w:sz w:val="22"/>
          <w:szCs w:val="22"/>
          <w:lang w:val="en-US"/>
        </w:rPr>
      </w:pPr>
      <w:r w:rsidRPr="00BA18DE">
        <w:rPr>
          <w:rFonts w:asciiTheme="minorHAnsi" w:hAnsiTheme="minorHAnsi" w:cstheme="minorHAnsi"/>
          <w:bCs/>
          <w:sz w:val="22"/>
          <w:szCs w:val="22"/>
          <w:lang w:val="en-US"/>
        </w:rPr>
        <w:t>The plan was written to be timeless</w:t>
      </w:r>
      <w:r w:rsidR="0026675D" w:rsidRPr="00BA18DE">
        <w:rPr>
          <w:rFonts w:asciiTheme="minorHAnsi" w:hAnsiTheme="minorHAnsi" w:cstheme="minorHAnsi"/>
          <w:bCs/>
          <w:sz w:val="22"/>
          <w:szCs w:val="22"/>
          <w:lang w:val="en-US"/>
        </w:rPr>
        <w:t xml:space="preserve"> and </w:t>
      </w:r>
      <w:r w:rsidRPr="00BA18DE">
        <w:rPr>
          <w:rFonts w:asciiTheme="minorHAnsi" w:hAnsiTheme="minorHAnsi" w:cstheme="minorHAnsi"/>
          <w:bCs/>
          <w:sz w:val="22"/>
          <w:szCs w:val="22"/>
          <w:lang w:val="en-US"/>
        </w:rPr>
        <w:t>written in a way that is not expected to require a material change every year</w:t>
      </w:r>
      <w:r w:rsidR="00177F55" w:rsidRPr="00BA18DE">
        <w:rPr>
          <w:rFonts w:asciiTheme="minorHAnsi" w:hAnsiTheme="minorHAnsi" w:cstheme="minorHAnsi"/>
          <w:bCs/>
          <w:sz w:val="22"/>
          <w:szCs w:val="22"/>
          <w:lang w:val="en-US"/>
        </w:rPr>
        <w:t xml:space="preserve"> and has not been updated since 2020</w:t>
      </w:r>
      <w:r w:rsidRPr="00BA18DE">
        <w:rPr>
          <w:rFonts w:asciiTheme="minorHAnsi" w:hAnsiTheme="minorHAnsi" w:cstheme="minorHAnsi"/>
          <w:bCs/>
          <w:sz w:val="22"/>
          <w:szCs w:val="22"/>
          <w:lang w:val="en-US"/>
        </w:rPr>
        <w:t xml:space="preserve">. </w:t>
      </w:r>
    </w:p>
    <w:p w14:paraId="5A43FAB7" w14:textId="0F3590F3" w:rsidR="004F0BFB" w:rsidRPr="00BA18DE" w:rsidRDefault="0026675D" w:rsidP="00BA18DE">
      <w:pPr>
        <w:pStyle w:val="ListParagraph"/>
        <w:numPr>
          <w:ilvl w:val="0"/>
          <w:numId w:val="47"/>
        </w:numPr>
        <w:rPr>
          <w:rFonts w:asciiTheme="minorHAnsi" w:hAnsiTheme="minorHAnsi" w:cstheme="minorHAnsi"/>
          <w:bCs/>
          <w:sz w:val="22"/>
          <w:szCs w:val="22"/>
          <w:lang w:val="en-US"/>
        </w:rPr>
      </w:pPr>
      <w:r w:rsidRPr="00BA18DE">
        <w:rPr>
          <w:rFonts w:asciiTheme="minorHAnsi" w:hAnsiTheme="minorHAnsi" w:cstheme="minorHAnsi"/>
          <w:bCs/>
          <w:sz w:val="22"/>
          <w:szCs w:val="22"/>
          <w:lang w:val="en-US"/>
        </w:rPr>
        <w:t>The transition plan</w:t>
      </w:r>
      <w:r w:rsidR="004F0BFB" w:rsidRPr="00BA18DE">
        <w:rPr>
          <w:rFonts w:asciiTheme="minorHAnsi" w:hAnsiTheme="minorHAnsi" w:cstheme="minorHAnsi"/>
          <w:bCs/>
          <w:sz w:val="22"/>
          <w:szCs w:val="22"/>
          <w:lang w:val="en-US"/>
        </w:rPr>
        <w:t xml:space="preserve"> is </w:t>
      </w:r>
      <w:r w:rsidR="00177F55" w:rsidRPr="00BA18DE">
        <w:rPr>
          <w:rFonts w:asciiTheme="minorHAnsi" w:hAnsiTheme="minorHAnsi" w:cstheme="minorHAnsi"/>
          <w:bCs/>
          <w:sz w:val="22"/>
          <w:szCs w:val="22"/>
          <w:lang w:val="en-US"/>
        </w:rPr>
        <w:t>a high-level document</w:t>
      </w:r>
      <w:r w:rsidR="004F0BFB" w:rsidRPr="00BA18DE">
        <w:rPr>
          <w:rFonts w:asciiTheme="minorHAnsi" w:hAnsiTheme="minorHAnsi" w:cstheme="minorHAnsi"/>
          <w:bCs/>
          <w:sz w:val="22"/>
          <w:szCs w:val="22"/>
          <w:lang w:val="en-US"/>
        </w:rPr>
        <w:t xml:space="preserve"> and speaks generally to </w:t>
      </w:r>
      <w:r w:rsidRPr="00BA18DE">
        <w:rPr>
          <w:rFonts w:asciiTheme="minorHAnsi" w:hAnsiTheme="minorHAnsi" w:cstheme="minorHAnsi"/>
          <w:bCs/>
          <w:sz w:val="22"/>
          <w:szCs w:val="22"/>
          <w:lang w:val="en-US"/>
        </w:rPr>
        <w:t xml:space="preserve">the type </w:t>
      </w:r>
      <w:r w:rsidR="004F0BFB" w:rsidRPr="00BA18DE">
        <w:rPr>
          <w:rFonts w:asciiTheme="minorHAnsi" w:hAnsiTheme="minorHAnsi" w:cstheme="minorHAnsi"/>
          <w:bCs/>
          <w:sz w:val="22"/>
          <w:szCs w:val="22"/>
          <w:lang w:val="en-US"/>
        </w:rPr>
        <w:t xml:space="preserve">of data </w:t>
      </w:r>
      <w:r w:rsidRPr="00BA18DE">
        <w:rPr>
          <w:rFonts w:asciiTheme="minorHAnsi" w:hAnsiTheme="minorHAnsi" w:cstheme="minorHAnsi"/>
          <w:bCs/>
          <w:sz w:val="22"/>
          <w:szCs w:val="22"/>
          <w:lang w:val="en-US"/>
        </w:rPr>
        <w:t xml:space="preserve">that </w:t>
      </w:r>
      <w:r w:rsidR="004F0BFB" w:rsidRPr="00BA18DE">
        <w:rPr>
          <w:rFonts w:asciiTheme="minorHAnsi" w:hAnsiTheme="minorHAnsi" w:cstheme="minorHAnsi"/>
          <w:bCs/>
          <w:sz w:val="22"/>
          <w:szCs w:val="22"/>
          <w:lang w:val="en-US"/>
        </w:rPr>
        <w:t xml:space="preserve">would need to be transitioned and </w:t>
      </w:r>
      <w:r w:rsidRPr="00BA18DE">
        <w:rPr>
          <w:rFonts w:asciiTheme="minorHAnsi" w:hAnsiTheme="minorHAnsi" w:cstheme="minorHAnsi"/>
          <w:bCs/>
          <w:sz w:val="22"/>
          <w:szCs w:val="22"/>
          <w:lang w:val="en-US"/>
        </w:rPr>
        <w:t>the type that does not</w:t>
      </w:r>
      <w:r w:rsidR="00177F55" w:rsidRPr="00BA18DE">
        <w:rPr>
          <w:rFonts w:asciiTheme="minorHAnsi" w:hAnsiTheme="minorHAnsi" w:cstheme="minorHAnsi"/>
          <w:bCs/>
          <w:sz w:val="22"/>
          <w:szCs w:val="22"/>
          <w:lang w:val="en-US"/>
        </w:rPr>
        <w:t xml:space="preserve"> need to be transitioned</w:t>
      </w:r>
      <w:r w:rsidRPr="00BA18DE">
        <w:rPr>
          <w:rFonts w:asciiTheme="minorHAnsi" w:hAnsiTheme="minorHAnsi" w:cstheme="minorHAnsi"/>
          <w:bCs/>
          <w:sz w:val="22"/>
          <w:szCs w:val="22"/>
          <w:lang w:val="en-US"/>
        </w:rPr>
        <w:t xml:space="preserve">. </w:t>
      </w:r>
    </w:p>
    <w:p w14:paraId="01701023" w14:textId="77777777" w:rsidR="0087747C" w:rsidRPr="00BA18DE" w:rsidRDefault="004F0BFB" w:rsidP="00BA18DE">
      <w:pPr>
        <w:pStyle w:val="ListParagraph"/>
        <w:numPr>
          <w:ilvl w:val="0"/>
          <w:numId w:val="47"/>
        </w:numPr>
        <w:rPr>
          <w:rFonts w:asciiTheme="minorHAnsi" w:hAnsiTheme="minorHAnsi" w:cstheme="minorHAnsi"/>
          <w:bCs/>
          <w:sz w:val="22"/>
          <w:szCs w:val="22"/>
          <w:lang w:val="en-US"/>
        </w:rPr>
      </w:pPr>
      <w:r w:rsidRPr="00BA18DE">
        <w:rPr>
          <w:rFonts w:asciiTheme="minorHAnsi" w:hAnsiTheme="minorHAnsi" w:cstheme="minorHAnsi"/>
          <w:bCs/>
          <w:sz w:val="22"/>
          <w:szCs w:val="22"/>
          <w:lang w:val="en-US"/>
        </w:rPr>
        <w:t>There are a few reasons for this</w:t>
      </w:r>
      <w:r w:rsidR="0098182F" w:rsidRPr="00BA18DE">
        <w:rPr>
          <w:rFonts w:asciiTheme="minorHAnsi" w:hAnsiTheme="minorHAnsi" w:cstheme="minorHAnsi"/>
          <w:bCs/>
          <w:sz w:val="22"/>
          <w:szCs w:val="22"/>
          <w:lang w:val="en-US"/>
        </w:rPr>
        <w:t xml:space="preserve">. </w:t>
      </w:r>
    </w:p>
    <w:p w14:paraId="734F64C0" w14:textId="6477D6E3" w:rsidR="004F0BFB" w:rsidRDefault="0098182F" w:rsidP="0087747C">
      <w:pPr>
        <w:pStyle w:val="ListParagraph"/>
        <w:numPr>
          <w:ilvl w:val="1"/>
          <w:numId w:val="43"/>
        </w:numPr>
        <w:rPr>
          <w:rFonts w:asciiTheme="minorHAnsi" w:hAnsiTheme="minorHAnsi" w:cstheme="minorHAnsi"/>
          <w:bCs/>
          <w:sz w:val="22"/>
          <w:szCs w:val="22"/>
          <w:lang w:val="en-US"/>
        </w:rPr>
      </w:pPr>
      <w:r>
        <w:rPr>
          <w:rFonts w:asciiTheme="minorHAnsi" w:hAnsiTheme="minorHAnsi" w:cstheme="minorHAnsi"/>
          <w:bCs/>
          <w:sz w:val="22"/>
          <w:szCs w:val="22"/>
          <w:lang w:val="en-US"/>
        </w:rPr>
        <w:t xml:space="preserve">Firstly, most data pertinent to transition plan is already public and has a practice of </w:t>
      </w:r>
      <w:r w:rsidR="00B05D4C">
        <w:rPr>
          <w:rFonts w:asciiTheme="minorHAnsi" w:hAnsiTheme="minorHAnsi" w:cstheme="minorHAnsi"/>
          <w:bCs/>
          <w:sz w:val="22"/>
          <w:szCs w:val="22"/>
          <w:lang w:val="en-US"/>
        </w:rPr>
        <w:t>transparency. Because</w:t>
      </w:r>
      <w:r>
        <w:rPr>
          <w:rFonts w:asciiTheme="minorHAnsi" w:hAnsiTheme="minorHAnsi" w:cstheme="minorHAnsi"/>
          <w:bCs/>
          <w:sz w:val="22"/>
          <w:szCs w:val="22"/>
          <w:lang w:val="en-US"/>
        </w:rPr>
        <w:t xml:space="preserve"> of this</w:t>
      </w:r>
      <w:r w:rsidR="00177F55">
        <w:rPr>
          <w:rFonts w:asciiTheme="minorHAnsi" w:hAnsiTheme="minorHAnsi" w:cstheme="minorHAnsi"/>
          <w:bCs/>
          <w:sz w:val="22"/>
          <w:szCs w:val="22"/>
          <w:lang w:val="en-US"/>
        </w:rPr>
        <w:t xml:space="preserve"> transparency</w:t>
      </w:r>
      <w:r>
        <w:rPr>
          <w:rFonts w:asciiTheme="minorHAnsi" w:hAnsiTheme="minorHAnsi" w:cstheme="minorHAnsi"/>
          <w:bCs/>
          <w:sz w:val="22"/>
          <w:szCs w:val="22"/>
          <w:lang w:val="en-US"/>
        </w:rPr>
        <w:t>, PTI does not feel that they need to have special accommodations in the event of a transition to a successor.</w:t>
      </w:r>
    </w:p>
    <w:p w14:paraId="2F5EFF04" w14:textId="3A83CAF9" w:rsidR="0098182F" w:rsidRDefault="0098182F" w:rsidP="0087747C">
      <w:pPr>
        <w:pStyle w:val="ListParagraph"/>
        <w:numPr>
          <w:ilvl w:val="1"/>
          <w:numId w:val="43"/>
        </w:numPr>
        <w:rPr>
          <w:rFonts w:asciiTheme="minorHAnsi" w:hAnsiTheme="minorHAnsi" w:cstheme="minorHAnsi"/>
          <w:bCs/>
          <w:sz w:val="22"/>
          <w:szCs w:val="22"/>
          <w:lang w:val="en-US"/>
        </w:rPr>
      </w:pPr>
      <w:r>
        <w:rPr>
          <w:rFonts w:asciiTheme="minorHAnsi" w:hAnsiTheme="minorHAnsi" w:cstheme="minorHAnsi"/>
          <w:bCs/>
          <w:sz w:val="22"/>
          <w:szCs w:val="22"/>
          <w:lang w:val="en-US"/>
        </w:rPr>
        <w:t xml:space="preserve">The other </w:t>
      </w:r>
      <w:r w:rsidR="005C2C9D">
        <w:rPr>
          <w:rFonts w:asciiTheme="minorHAnsi" w:hAnsiTheme="minorHAnsi" w:cstheme="minorHAnsi"/>
          <w:bCs/>
          <w:sz w:val="22"/>
          <w:szCs w:val="22"/>
          <w:lang w:val="en-US"/>
        </w:rPr>
        <w:t>consideration is on how PTI would go about providing private data</w:t>
      </w:r>
      <w:r w:rsidR="0026675D">
        <w:rPr>
          <w:rFonts w:asciiTheme="minorHAnsi" w:hAnsiTheme="minorHAnsi" w:cstheme="minorHAnsi"/>
          <w:bCs/>
          <w:sz w:val="22"/>
          <w:szCs w:val="22"/>
          <w:lang w:val="en-US"/>
        </w:rPr>
        <w:t>, not</w:t>
      </w:r>
      <w:r w:rsidR="005C2C9D">
        <w:rPr>
          <w:rFonts w:asciiTheme="minorHAnsi" w:hAnsiTheme="minorHAnsi" w:cstheme="minorHAnsi"/>
          <w:bCs/>
          <w:sz w:val="22"/>
          <w:szCs w:val="22"/>
          <w:lang w:val="en-US"/>
        </w:rPr>
        <w:t xml:space="preserve"> currently published. This would depend on who the successor </w:t>
      </w:r>
      <w:r w:rsidR="0026675D">
        <w:rPr>
          <w:rFonts w:asciiTheme="minorHAnsi" w:hAnsiTheme="minorHAnsi" w:cstheme="minorHAnsi"/>
          <w:bCs/>
          <w:sz w:val="22"/>
          <w:szCs w:val="22"/>
          <w:lang w:val="en-US"/>
        </w:rPr>
        <w:t>is,</w:t>
      </w:r>
      <w:r w:rsidR="005C2C9D">
        <w:rPr>
          <w:rFonts w:asciiTheme="minorHAnsi" w:hAnsiTheme="minorHAnsi" w:cstheme="minorHAnsi"/>
          <w:bCs/>
          <w:sz w:val="22"/>
          <w:szCs w:val="22"/>
          <w:lang w:val="en-US"/>
        </w:rPr>
        <w:t xml:space="preserve"> and </w:t>
      </w:r>
      <w:r w:rsidR="00177F55">
        <w:rPr>
          <w:rFonts w:asciiTheme="minorHAnsi" w:hAnsiTheme="minorHAnsi" w:cstheme="minorHAnsi"/>
          <w:bCs/>
          <w:sz w:val="22"/>
          <w:szCs w:val="22"/>
          <w:lang w:val="en-US"/>
        </w:rPr>
        <w:t xml:space="preserve">it </w:t>
      </w:r>
      <w:r w:rsidR="005C2C9D">
        <w:rPr>
          <w:rFonts w:asciiTheme="minorHAnsi" w:hAnsiTheme="minorHAnsi" w:cstheme="minorHAnsi"/>
          <w:bCs/>
          <w:sz w:val="22"/>
          <w:szCs w:val="22"/>
          <w:lang w:val="en-US"/>
        </w:rPr>
        <w:t xml:space="preserve">would likely need to be part of the </w:t>
      </w:r>
      <w:r w:rsidR="00B05D4C">
        <w:rPr>
          <w:rFonts w:asciiTheme="minorHAnsi" w:hAnsiTheme="minorHAnsi" w:cstheme="minorHAnsi"/>
          <w:bCs/>
          <w:sz w:val="22"/>
          <w:szCs w:val="22"/>
          <w:lang w:val="en-US"/>
        </w:rPr>
        <w:t>negotiation</w:t>
      </w:r>
      <w:r w:rsidR="005C2C9D">
        <w:rPr>
          <w:rFonts w:asciiTheme="minorHAnsi" w:hAnsiTheme="minorHAnsi" w:cstheme="minorHAnsi"/>
          <w:bCs/>
          <w:sz w:val="22"/>
          <w:szCs w:val="22"/>
          <w:lang w:val="en-US"/>
        </w:rPr>
        <w:t xml:space="preserve"> plan.</w:t>
      </w:r>
    </w:p>
    <w:p w14:paraId="7B0E9405" w14:textId="2712364D" w:rsidR="005C2C9D" w:rsidRPr="00BA18DE" w:rsidRDefault="0087747C" w:rsidP="00BA18DE">
      <w:pPr>
        <w:pStyle w:val="ListParagraph"/>
        <w:numPr>
          <w:ilvl w:val="0"/>
          <w:numId w:val="48"/>
        </w:numPr>
        <w:rPr>
          <w:rFonts w:asciiTheme="minorHAnsi" w:hAnsiTheme="minorHAnsi" w:cstheme="minorHAnsi"/>
          <w:bCs/>
          <w:sz w:val="22"/>
          <w:szCs w:val="22"/>
          <w:lang w:val="en-US"/>
        </w:rPr>
      </w:pPr>
      <w:r w:rsidRPr="00BA18DE">
        <w:rPr>
          <w:rFonts w:asciiTheme="minorHAnsi" w:hAnsiTheme="minorHAnsi" w:cstheme="minorHAnsi"/>
          <w:bCs/>
          <w:sz w:val="22"/>
          <w:szCs w:val="22"/>
          <w:lang w:val="en-US"/>
        </w:rPr>
        <w:t>The t</w:t>
      </w:r>
      <w:r w:rsidR="005C2C9D" w:rsidRPr="00BA18DE">
        <w:rPr>
          <w:rFonts w:asciiTheme="minorHAnsi" w:hAnsiTheme="minorHAnsi" w:cstheme="minorHAnsi"/>
          <w:bCs/>
          <w:sz w:val="22"/>
          <w:szCs w:val="22"/>
          <w:lang w:val="en-US"/>
        </w:rPr>
        <w:t>ransition plan is reviewed periodically by IANA for fitness</w:t>
      </w:r>
      <w:r w:rsidRPr="00BA18DE">
        <w:rPr>
          <w:rFonts w:asciiTheme="minorHAnsi" w:hAnsiTheme="minorHAnsi" w:cstheme="minorHAnsi"/>
          <w:bCs/>
          <w:sz w:val="22"/>
          <w:szCs w:val="22"/>
          <w:lang w:val="en-US"/>
        </w:rPr>
        <w:t xml:space="preserve">. </w:t>
      </w:r>
    </w:p>
    <w:p w14:paraId="41094776" w14:textId="77777777" w:rsidR="00B55724" w:rsidRPr="00B55724" w:rsidRDefault="00B55724" w:rsidP="00B55724">
      <w:pPr>
        <w:rPr>
          <w:rFonts w:asciiTheme="minorHAnsi" w:hAnsiTheme="minorHAnsi" w:cstheme="minorHAnsi"/>
          <w:b/>
          <w:sz w:val="22"/>
          <w:szCs w:val="22"/>
          <w:lang w:val="en-US"/>
        </w:rPr>
      </w:pPr>
    </w:p>
    <w:p w14:paraId="7028CBB5" w14:textId="6614A4F5" w:rsidR="00196FEF" w:rsidRDefault="00BE664D" w:rsidP="00D82C1C">
      <w:pPr>
        <w:pStyle w:val="ListParagraph"/>
        <w:numPr>
          <w:ilvl w:val="0"/>
          <w:numId w:val="15"/>
        </w:numPr>
        <w:rPr>
          <w:rFonts w:asciiTheme="minorHAnsi" w:hAnsiTheme="minorHAnsi" w:cstheme="minorHAnsi"/>
          <w:b/>
          <w:sz w:val="22"/>
          <w:szCs w:val="22"/>
          <w:lang w:val="en-US"/>
        </w:rPr>
      </w:pPr>
      <w:r>
        <w:rPr>
          <w:rFonts w:asciiTheme="minorHAnsi" w:hAnsiTheme="minorHAnsi" w:cstheme="minorHAnsi"/>
          <w:b/>
          <w:sz w:val="22"/>
          <w:szCs w:val="22"/>
          <w:lang w:val="en-US"/>
        </w:rPr>
        <w:t>Review</w:t>
      </w:r>
      <w:r w:rsidR="00557181">
        <w:rPr>
          <w:rFonts w:asciiTheme="minorHAnsi" w:hAnsiTheme="minorHAnsi" w:cstheme="minorHAnsi"/>
          <w:b/>
          <w:sz w:val="22"/>
          <w:szCs w:val="22"/>
          <w:lang w:val="en-US"/>
        </w:rPr>
        <w:t xml:space="preserve"> findings</w:t>
      </w:r>
      <w:r>
        <w:rPr>
          <w:rFonts w:asciiTheme="minorHAnsi" w:hAnsiTheme="minorHAnsi" w:cstheme="minorHAnsi"/>
          <w:b/>
          <w:sz w:val="22"/>
          <w:szCs w:val="22"/>
          <w:lang w:val="en-US"/>
        </w:rPr>
        <w:t xml:space="preserve"> and comments</w:t>
      </w:r>
      <w:r w:rsidR="00E32475">
        <w:rPr>
          <w:rFonts w:asciiTheme="minorHAnsi" w:hAnsiTheme="minorHAnsi" w:cstheme="minorHAnsi"/>
          <w:b/>
          <w:sz w:val="22"/>
          <w:szCs w:val="22"/>
          <w:lang w:val="en-US"/>
        </w:rPr>
        <w:t xml:space="preserve"> in the workbook picking up from</w:t>
      </w:r>
      <w:r w:rsidR="00557181">
        <w:rPr>
          <w:rFonts w:asciiTheme="minorHAnsi" w:hAnsiTheme="minorHAnsi" w:cstheme="minorHAnsi"/>
          <w:b/>
          <w:sz w:val="22"/>
          <w:szCs w:val="22"/>
          <w:lang w:val="en-US"/>
        </w:rPr>
        <w:t xml:space="preserve"> </w:t>
      </w:r>
      <w:r w:rsidR="00E32475">
        <w:rPr>
          <w:rFonts w:asciiTheme="minorHAnsi" w:hAnsiTheme="minorHAnsi" w:cstheme="minorHAnsi"/>
          <w:b/>
          <w:sz w:val="22"/>
          <w:szCs w:val="22"/>
          <w:lang w:val="en-US"/>
        </w:rPr>
        <w:t xml:space="preserve">Article IX Section 9.4 </w:t>
      </w:r>
      <w:r w:rsidR="00196FEF" w:rsidRPr="00196FEF">
        <w:rPr>
          <w:rFonts w:asciiTheme="minorHAnsi" w:hAnsiTheme="minorHAnsi" w:cstheme="minorHAnsi"/>
          <w:bCs/>
          <w:sz w:val="22"/>
          <w:szCs w:val="22"/>
          <w:lang w:val="en-US"/>
        </w:rPr>
        <w:t>(</w:t>
      </w:r>
      <w:r w:rsidR="00A1019E">
        <w:rPr>
          <w:rFonts w:asciiTheme="minorHAnsi" w:hAnsiTheme="minorHAnsi" w:cstheme="minorHAnsi"/>
          <w:bCs/>
          <w:sz w:val="22"/>
          <w:szCs w:val="22"/>
          <w:lang w:val="en-US"/>
        </w:rPr>
        <w:t xml:space="preserve">see </w:t>
      </w:r>
      <w:r w:rsidR="00196FEF" w:rsidRPr="00196FEF">
        <w:rPr>
          <w:rFonts w:asciiTheme="minorHAnsi" w:hAnsiTheme="minorHAnsi" w:cstheme="minorHAnsi"/>
          <w:bCs/>
          <w:sz w:val="22"/>
          <w:szCs w:val="22"/>
          <w:lang w:val="en-US"/>
        </w:rPr>
        <w:t xml:space="preserve">rows </w:t>
      </w:r>
      <w:r w:rsidR="00E32475">
        <w:rPr>
          <w:rFonts w:asciiTheme="minorHAnsi" w:hAnsiTheme="minorHAnsi" w:cstheme="minorHAnsi"/>
          <w:bCs/>
          <w:sz w:val="22"/>
          <w:szCs w:val="22"/>
          <w:lang w:val="en-US"/>
        </w:rPr>
        <w:t>55</w:t>
      </w:r>
      <w:r w:rsidR="00196FEF" w:rsidRPr="00196FEF">
        <w:rPr>
          <w:rFonts w:asciiTheme="minorHAnsi" w:hAnsiTheme="minorHAnsi" w:cstheme="minorHAnsi"/>
          <w:bCs/>
          <w:sz w:val="22"/>
          <w:szCs w:val="22"/>
          <w:lang w:val="en-US"/>
        </w:rPr>
        <w:t xml:space="preserve"> – </w:t>
      </w:r>
      <w:r w:rsidR="00E32475">
        <w:rPr>
          <w:rFonts w:asciiTheme="minorHAnsi" w:hAnsiTheme="minorHAnsi" w:cstheme="minorHAnsi"/>
          <w:bCs/>
          <w:sz w:val="22"/>
          <w:szCs w:val="22"/>
          <w:lang w:val="en-US"/>
        </w:rPr>
        <w:t>68</w:t>
      </w:r>
      <w:r w:rsidR="00A1019E">
        <w:rPr>
          <w:rFonts w:asciiTheme="minorHAnsi" w:hAnsiTheme="minorHAnsi" w:cstheme="minorHAnsi"/>
          <w:bCs/>
          <w:sz w:val="22"/>
          <w:szCs w:val="22"/>
          <w:lang w:val="en-US"/>
        </w:rPr>
        <w:t xml:space="preserve"> in the </w:t>
      </w:r>
      <w:hyperlink r:id="rId14" w:anchor="gid=1621245865" w:history="1">
        <w:r w:rsidR="00A1019E" w:rsidRPr="00A1019E">
          <w:rPr>
            <w:rStyle w:val="Hyperlink"/>
            <w:rFonts w:asciiTheme="minorHAnsi" w:hAnsiTheme="minorHAnsi" w:cstheme="minorHAnsi"/>
            <w:bCs/>
            <w:sz w:val="22"/>
            <w:szCs w:val="22"/>
            <w:lang w:val="en-US"/>
          </w:rPr>
          <w:t>workbook</w:t>
        </w:r>
      </w:hyperlink>
      <w:r w:rsidR="00196FEF" w:rsidRPr="00196FEF">
        <w:rPr>
          <w:rFonts w:asciiTheme="minorHAnsi" w:hAnsiTheme="minorHAnsi" w:cstheme="minorHAnsi"/>
          <w:bCs/>
          <w:sz w:val="22"/>
          <w:szCs w:val="22"/>
          <w:lang w:val="en-US"/>
        </w:rPr>
        <w:t>):</w:t>
      </w:r>
    </w:p>
    <w:p w14:paraId="4CE32B55" w14:textId="6E38425E" w:rsidR="00B55724" w:rsidRPr="00B55724" w:rsidRDefault="00196FEF" w:rsidP="00B55724">
      <w:pPr>
        <w:pStyle w:val="ListParagraph"/>
        <w:numPr>
          <w:ilvl w:val="1"/>
          <w:numId w:val="15"/>
        </w:numPr>
        <w:rPr>
          <w:rFonts w:asciiTheme="minorHAnsi" w:hAnsiTheme="minorHAnsi" w:cstheme="minorHAnsi"/>
          <w:b/>
          <w:sz w:val="22"/>
          <w:szCs w:val="22"/>
          <w:lang w:val="en-US"/>
        </w:rPr>
      </w:pPr>
      <w:r>
        <w:rPr>
          <w:rFonts w:asciiTheme="minorHAnsi" w:hAnsiTheme="minorHAnsi" w:cstheme="minorHAnsi"/>
          <w:b/>
          <w:sz w:val="22"/>
          <w:szCs w:val="22"/>
          <w:lang w:val="en-US"/>
        </w:rPr>
        <w:t>Article IX: Term; Renewal; Transition and Termination</w:t>
      </w:r>
      <w:r w:rsidR="00E32475">
        <w:rPr>
          <w:rFonts w:asciiTheme="minorHAnsi" w:hAnsiTheme="minorHAnsi" w:cstheme="minorHAnsi"/>
          <w:b/>
          <w:sz w:val="22"/>
          <w:szCs w:val="22"/>
          <w:lang w:val="en-US"/>
        </w:rPr>
        <w:t>, Section 9.4 Survival of Term</w:t>
      </w:r>
      <w:r w:rsidR="00B55724">
        <w:rPr>
          <w:rFonts w:asciiTheme="minorHAnsi" w:hAnsiTheme="minorHAnsi" w:cstheme="minorHAnsi"/>
          <w:b/>
          <w:sz w:val="22"/>
          <w:szCs w:val="22"/>
          <w:lang w:val="en-US"/>
        </w:rPr>
        <w:t>s</w:t>
      </w:r>
    </w:p>
    <w:p w14:paraId="2DA675B0" w14:textId="7DAF136E" w:rsidR="00E32475" w:rsidRDefault="00E32475" w:rsidP="00196FEF">
      <w:pPr>
        <w:pStyle w:val="ListParagraph"/>
        <w:numPr>
          <w:ilvl w:val="1"/>
          <w:numId w:val="15"/>
        </w:numPr>
        <w:rPr>
          <w:rFonts w:asciiTheme="minorHAnsi" w:hAnsiTheme="minorHAnsi" w:cstheme="minorHAnsi"/>
          <w:b/>
          <w:sz w:val="22"/>
          <w:szCs w:val="22"/>
          <w:lang w:val="en-US"/>
        </w:rPr>
      </w:pPr>
      <w:r>
        <w:rPr>
          <w:rFonts w:asciiTheme="minorHAnsi" w:hAnsiTheme="minorHAnsi" w:cstheme="minorHAnsi"/>
          <w:b/>
          <w:sz w:val="22"/>
          <w:szCs w:val="22"/>
          <w:lang w:val="en-US"/>
        </w:rPr>
        <w:t>Article X: Resources, Fees and Budget</w:t>
      </w:r>
    </w:p>
    <w:p w14:paraId="6AF4332A" w14:textId="1690F835" w:rsidR="00E32475" w:rsidRDefault="00E32475" w:rsidP="00196FEF">
      <w:pPr>
        <w:pStyle w:val="ListParagraph"/>
        <w:numPr>
          <w:ilvl w:val="1"/>
          <w:numId w:val="15"/>
        </w:numPr>
        <w:rPr>
          <w:rFonts w:asciiTheme="minorHAnsi" w:hAnsiTheme="minorHAnsi" w:cstheme="minorHAnsi"/>
          <w:b/>
          <w:sz w:val="22"/>
          <w:szCs w:val="22"/>
          <w:lang w:val="en-US"/>
        </w:rPr>
      </w:pPr>
      <w:r>
        <w:rPr>
          <w:rFonts w:asciiTheme="minorHAnsi" w:hAnsiTheme="minorHAnsi" w:cstheme="minorHAnsi"/>
          <w:b/>
          <w:sz w:val="22"/>
          <w:szCs w:val="22"/>
          <w:lang w:val="en-US"/>
        </w:rPr>
        <w:t>Article XI: Security Requirements</w:t>
      </w:r>
    </w:p>
    <w:p w14:paraId="67822747" w14:textId="486ACE04" w:rsidR="002F1D97" w:rsidRPr="00BE410E" w:rsidRDefault="00E32475" w:rsidP="00BE410E">
      <w:pPr>
        <w:pStyle w:val="ListParagraph"/>
        <w:numPr>
          <w:ilvl w:val="1"/>
          <w:numId w:val="15"/>
        </w:numPr>
        <w:rPr>
          <w:rFonts w:asciiTheme="minorHAnsi" w:hAnsiTheme="minorHAnsi" w:cstheme="minorHAnsi"/>
          <w:b/>
          <w:sz w:val="22"/>
          <w:szCs w:val="22"/>
          <w:lang w:val="en-US"/>
        </w:rPr>
      </w:pPr>
      <w:r>
        <w:rPr>
          <w:rFonts w:asciiTheme="minorHAnsi" w:hAnsiTheme="minorHAnsi" w:cstheme="minorHAnsi"/>
          <w:b/>
          <w:sz w:val="22"/>
          <w:szCs w:val="22"/>
          <w:lang w:val="en-US"/>
        </w:rPr>
        <w:t>Article XII: Confidentiality</w:t>
      </w:r>
    </w:p>
    <w:p w14:paraId="41F578E7" w14:textId="77777777" w:rsidR="003E5D32" w:rsidRPr="00A1019E" w:rsidRDefault="003E5D32" w:rsidP="00A1019E">
      <w:pPr>
        <w:ind w:left="720"/>
        <w:rPr>
          <w:rFonts w:asciiTheme="minorHAnsi" w:hAnsiTheme="minorHAnsi" w:cstheme="minorHAnsi"/>
          <w:bCs/>
          <w:sz w:val="22"/>
          <w:szCs w:val="22"/>
          <w:lang w:val="en-US"/>
        </w:rPr>
      </w:pPr>
    </w:p>
    <w:p w14:paraId="2DC94238" w14:textId="77777777" w:rsidR="00D5215E" w:rsidRPr="003E5D32" w:rsidRDefault="00E27863" w:rsidP="00D5215E">
      <w:pPr>
        <w:pStyle w:val="ListParagraph"/>
        <w:numPr>
          <w:ilvl w:val="0"/>
          <w:numId w:val="15"/>
        </w:numPr>
        <w:rPr>
          <w:rFonts w:asciiTheme="minorHAnsi" w:hAnsiTheme="minorHAnsi" w:cstheme="minorHAnsi"/>
          <w:bCs/>
          <w:sz w:val="22"/>
          <w:szCs w:val="22"/>
          <w:lang w:val="en-US"/>
        </w:rPr>
      </w:pPr>
      <w:r w:rsidRPr="003E5D32">
        <w:rPr>
          <w:rFonts w:asciiTheme="minorHAnsi" w:hAnsiTheme="minorHAnsi" w:cstheme="minorHAnsi"/>
          <w:b/>
          <w:bCs/>
          <w:sz w:val="22"/>
          <w:szCs w:val="22"/>
        </w:rPr>
        <w:t>N</w:t>
      </w:r>
      <w:r w:rsidR="00567EC1" w:rsidRPr="003E5D32">
        <w:rPr>
          <w:rFonts w:asciiTheme="minorHAnsi" w:hAnsiTheme="minorHAnsi" w:cstheme="minorHAnsi"/>
          <w:b/>
          <w:bCs/>
          <w:sz w:val="22"/>
          <w:szCs w:val="22"/>
        </w:rPr>
        <w:t>ext steps</w:t>
      </w:r>
      <w:r w:rsidR="00D5215E" w:rsidRPr="003E5D32">
        <w:rPr>
          <w:rFonts w:asciiTheme="minorHAnsi" w:hAnsiTheme="minorHAnsi" w:cstheme="minorHAnsi"/>
          <w:bCs/>
          <w:sz w:val="22"/>
          <w:szCs w:val="22"/>
          <w:lang w:val="en-US"/>
        </w:rPr>
        <w:t xml:space="preserve">: </w:t>
      </w:r>
    </w:p>
    <w:p w14:paraId="00C08D54" w14:textId="0FC049F3" w:rsidR="00D9194D" w:rsidRDefault="00D9194D" w:rsidP="00B1271F">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 xml:space="preserve">Next meeting </w:t>
      </w:r>
      <w:r w:rsidR="00E32475">
        <w:rPr>
          <w:rFonts w:asciiTheme="minorHAnsi" w:hAnsiTheme="minorHAnsi" w:cstheme="minorHAnsi"/>
          <w:sz w:val="22"/>
          <w:szCs w:val="22"/>
        </w:rPr>
        <w:t>6 August</w:t>
      </w:r>
      <w:r>
        <w:rPr>
          <w:rFonts w:asciiTheme="minorHAnsi" w:hAnsiTheme="minorHAnsi" w:cstheme="minorHAnsi"/>
          <w:sz w:val="22"/>
          <w:szCs w:val="22"/>
        </w:rPr>
        <w:t xml:space="preserve"> @ 1</w:t>
      </w:r>
      <w:r w:rsidR="00E32475">
        <w:rPr>
          <w:rFonts w:asciiTheme="minorHAnsi" w:hAnsiTheme="minorHAnsi" w:cstheme="minorHAnsi"/>
          <w:sz w:val="22"/>
          <w:szCs w:val="22"/>
        </w:rPr>
        <w:t>1</w:t>
      </w:r>
      <w:r>
        <w:rPr>
          <w:rFonts w:asciiTheme="minorHAnsi" w:hAnsiTheme="minorHAnsi" w:cstheme="minorHAnsi"/>
          <w:sz w:val="22"/>
          <w:szCs w:val="22"/>
        </w:rPr>
        <w:t>:00 UTC.</w:t>
      </w:r>
      <w:r w:rsidR="00BE410E">
        <w:rPr>
          <w:rFonts w:asciiTheme="minorHAnsi" w:hAnsiTheme="minorHAnsi" w:cstheme="minorHAnsi"/>
          <w:sz w:val="22"/>
          <w:szCs w:val="22"/>
        </w:rPr>
        <w:t xml:space="preserve"> The review team will pick up the review at </w:t>
      </w:r>
      <w:r w:rsidR="00BE410E" w:rsidRPr="002F1D97">
        <w:rPr>
          <w:rFonts w:asciiTheme="minorHAnsi" w:hAnsiTheme="minorHAnsi" w:cstheme="minorHAnsi"/>
          <w:bCs/>
          <w:sz w:val="22"/>
          <w:szCs w:val="22"/>
          <w:lang w:val="en-US"/>
        </w:rPr>
        <w:t>Article XI, Section 11.2.</w:t>
      </w:r>
    </w:p>
    <w:p w14:paraId="7143C7E4" w14:textId="1A6C072F" w:rsidR="00D5215E" w:rsidRPr="00B1271F" w:rsidRDefault="00226FA1" w:rsidP="00B1271F">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 xml:space="preserve">Homework assignment </w:t>
      </w:r>
      <w:r w:rsidR="00E32475">
        <w:rPr>
          <w:rFonts w:asciiTheme="minorHAnsi" w:hAnsiTheme="minorHAnsi" w:cstheme="minorHAnsi"/>
          <w:sz w:val="22"/>
          <w:szCs w:val="22"/>
        </w:rPr>
        <w:t>to be confirmed based on progress; suggested assignment Articles XIII and XIV (this would complete the initial review of the contract)</w:t>
      </w:r>
      <w:r w:rsidR="0026675D">
        <w:rPr>
          <w:rFonts w:asciiTheme="minorHAnsi" w:hAnsiTheme="minorHAnsi" w:cstheme="minorHAnsi"/>
          <w:sz w:val="22"/>
          <w:szCs w:val="22"/>
        </w:rPr>
        <w:t>.</w:t>
      </w:r>
    </w:p>
    <w:p w14:paraId="0D482FE5" w14:textId="77777777" w:rsidR="00557181" w:rsidRPr="00557181" w:rsidRDefault="00557181" w:rsidP="002D3137">
      <w:pPr>
        <w:pStyle w:val="NoSpacing"/>
        <w:rPr>
          <w:rFonts w:asciiTheme="minorHAnsi" w:hAnsiTheme="minorHAnsi" w:cstheme="minorHAnsi"/>
          <w:sz w:val="22"/>
          <w:szCs w:val="22"/>
        </w:rPr>
      </w:pPr>
    </w:p>
    <w:p w14:paraId="20BAB550" w14:textId="32F572F7" w:rsidR="00383ECE" w:rsidRPr="00BA18DE" w:rsidRDefault="00F54A4C" w:rsidP="00C816F9">
      <w:pPr>
        <w:pStyle w:val="NoSpacing"/>
        <w:numPr>
          <w:ilvl w:val="0"/>
          <w:numId w:val="15"/>
        </w:numPr>
        <w:rPr>
          <w:rFonts w:asciiTheme="minorHAnsi" w:hAnsiTheme="minorHAnsi" w:cstheme="minorHAnsi"/>
          <w:sz w:val="22"/>
          <w:szCs w:val="22"/>
        </w:rPr>
      </w:pPr>
      <w:r w:rsidRPr="003E5D32">
        <w:rPr>
          <w:rFonts w:asciiTheme="minorHAnsi" w:hAnsiTheme="minorHAnsi" w:cstheme="minorHAnsi"/>
          <w:b/>
          <w:bCs/>
          <w:sz w:val="22"/>
          <w:szCs w:val="22"/>
        </w:rPr>
        <w:lastRenderedPageBreak/>
        <w:t>AOB</w:t>
      </w:r>
      <w:r w:rsidR="00C816F9" w:rsidRPr="003E5D32">
        <w:rPr>
          <w:rFonts w:asciiTheme="minorHAnsi" w:hAnsiTheme="minorHAnsi" w:cstheme="minorHAnsi"/>
          <w:b/>
          <w:bCs/>
          <w:sz w:val="22"/>
          <w:szCs w:val="22"/>
        </w:rPr>
        <w:t xml:space="preserve">, close </w:t>
      </w:r>
    </w:p>
    <w:p w14:paraId="1CFCAF18" w14:textId="08A2A15A" w:rsidR="00BA18DE" w:rsidRPr="003E5D32" w:rsidRDefault="00BA18DE" w:rsidP="00BA18DE">
      <w:pPr>
        <w:pStyle w:val="NoSpacing"/>
        <w:numPr>
          <w:ilvl w:val="0"/>
          <w:numId w:val="48"/>
        </w:numPr>
        <w:rPr>
          <w:rFonts w:asciiTheme="minorHAnsi" w:hAnsiTheme="minorHAnsi" w:cstheme="minorHAnsi"/>
          <w:sz w:val="22"/>
          <w:szCs w:val="22"/>
        </w:rPr>
      </w:pPr>
      <w:r>
        <w:rPr>
          <w:rFonts w:asciiTheme="minorHAnsi" w:hAnsiTheme="minorHAnsi" w:cstheme="minorHAnsi"/>
          <w:sz w:val="22"/>
          <w:szCs w:val="22"/>
        </w:rPr>
        <w:t>No AOB was discussed.</w:t>
      </w:r>
    </w:p>
    <w:sectPr w:rsidR="00BA18DE" w:rsidRPr="003E5D32" w:rsidSect="00AF5FFA">
      <w:headerReference w:type="default" r:id="rId15"/>
      <w:footerReference w:type="even" r:id="rId16"/>
      <w:footerReference w:type="default" r:id="rId17"/>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D0F3" w14:textId="77777777" w:rsidR="00701DF1" w:rsidRDefault="00701DF1">
      <w:r>
        <w:separator/>
      </w:r>
    </w:p>
  </w:endnote>
  <w:endnote w:type="continuationSeparator" w:id="0">
    <w:p w14:paraId="63CF95C0" w14:textId="77777777" w:rsidR="00701DF1" w:rsidRDefault="0070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7789011"/>
      <w:docPartObj>
        <w:docPartGallery w:val="Page Numbers (Bottom of Page)"/>
        <w:docPartUnique/>
      </w:docPartObj>
    </w:sdtPr>
    <w:sdtContent>
      <w:p w14:paraId="4173D9D9" w14:textId="06DA5504" w:rsidR="008F3142" w:rsidRDefault="008F3142" w:rsidP="000C6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8243E8" w14:textId="77777777" w:rsidR="008F3142" w:rsidRDefault="008F3142" w:rsidP="008F3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3235046"/>
      <w:docPartObj>
        <w:docPartGallery w:val="Page Numbers (Bottom of Page)"/>
        <w:docPartUnique/>
      </w:docPartObj>
    </w:sdtPr>
    <w:sdtContent>
      <w:p w14:paraId="7AE1D4D8" w14:textId="3E645CC9" w:rsidR="008F3142" w:rsidRDefault="008F3142" w:rsidP="000C6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F4A81B" w14:textId="77777777" w:rsidR="008F3142" w:rsidRDefault="008F3142" w:rsidP="008F31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F9D2A" w14:textId="77777777" w:rsidR="00701DF1" w:rsidRDefault="00701DF1">
      <w:r>
        <w:separator/>
      </w:r>
    </w:p>
  </w:footnote>
  <w:footnote w:type="continuationSeparator" w:id="0">
    <w:p w14:paraId="3039D6CB" w14:textId="77777777" w:rsidR="00701DF1" w:rsidRDefault="00701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AA94" w14:textId="308D1461" w:rsidR="00383ECE" w:rsidRDefault="00383ECE">
    <w:pPr>
      <w:pStyle w:val="Header"/>
      <w:jc w:val="center"/>
    </w:pPr>
  </w:p>
  <w:p w14:paraId="1D96BDEB" w14:textId="77777777" w:rsidR="00383ECE" w:rsidRDefault="00383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5"/>
    <w:multiLevelType w:val="hybridMultilevel"/>
    <w:tmpl w:val="255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73156"/>
    <w:multiLevelType w:val="hybridMultilevel"/>
    <w:tmpl w:val="C8C2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A3EF2"/>
    <w:multiLevelType w:val="hybridMultilevel"/>
    <w:tmpl w:val="25CA3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BB5864"/>
    <w:multiLevelType w:val="hybridMultilevel"/>
    <w:tmpl w:val="7A5C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B7B8A"/>
    <w:multiLevelType w:val="hybridMultilevel"/>
    <w:tmpl w:val="3F34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E51529F"/>
    <w:multiLevelType w:val="hybridMultilevel"/>
    <w:tmpl w:val="C610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C092E"/>
    <w:multiLevelType w:val="hybridMultilevel"/>
    <w:tmpl w:val="A6F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8372F"/>
    <w:multiLevelType w:val="hybridMultilevel"/>
    <w:tmpl w:val="AC907DFA"/>
    <w:lvl w:ilvl="0" w:tplc="382C442C">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2C36D8"/>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73311"/>
    <w:multiLevelType w:val="hybridMultilevel"/>
    <w:tmpl w:val="AD2AC2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D0F5C"/>
    <w:multiLevelType w:val="hybridMultilevel"/>
    <w:tmpl w:val="022E01D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D402B3A"/>
    <w:multiLevelType w:val="hybridMultilevel"/>
    <w:tmpl w:val="52F4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72520"/>
    <w:multiLevelType w:val="hybridMultilevel"/>
    <w:tmpl w:val="0A3E3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610FA6"/>
    <w:multiLevelType w:val="hybridMultilevel"/>
    <w:tmpl w:val="46B4E6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B041E8"/>
    <w:multiLevelType w:val="hybridMultilevel"/>
    <w:tmpl w:val="26AC1046"/>
    <w:lvl w:ilvl="0" w:tplc="54EA2C7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25206E"/>
    <w:multiLevelType w:val="hybridMultilevel"/>
    <w:tmpl w:val="84D67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5874121"/>
    <w:multiLevelType w:val="hybridMultilevel"/>
    <w:tmpl w:val="11C63A94"/>
    <w:lvl w:ilvl="0" w:tplc="785ABA3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C44AD6"/>
    <w:multiLevelType w:val="hybridMultilevel"/>
    <w:tmpl w:val="9590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431FF"/>
    <w:multiLevelType w:val="hybridMultilevel"/>
    <w:tmpl w:val="755E04FC"/>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51D71"/>
    <w:multiLevelType w:val="hybridMultilevel"/>
    <w:tmpl w:val="6E9E4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5B2E06"/>
    <w:multiLevelType w:val="hybridMultilevel"/>
    <w:tmpl w:val="D620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8701E"/>
    <w:multiLevelType w:val="hybridMultilevel"/>
    <w:tmpl w:val="F28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30622"/>
    <w:multiLevelType w:val="hybridMultilevel"/>
    <w:tmpl w:val="02A4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07DE8"/>
    <w:multiLevelType w:val="hybridMultilevel"/>
    <w:tmpl w:val="DE62F750"/>
    <w:lvl w:ilvl="0" w:tplc="69E86ED4">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BD65A5"/>
    <w:multiLevelType w:val="hybridMultilevel"/>
    <w:tmpl w:val="5706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90748"/>
    <w:multiLevelType w:val="hybridMultilevel"/>
    <w:tmpl w:val="09DE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725C4"/>
    <w:multiLevelType w:val="hybridMultilevel"/>
    <w:tmpl w:val="F0F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06898"/>
    <w:multiLevelType w:val="hybridMultilevel"/>
    <w:tmpl w:val="C472DF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B906AD"/>
    <w:multiLevelType w:val="hybridMultilevel"/>
    <w:tmpl w:val="9B3019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7326AE4"/>
    <w:multiLevelType w:val="hybridMultilevel"/>
    <w:tmpl w:val="8000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E11F6"/>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B33B13"/>
    <w:multiLevelType w:val="hybridMultilevel"/>
    <w:tmpl w:val="AECE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707CD"/>
    <w:multiLevelType w:val="hybridMultilevel"/>
    <w:tmpl w:val="BA0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3165E"/>
    <w:multiLevelType w:val="hybridMultilevel"/>
    <w:tmpl w:val="901E450A"/>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004819"/>
    <w:multiLevelType w:val="hybridMultilevel"/>
    <w:tmpl w:val="25F81F84"/>
    <w:lvl w:ilvl="0" w:tplc="2D487BEA">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3E1E9B"/>
    <w:multiLevelType w:val="hybridMultilevel"/>
    <w:tmpl w:val="5F2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A71A37"/>
    <w:multiLevelType w:val="hybridMultilevel"/>
    <w:tmpl w:val="746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B102D"/>
    <w:multiLevelType w:val="hybridMultilevel"/>
    <w:tmpl w:val="8A8C97B4"/>
    <w:lvl w:ilvl="0" w:tplc="2F58A3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53370A"/>
    <w:multiLevelType w:val="hybridMultilevel"/>
    <w:tmpl w:val="629A3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A5C2575"/>
    <w:multiLevelType w:val="hybridMultilevel"/>
    <w:tmpl w:val="964C82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C205E89"/>
    <w:multiLevelType w:val="multilevel"/>
    <w:tmpl w:val="C5526F08"/>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8A0764"/>
    <w:multiLevelType w:val="multilevel"/>
    <w:tmpl w:val="6EA4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546997"/>
    <w:multiLevelType w:val="hybridMultilevel"/>
    <w:tmpl w:val="0EE2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01EF6"/>
    <w:multiLevelType w:val="hybridMultilevel"/>
    <w:tmpl w:val="E7180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8D4705"/>
    <w:multiLevelType w:val="hybridMultilevel"/>
    <w:tmpl w:val="84F0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72C60"/>
    <w:multiLevelType w:val="hybridMultilevel"/>
    <w:tmpl w:val="3618B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CC0403"/>
    <w:multiLevelType w:val="hybridMultilevel"/>
    <w:tmpl w:val="2812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28670">
    <w:abstractNumId w:val="4"/>
  </w:num>
  <w:num w:numId="2" w16cid:durableId="1403214046">
    <w:abstractNumId w:val="39"/>
  </w:num>
  <w:num w:numId="3" w16cid:durableId="591209026">
    <w:abstractNumId w:val="5"/>
  </w:num>
  <w:num w:numId="4" w16cid:durableId="500050826">
    <w:abstractNumId w:val="44"/>
  </w:num>
  <w:num w:numId="5" w16cid:durableId="481047730">
    <w:abstractNumId w:val="18"/>
  </w:num>
  <w:num w:numId="6" w16cid:durableId="2017462277">
    <w:abstractNumId w:val="23"/>
  </w:num>
  <w:num w:numId="7" w16cid:durableId="67193773">
    <w:abstractNumId w:val="33"/>
  </w:num>
  <w:num w:numId="8" w16cid:durableId="650250363">
    <w:abstractNumId w:val="10"/>
  </w:num>
  <w:num w:numId="9" w16cid:durableId="904683073">
    <w:abstractNumId w:val="9"/>
  </w:num>
  <w:num w:numId="10" w16cid:durableId="533612403">
    <w:abstractNumId w:val="41"/>
  </w:num>
  <w:num w:numId="11" w16cid:durableId="654454075">
    <w:abstractNumId w:val="35"/>
  </w:num>
  <w:num w:numId="12" w16cid:durableId="1607342635">
    <w:abstractNumId w:val="6"/>
  </w:num>
  <w:num w:numId="13" w16cid:durableId="1700089083">
    <w:abstractNumId w:val="0"/>
  </w:num>
  <w:num w:numId="14" w16cid:durableId="915938904">
    <w:abstractNumId w:val="22"/>
  </w:num>
  <w:num w:numId="15" w16cid:durableId="415176259">
    <w:abstractNumId w:val="40"/>
  </w:num>
  <w:num w:numId="16" w16cid:durableId="1709716898">
    <w:abstractNumId w:val="37"/>
  </w:num>
  <w:num w:numId="17" w16cid:durableId="630592680">
    <w:abstractNumId w:val="8"/>
  </w:num>
  <w:num w:numId="18" w16cid:durableId="1786803250">
    <w:abstractNumId w:val="8"/>
  </w:num>
  <w:num w:numId="19" w16cid:durableId="1094790898">
    <w:abstractNumId w:val="30"/>
  </w:num>
  <w:num w:numId="20" w16cid:durableId="113910160">
    <w:abstractNumId w:val="16"/>
  </w:num>
  <w:num w:numId="21" w16cid:durableId="542449417">
    <w:abstractNumId w:val="29"/>
  </w:num>
  <w:num w:numId="22" w16cid:durableId="1457140835">
    <w:abstractNumId w:val="21"/>
  </w:num>
  <w:num w:numId="23" w16cid:durableId="1965386407">
    <w:abstractNumId w:val="17"/>
  </w:num>
  <w:num w:numId="24" w16cid:durableId="1664119369">
    <w:abstractNumId w:val="3"/>
  </w:num>
  <w:num w:numId="25" w16cid:durableId="612133199">
    <w:abstractNumId w:val="20"/>
  </w:num>
  <w:num w:numId="26" w16cid:durableId="1212955969">
    <w:abstractNumId w:val="7"/>
  </w:num>
  <w:num w:numId="27" w16cid:durableId="1208907647">
    <w:abstractNumId w:val="34"/>
  </w:num>
  <w:num w:numId="28" w16cid:durableId="1823041421">
    <w:abstractNumId w:val="32"/>
  </w:num>
  <w:num w:numId="29" w16cid:durableId="889266844">
    <w:abstractNumId w:val="46"/>
  </w:num>
  <w:num w:numId="30" w16cid:durableId="524295807">
    <w:abstractNumId w:val="14"/>
  </w:num>
  <w:num w:numId="31" w16cid:durableId="1260525639">
    <w:abstractNumId w:val="1"/>
  </w:num>
  <w:num w:numId="32" w16cid:durableId="272983824">
    <w:abstractNumId w:val="11"/>
  </w:num>
  <w:num w:numId="33" w16cid:durableId="2085759074">
    <w:abstractNumId w:val="26"/>
  </w:num>
  <w:num w:numId="34" w16cid:durableId="1602251154">
    <w:abstractNumId w:val="24"/>
  </w:num>
  <w:num w:numId="35" w16cid:durableId="659961521">
    <w:abstractNumId w:val="25"/>
  </w:num>
  <w:num w:numId="36" w16cid:durableId="688527225">
    <w:abstractNumId w:val="42"/>
  </w:num>
  <w:num w:numId="37" w16cid:durableId="1373456054">
    <w:abstractNumId w:val="43"/>
  </w:num>
  <w:num w:numId="38" w16cid:durableId="369231517">
    <w:abstractNumId w:val="38"/>
  </w:num>
  <w:num w:numId="39" w16cid:durableId="2104372951">
    <w:abstractNumId w:val="15"/>
  </w:num>
  <w:num w:numId="40" w16cid:durableId="887375077">
    <w:abstractNumId w:val="27"/>
  </w:num>
  <w:num w:numId="41" w16cid:durableId="1428189766">
    <w:abstractNumId w:val="19"/>
  </w:num>
  <w:num w:numId="42" w16cid:durableId="1159539556">
    <w:abstractNumId w:val="28"/>
  </w:num>
  <w:num w:numId="43" w16cid:durableId="2088531403">
    <w:abstractNumId w:val="13"/>
  </w:num>
  <w:num w:numId="44" w16cid:durableId="5865244">
    <w:abstractNumId w:val="12"/>
  </w:num>
  <w:num w:numId="45" w16cid:durableId="1274364101">
    <w:abstractNumId w:val="2"/>
  </w:num>
  <w:num w:numId="46" w16cid:durableId="1648827283">
    <w:abstractNumId w:val="45"/>
  </w:num>
  <w:num w:numId="47" w16cid:durableId="2140025901">
    <w:abstractNumId w:val="31"/>
  </w:num>
  <w:num w:numId="48" w16cid:durableId="110947339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B6"/>
    <w:rsid w:val="00014241"/>
    <w:rsid w:val="00025D33"/>
    <w:rsid w:val="00051635"/>
    <w:rsid w:val="0005774A"/>
    <w:rsid w:val="000613FA"/>
    <w:rsid w:val="000811EA"/>
    <w:rsid w:val="0008311F"/>
    <w:rsid w:val="00093581"/>
    <w:rsid w:val="000A4C8E"/>
    <w:rsid w:val="000A582D"/>
    <w:rsid w:val="000C016D"/>
    <w:rsid w:val="000C6468"/>
    <w:rsid w:val="000E1433"/>
    <w:rsid w:val="000E7B9F"/>
    <w:rsid w:val="001106D7"/>
    <w:rsid w:val="00110E25"/>
    <w:rsid w:val="00126C91"/>
    <w:rsid w:val="00126E4D"/>
    <w:rsid w:val="00130FA4"/>
    <w:rsid w:val="00131BC2"/>
    <w:rsid w:val="00143718"/>
    <w:rsid w:val="0015566B"/>
    <w:rsid w:val="00162394"/>
    <w:rsid w:val="00162C36"/>
    <w:rsid w:val="00165828"/>
    <w:rsid w:val="00177F55"/>
    <w:rsid w:val="00185324"/>
    <w:rsid w:val="00196FEF"/>
    <w:rsid w:val="001A63E1"/>
    <w:rsid w:val="001B0455"/>
    <w:rsid w:val="001B2645"/>
    <w:rsid w:val="001B298E"/>
    <w:rsid w:val="001B61C6"/>
    <w:rsid w:val="001E2871"/>
    <w:rsid w:val="001F14C3"/>
    <w:rsid w:val="001F4A96"/>
    <w:rsid w:val="001F643D"/>
    <w:rsid w:val="00201565"/>
    <w:rsid w:val="002218C3"/>
    <w:rsid w:val="00224EC2"/>
    <w:rsid w:val="00226FA1"/>
    <w:rsid w:val="00231A8D"/>
    <w:rsid w:val="0026648D"/>
    <w:rsid w:val="0026675D"/>
    <w:rsid w:val="002A637C"/>
    <w:rsid w:val="002A6E8E"/>
    <w:rsid w:val="002A7766"/>
    <w:rsid w:val="002B6E68"/>
    <w:rsid w:val="002B7E03"/>
    <w:rsid w:val="002C0E5E"/>
    <w:rsid w:val="002C72C3"/>
    <w:rsid w:val="002D2CD3"/>
    <w:rsid w:val="002D3137"/>
    <w:rsid w:val="002E214D"/>
    <w:rsid w:val="002E42BC"/>
    <w:rsid w:val="002E5CC9"/>
    <w:rsid w:val="002F1D97"/>
    <w:rsid w:val="002F65F0"/>
    <w:rsid w:val="00322A89"/>
    <w:rsid w:val="003302D8"/>
    <w:rsid w:val="00331695"/>
    <w:rsid w:val="00335B1C"/>
    <w:rsid w:val="00341BCE"/>
    <w:rsid w:val="003442BE"/>
    <w:rsid w:val="00345FDF"/>
    <w:rsid w:val="00361900"/>
    <w:rsid w:val="003827A7"/>
    <w:rsid w:val="00383ECE"/>
    <w:rsid w:val="0039209B"/>
    <w:rsid w:val="003D1F52"/>
    <w:rsid w:val="003E5D32"/>
    <w:rsid w:val="003F094B"/>
    <w:rsid w:val="003F1977"/>
    <w:rsid w:val="003F52F8"/>
    <w:rsid w:val="00411FC0"/>
    <w:rsid w:val="00430A57"/>
    <w:rsid w:val="00431617"/>
    <w:rsid w:val="00444A38"/>
    <w:rsid w:val="004650B7"/>
    <w:rsid w:val="00467AA7"/>
    <w:rsid w:val="00467C5A"/>
    <w:rsid w:val="00473AC2"/>
    <w:rsid w:val="0047706E"/>
    <w:rsid w:val="00482710"/>
    <w:rsid w:val="00490825"/>
    <w:rsid w:val="004932B8"/>
    <w:rsid w:val="004A0BF6"/>
    <w:rsid w:val="004A14DC"/>
    <w:rsid w:val="004C1FDF"/>
    <w:rsid w:val="004D579A"/>
    <w:rsid w:val="004D6C32"/>
    <w:rsid w:val="004D7155"/>
    <w:rsid w:val="004D738A"/>
    <w:rsid w:val="004E2D7F"/>
    <w:rsid w:val="004E5CD1"/>
    <w:rsid w:val="004F0BFB"/>
    <w:rsid w:val="00500498"/>
    <w:rsid w:val="00504F2F"/>
    <w:rsid w:val="00510663"/>
    <w:rsid w:val="00531CE2"/>
    <w:rsid w:val="00534DC8"/>
    <w:rsid w:val="00536F0D"/>
    <w:rsid w:val="00542C67"/>
    <w:rsid w:val="00542C9B"/>
    <w:rsid w:val="00544F6A"/>
    <w:rsid w:val="00557181"/>
    <w:rsid w:val="005576FD"/>
    <w:rsid w:val="00563B31"/>
    <w:rsid w:val="00567EC1"/>
    <w:rsid w:val="0058016A"/>
    <w:rsid w:val="00586FF1"/>
    <w:rsid w:val="00592E5E"/>
    <w:rsid w:val="00593056"/>
    <w:rsid w:val="005A0BF5"/>
    <w:rsid w:val="005A155E"/>
    <w:rsid w:val="005A6748"/>
    <w:rsid w:val="005C29CC"/>
    <w:rsid w:val="005C2C9D"/>
    <w:rsid w:val="005C2CCF"/>
    <w:rsid w:val="005C54C3"/>
    <w:rsid w:val="005E28D3"/>
    <w:rsid w:val="005E2C4E"/>
    <w:rsid w:val="005F3742"/>
    <w:rsid w:val="005F40BA"/>
    <w:rsid w:val="006169A0"/>
    <w:rsid w:val="00641141"/>
    <w:rsid w:val="00643BED"/>
    <w:rsid w:val="00643DAC"/>
    <w:rsid w:val="006544BC"/>
    <w:rsid w:val="00682C36"/>
    <w:rsid w:val="006866D1"/>
    <w:rsid w:val="00691BF7"/>
    <w:rsid w:val="006B52F4"/>
    <w:rsid w:val="006B74E0"/>
    <w:rsid w:val="006B7D24"/>
    <w:rsid w:val="006E0B84"/>
    <w:rsid w:val="006F15C3"/>
    <w:rsid w:val="006F2C90"/>
    <w:rsid w:val="00701DF1"/>
    <w:rsid w:val="00735712"/>
    <w:rsid w:val="00763774"/>
    <w:rsid w:val="0077101D"/>
    <w:rsid w:val="0077518D"/>
    <w:rsid w:val="00790387"/>
    <w:rsid w:val="00791281"/>
    <w:rsid w:val="00796D9C"/>
    <w:rsid w:val="007A027D"/>
    <w:rsid w:val="007A32DA"/>
    <w:rsid w:val="007B1878"/>
    <w:rsid w:val="007D2E97"/>
    <w:rsid w:val="007E1E9F"/>
    <w:rsid w:val="007E2571"/>
    <w:rsid w:val="007E291D"/>
    <w:rsid w:val="007F1CB6"/>
    <w:rsid w:val="007F2C11"/>
    <w:rsid w:val="007F4325"/>
    <w:rsid w:val="00803CF1"/>
    <w:rsid w:val="00811023"/>
    <w:rsid w:val="00853C71"/>
    <w:rsid w:val="008566E6"/>
    <w:rsid w:val="00863DBE"/>
    <w:rsid w:val="0087501E"/>
    <w:rsid w:val="008755E8"/>
    <w:rsid w:val="0087747C"/>
    <w:rsid w:val="00890CE6"/>
    <w:rsid w:val="00892D39"/>
    <w:rsid w:val="00893DFA"/>
    <w:rsid w:val="00894CBA"/>
    <w:rsid w:val="008A028A"/>
    <w:rsid w:val="008B77BF"/>
    <w:rsid w:val="008C1244"/>
    <w:rsid w:val="008C44EB"/>
    <w:rsid w:val="008E04C5"/>
    <w:rsid w:val="008E690A"/>
    <w:rsid w:val="008F3142"/>
    <w:rsid w:val="009019EE"/>
    <w:rsid w:val="00907DEF"/>
    <w:rsid w:val="00917366"/>
    <w:rsid w:val="009237A5"/>
    <w:rsid w:val="00934ADB"/>
    <w:rsid w:val="00945AFD"/>
    <w:rsid w:val="00955EC4"/>
    <w:rsid w:val="00961DC4"/>
    <w:rsid w:val="009732FA"/>
    <w:rsid w:val="00973985"/>
    <w:rsid w:val="0098182F"/>
    <w:rsid w:val="0099426C"/>
    <w:rsid w:val="009977A0"/>
    <w:rsid w:val="009A3320"/>
    <w:rsid w:val="009C1054"/>
    <w:rsid w:val="009D7FE1"/>
    <w:rsid w:val="009E1BC6"/>
    <w:rsid w:val="009E31E4"/>
    <w:rsid w:val="00A0166A"/>
    <w:rsid w:val="00A1019E"/>
    <w:rsid w:val="00A417CD"/>
    <w:rsid w:val="00A517CC"/>
    <w:rsid w:val="00A649C4"/>
    <w:rsid w:val="00A732A3"/>
    <w:rsid w:val="00A83BCD"/>
    <w:rsid w:val="00A9112B"/>
    <w:rsid w:val="00AA1C77"/>
    <w:rsid w:val="00AB2118"/>
    <w:rsid w:val="00AC17C4"/>
    <w:rsid w:val="00AD5C75"/>
    <w:rsid w:val="00AD7898"/>
    <w:rsid w:val="00AE11BC"/>
    <w:rsid w:val="00AF12A9"/>
    <w:rsid w:val="00AF4CB9"/>
    <w:rsid w:val="00AF50C1"/>
    <w:rsid w:val="00AF5FFA"/>
    <w:rsid w:val="00B00C17"/>
    <w:rsid w:val="00B02E93"/>
    <w:rsid w:val="00B034BF"/>
    <w:rsid w:val="00B05D4C"/>
    <w:rsid w:val="00B10C87"/>
    <w:rsid w:val="00B1271F"/>
    <w:rsid w:val="00B16078"/>
    <w:rsid w:val="00B26BA9"/>
    <w:rsid w:val="00B34A8A"/>
    <w:rsid w:val="00B510F5"/>
    <w:rsid w:val="00B52F79"/>
    <w:rsid w:val="00B52FE8"/>
    <w:rsid w:val="00B53D72"/>
    <w:rsid w:val="00B55724"/>
    <w:rsid w:val="00B56663"/>
    <w:rsid w:val="00B62C06"/>
    <w:rsid w:val="00B63504"/>
    <w:rsid w:val="00B660E3"/>
    <w:rsid w:val="00B82EE9"/>
    <w:rsid w:val="00B85B72"/>
    <w:rsid w:val="00B9437D"/>
    <w:rsid w:val="00B97876"/>
    <w:rsid w:val="00BA18DE"/>
    <w:rsid w:val="00BB27AB"/>
    <w:rsid w:val="00BB32C4"/>
    <w:rsid w:val="00BB6030"/>
    <w:rsid w:val="00BE0BDA"/>
    <w:rsid w:val="00BE410E"/>
    <w:rsid w:val="00BE664D"/>
    <w:rsid w:val="00C0475C"/>
    <w:rsid w:val="00C050E2"/>
    <w:rsid w:val="00C05590"/>
    <w:rsid w:val="00C06C29"/>
    <w:rsid w:val="00C0709A"/>
    <w:rsid w:val="00C13363"/>
    <w:rsid w:val="00C13864"/>
    <w:rsid w:val="00C20C64"/>
    <w:rsid w:val="00C20E84"/>
    <w:rsid w:val="00C55E8F"/>
    <w:rsid w:val="00C67A99"/>
    <w:rsid w:val="00C72BC3"/>
    <w:rsid w:val="00C74958"/>
    <w:rsid w:val="00C80E64"/>
    <w:rsid w:val="00C816F9"/>
    <w:rsid w:val="00C862E0"/>
    <w:rsid w:val="00C906CF"/>
    <w:rsid w:val="00C93BD0"/>
    <w:rsid w:val="00CB4589"/>
    <w:rsid w:val="00CC14C9"/>
    <w:rsid w:val="00CC3AAD"/>
    <w:rsid w:val="00CC57A9"/>
    <w:rsid w:val="00CD1335"/>
    <w:rsid w:val="00CE0429"/>
    <w:rsid w:val="00CE1AA1"/>
    <w:rsid w:val="00CF3FB6"/>
    <w:rsid w:val="00D035D1"/>
    <w:rsid w:val="00D07765"/>
    <w:rsid w:val="00D20A0A"/>
    <w:rsid w:val="00D25397"/>
    <w:rsid w:val="00D5215E"/>
    <w:rsid w:val="00D65858"/>
    <w:rsid w:val="00D7611E"/>
    <w:rsid w:val="00D82C1C"/>
    <w:rsid w:val="00D9194D"/>
    <w:rsid w:val="00D9208E"/>
    <w:rsid w:val="00D92F48"/>
    <w:rsid w:val="00D96D5D"/>
    <w:rsid w:val="00DA0EC8"/>
    <w:rsid w:val="00DC4914"/>
    <w:rsid w:val="00DD0894"/>
    <w:rsid w:val="00DD2727"/>
    <w:rsid w:val="00DD63FF"/>
    <w:rsid w:val="00DE7844"/>
    <w:rsid w:val="00DF2256"/>
    <w:rsid w:val="00DF30B6"/>
    <w:rsid w:val="00DF5C8E"/>
    <w:rsid w:val="00E02623"/>
    <w:rsid w:val="00E054EB"/>
    <w:rsid w:val="00E174F8"/>
    <w:rsid w:val="00E25290"/>
    <w:rsid w:val="00E27863"/>
    <w:rsid w:val="00E32475"/>
    <w:rsid w:val="00E41CCB"/>
    <w:rsid w:val="00E54AD1"/>
    <w:rsid w:val="00E55A0F"/>
    <w:rsid w:val="00E60D99"/>
    <w:rsid w:val="00E7191E"/>
    <w:rsid w:val="00E83768"/>
    <w:rsid w:val="00EA4659"/>
    <w:rsid w:val="00EB6DCA"/>
    <w:rsid w:val="00EB7801"/>
    <w:rsid w:val="00EC1DE9"/>
    <w:rsid w:val="00ED26FD"/>
    <w:rsid w:val="00F1359C"/>
    <w:rsid w:val="00F25589"/>
    <w:rsid w:val="00F26FEC"/>
    <w:rsid w:val="00F3480F"/>
    <w:rsid w:val="00F3511C"/>
    <w:rsid w:val="00F412B1"/>
    <w:rsid w:val="00F50F0E"/>
    <w:rsid w:val="00F54A4C"/>
    <w:rsid w:val="00F5519B"/>
    <w:rsid w:val="00F652EB"/>
    <w:rsid w:val="00F7204B"/>
    <w:rsid w:val="00F76C6F"/>
    <w:rsid w:val="00F81586"/>
    <w:rsid w:val="00FD1F8A"/>
    <w:rsid w:val="00FD265F"/>
    <w:rsid w:val="00FE0B49"/>
    <w:rsid w:val="00FF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C6DB"/>
  <w15:chartTrackingRefBased/>
  <w15:docId w15:val="{1122118A-CC2B-5540-8CAE-C28D5C07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C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B6"/>
    <w:pPr>
      <w:ind w:left="720"/>
    </w:pPr>
    <w:rPr>
      <w:rFonts w:ascii="Arial" w:eastAsia="Calibri" w:hAnsi="Arial" w:cs="Arial"/>
      <w:lang w:val="en-CA" w:eastAsia="en-CA"/>
    </w:rPr>
  </w:style>
  <w:style w:type="paragraph" w:styleId="Header">
    <w:name w:val="header"/>
    <w:basedOn w:val="Normal"/>
    <w:link w:val="HeaderChar"/>
    <w:uiPriority w:val="99"/>
    <w:unhideWhenUsed/>
    <w:rsid w:val="007F1CB6"/>
    <w:pPr>
      <w:tabs>
        <w:tab w:val="center" w:pos="4680"/>
        <w:tab w:val="right" w:pos="9360"/>
      </w:tabs>
    </w:pPr>
    <w:rPr>
      <w:rFonts w:ascii="Arial" w:eastAsia="Calibri" w:hAnsi="Arial" w:cs="Arial"/>
      <w:lang w:val="en-CA" w:eastAsia="en-CA"/>
    </w:rPr>
  </w:style>
  <w:style w:type="character" w:customStyle="1" w:styleId="HeaderChar">
    <w:name w:val="Header Char"/>
    <w:basedOn w:val="DefaultParagraphFont"/>
    <w:link w:val="Header"/>
    <w:uiPriority w:val="99"/>
    <w:rsid w:val="007F1CB6"/>
    <w:rPr>
      <w:rFonts w:ascii="Arial" w:eastAsia="Calibri" w:hAnsi="Arial" w:cs="Arial"/>
      <w:lang w:val="en-CA" w:eastAsia="en-CA"/>
    </w:rPr>
  </w:style>
  <w:style w:type="paragraph" w:styleId="NoSpacing">
    <w:name w:val="No Spacing"/>
    <w:uiPriority w:val="1"/>
    <w:qFormat/>
    <w:rsid w:val="007F1CB6"/>
    <w:rPr>
      <w:rFonts w:ascii="Arial" w:hAnsi="Arial"/>
      <w:lang w:val="en-US"/>
    </w:rPr>
  </w:style>
  <w:style w:type="table" w:styleId="TableGrid">
    <w:name w:val="Table Grid"/>
    <w:basedOn w:val="TableNormal"/>
    <w:uiPriority w:val="39"/>
    <w:rsid w:val="007F1CB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659"/>
    <w:rPr>
      <w:color w:val="0563C1" w:themeColor="hyperlink"/>
      <w:u w:val="single"/>
    </w:rPr>
  </w:style>
  <w:style w:type="character" w:styleId="UnresolvedMention">
    <w:name w:val="Unresolved Mention"/>
    <w:basedOn w:val="DefaultParagraphFont"/>
    <w:uiPriority w:val="99"/>
    <w:semiHidden/>
    <w:unhideWhenUsed/>
    <w:rsid w:val="00EA4659"/>
    <w:rPr>
      <w:color w:val="605E5C"/>
      <w:shd w:val="clear" w:color="auto" w:fill="E1DFDD"/>
    </w:rPr>
  </w:style>
  <w:style w:type="character" w:customStyle="1" w:styleId="apple-converted-space">
    <w:name w:val="apple-converted-space"/>
    <w:basedOn w:val="DefaultParagraphFont"/>
    <w:rsid w:val="00B034BF"/>
  </w:style>
  <w:style w:type="character" w:customStyle="1" w:styleId="searchhighlight">
    <w:name w:val="searchhighlight"/>
    <w:basedOn w:val="DefaultParagraphFont"/>
    <w:rsid w:val="00B034BF"/>
  </w:style>
  <w:style w:type="character" w:styleId="Strong">
    <w:name w:val="Strong"/>
    <w:basedOn w:val="DefaultParagraphFont"/>
    <w:uiPriority w:val="22"/>
    <w:qFormat/>
    <w:rsid w:val="006B7D24"/>
    <w:rPr>
      <w:b/>
      <w:bCs/>
    </w:rPr>
  </w:style>
  <w:style w:type="character" w:styleId="FollowedHyperlink">
    <w:name w:val="FollowedHyperlink"/>
    <w:basedOn w:val="DefaultParagraphFont"/>
    <w:uiPriority w:val="99"/>
    <w:semiHidden/>
    <w:unhideWhenUsed/>
    <w:rsid w:val="005F3742"/>
    <w:rPr>
      <w:color w:val="954F72" w:themeColor="followedHyperlink"/>
      <w:u w:val="single"/>
    </w:rPr>
  </w:style>
  <w:style w:type="paragraph" w:styleId="NormalWeb">
    <w:name w:val="Normal (Web)"/>
    <w:basedOn w:val="Normal"/>
    <w:uiPriority w:val="99"/>
    <w:unhideWhenUsed/>
    <w:rsid w:val="00D25397"/>
    <w:pPr>
      <w:spacing w:before="100" w:beforeAutospacing="1" w:after="100" w:afterAutospacing="1"/>
    </w:pPr>
  </w:style>
  <w:style w:type="paragraph" w:styleId="Footer">
    <w:name w:val="footer"/>
    <w:basedOn w:val="Normal"/>
    <w:link w:val="FooterChar"/>
    <w:uiPriority w:val="99"/>
    <w:unhideWhenUsed/>
    <w:rsid w:val="00C816F9"/>
    <w:pPr>
      <w:tabs>
        <w:tab w:val="center" w:pos="4513"/>
        <w:tab w:val="right" w:pos="9026"/>
      </w:tabs>
    </w:pPr>
  </w:style>
  <w:style w:type="character" w:customStyle="1" w:styleId="FooterChar">
    <w:name w:val="Footer Char"/>
    <w:basedOn w:val="DefaultParagraphFont"/>
    <w:link w:val="Footer"/>
    <w:uiPriority w:val="99"/>
    <w:rsid w:val="00C816F9"/>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8F3142"/>
  </w:style>
  <w:style w:type="paragraph" w:customStyle="1" w:styleId="xmsonormal">
    <w:name w:val="xmsonormal"/>
    <w:basedOn w:val="Normal"/>
    <w:rsid w:val="0077101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0521">
      <w:bodyDiv w:val="1"/>
      <w:marLeft w:val="0"/>
      <w:marRight w:val="0"/>
      <w:marTop w:val="0"/>
      <w:marBottom w:val="0"/>
      <w:divBdr>
        <w:top w:val="none" w:sz="0" w:space="0" w:color="auto"/>
        <w:left w:val="none" w:sz="0" w:space="0" w:color="auto"/>
        <w:bottom w:val="none" w:sz="0" w:space="0" w:color="auto"/>
        <w:right w:val="none" w:sz="0" w:space="0" w:color="auto"/>
      </w:divBdr>
    </w:div>
    <w:div w:id="116029599">
      <w:bodyDiv w:val="1"/>
      <w:marLeft w:val="0"/>
      <w:marRight w:val="0"/>
      <w:marTop w:val="0"/>
      <w:marBottom w:val="0"/>
      <w:divBdr>
        <w:top w:val="none" w:sz="0" w:space="0" w:color="auto"/>
        <w:left w:val="none" w:sz="0" w:space="0" w:color="auto"/>
        <w:bottom w:val="none" w:sz="0" w:space="0" w:color="auto"/>
        <w:right w:val="none" w:sz="0" w:space="0" w:color="auto"/>
      </w:divBdr>
    </w:div>
    <w:div w:id="136727341">
      <w:bodyDiv w:val="1"/>
      <w:marLeft w:val="0"/>
      <w:marRight w:val="0"/>
      <w:marTop w:val="0"/>
      <w:marBottom w:val="0"/>
      <w:divBdr>
        <w:top w:val="none" w:sz="0" w:space="0" w:color="auto"/>
        <w:left w:val="none" w:sz="0" w:space="0" w:color="auto"/>
        <w:bottom w:val="none" w:sz="0" w:space="0" w:color="auto"/>
        <w:right w:val="none" w:sz="0" w:space="0" w:color="auto"/>
      </w:divBdr>
    </w:div>
    <w:div w:id="149758253">
      <w:bodyDiv w:val="1"/>
      <w:marLeft w:val="0"/>
      <w:marRight w:val="0"/>
      <w:marTop w:val="0"/>
      <w:marBottom w:val="0"/>
      <w:divBdr>
        <w:top w:val="none" w:sz="0" w:space="0" w:color="auto"/>
        <w:left w:val="none" w:sz="0" w:space="0" w:color="auto"/>
        <w:bottom w:val="none" w:sz="0" w:space="0" w:color="auto"/>
        <w:right w:val="none" w:sz="0" w:space="0" w:color="auto"/>
      </w:divBdr>
    </w:div>
    <w:div w:id="203517126">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340164327">
      <w:bodyDiv w:val="1"/>
      <w:marLeft w:val="0"/>
      <w:marRight w:val="0"/>
      <w:marTop w:val="0"/>
      <w:marBottom w:val="0"/>
      <w:divBdr>
        <w:top w:val="none" w:sz="0" w:space="0" w:color="auto"/>
        <w:left w:val="none" w:sz="0" w:space="0" w:color="auto"/>
        <w:bottom w:val="none" w:sz="0" w:space="0" w:color="auto"/>
        <w:right w:val="none" w:sz="0" w:space="0" w:color="auto"/>
      </w:divBdr>
    </w:div>
    <w:div w:id="348217879">
      <w:bodyDiv w:val="1"/>
      <w:marLeft w:val="0"/>
      <w:marRight w:val="0"/>
      <w:marTop w:val="0"/>
      <w:marBottom w:val="0"/>
      <w:divBdr>
        <w:top w:val="none" w:sz="0" w:space="0" w:color="auto"/>
        <w:left w:val="none" w:sz="0" w:space="0" w:color="auto"/>
        <w:bottom w:val="none" w:sz="0" w:space="0" w:color="auto"/>
        <w:right w:val="none" w:sz="0" w:space="0" w:color="auto"/>
      </w:divBdr>
    </w:div>
    <w:div w:id="353384298">
      <w:bodyDiv w:val="1"/>
      <w:marLeft w:val="0"/>
      <w:marRight w:val="0"/>
      <w:marTop w:val="0"/>
      <w:marBottom w:val="0"/>
      <w:divBdr>
        <w:top w:val="none" w:sz="0" w:space="0" w:color="auto"/>
        <w:left w:val="none" w:sz="0" w:space="0" w:color="auto"/>
        <w:bottom w:val="none" w:sz="0" w:space="0" w:color="auto"/>
        <w:right w:val="none" w:sz="0" w:space="0" w:color="auto"/>
      </w:divBdr>
    </w:div>
    <w:div w:id="363023214">
      <w:bodyDiv w:val="1"/>
      <w:marLeft w:val="0"/>
      <w:marRight w:val="0"/>
      <w:marTop w:val="0"/>
      <w:marBottom w:val="0"/>
      <w:divBdr>
        <w:top w:val="none" w:sz="0" w:space="0" w:color="auto"/>
        <w:left w:val="none" w:sz="0" w:space="0" w:color="auto"/>
        <w:bottom w:val="none" w:sz="0" w:space="0" w:color="auto"/>
        <w:right w:val="none" w:sz="0" w:space="0" w:color="auto"/>
      </w:divBdr>
    </w:div>
    <w:div w:id="388917917">
      <w:bodyDiv w:val="1"/>
      <w:marLeft w:val="0"/>
      <w:marRight w:val="0"/>
      <w:marTop w:val="0"/>
      <w:marBottom w:val="0"/>
      <w:divBdr>
        <w:top w:val="none" w:sz="0" w:space="0" w:color="auto"/>
        <w:left w:val="none" w:sz="0" w:space="0" w:color="auto"/>
        <w:bottom w:val="none" w:sz="0" w:space="0" w:color="auto"/>
        <w:right w:val="none" w:sz="0" w:space="0" w:color="auto"/>
      </w:divBdr>
    </w:div>
    <w:div w:id="405540342">
      <w:bodyDiv w:val="1"/>
      <w:marLeft w:val="0"/>
      <w:marRight w:val="0"/>
      <w:marTop w:val="0"/>
      <w:marBottom w:val="0"/>
      <w:divBdr>
        <w:top w:val="none" w:sz="0" w:space="0" w:color="auto"/>
        <w:left w:val="none" w:sz="0" w:space="0" w:color="auto"/>
        <w:bottom w:val="none" w:sz="0" w:space="0" w:color="auto"/>
        <w:right w:val="none" w:sz="0" w:space="0" w:color="auto"/>
      </w:divBdr>
    </w:div>
    <w:div w:id="500438503">
      <w:bodyDiv w:val="1"/>
      <w:marLeft w:val="0"/>
      <w:marRight w:val="0"/>
      <w:marTop w:val="0"/>
      <w:marBottom w:val="0"/>
      <w:divBdr>
        <w:top w:val="none" w:sz="0" w:space="0" w:color="auto"/>
        <w:left w:val="none" w:sz="0" w:space="0" w:color="auto"/>
        <w:bottom w:val="none" w:sz="0" w:space="0" w:color="auto"/>
        <w:right w:val="none" w:sz="0" w:space="0" w:color="auto"/>
      </w:divBdr>
    </w:div>
    <w:div w:id="587735258">
      <w:bodyDiv w:val="1"/>
      <w:marLeft w:val="0"/>
      <w:marRight w:val="0"/>
      <w:marTop w:val="0"/>
      <w:marBottom w:val="0"/>
      <w:divBdr>
        <w:top w:val="none" w:sz="0" w:space="0" w:color="auto"/>
        <w:left w:val="none" w:sz="0" w:space="0" w:color="auto"/>
        <w:bottom w:val="none" w:sz="0" w:space="0" w:color="auto"/>
        <w:right w:val="none" w:sz="0" w:space="0" w:color="auto"/>
      </w:divBdr>
    </w:div>
    <w:div w:id="602539212">
      <w:bodyDiv w:val="1"/>
      <w:marLeft w:val="0"/>
      <w:marRight w:val="0"/>
      <w:marTop w:val="0"/>
      <w:marBottom w:val="0"/>
      <w:divBdr>
        <w:top w:val="none" w:sz="0" w:space="0" w:color="auto"/>
        <w:left w:val="none" w:sz="0" w:space="0" w:color="auto"/>
        <w:bottom w:val="none" w:sz="0" w:space="0" w:color="auto"/>
        <w:right w:val="none" w:sz="0" w:space="0" w:color="auto"/>
      </w:divBdr>
    </w:div>
    <w:div w:id="699548660">
      <w:bodyDiv w:val="1"/>
      <w:marLeft w:val="0"/>
      <w:marRight w:val="0"/>
      <w:marTop w:val="0"/>
      <w:marBottom w:val="0"/>
      <w:divBdr>
        <w:top w:val="none" w:sz="0" w:space="0" w:color="auto"/>
        <w:left w:val="none" w:sz="0" w:space="0" w:color="auto"/>
        <w:bottom w:val="none" w:sz="0" w:space="0" w:color="auto"/>
        <w:right w:val="none" w:sz="0" w:space="0" w:color="auto"/>
      </w:divBdr>
    </w:div>
    <w:div w:id="760682490">
      <w:bodyDiv w:val="1"/>
      <w:marLeft w:val="0"/>
      <w:marRight w:val="0"/>
      <w:marTop w:val="0"/>
      <w:marBottom w:val="0"/>
      <w:divBdr>
        <w:top w:val="none" w:sz="0" w:space="0" w:color="auto"/>
        <w:left w:val="none" w:sz="0" w:space="0" w:color="auto"/>
        <w:bottom w:val="none" w:sz="0" w:space="0" w:color="auto"/>
        <w:right w:val="none" w:sz="0" w:space="0" w:color="auto"/>
      </w:divBdr>
    </w:div>
    <w:div w:id="825903556">
      <w:bodyDiv w:val="1"/>
      <w:marLeft w:val="0"/>
      <w:marRight w:val="0"/>
      <w:marTop w:val="0"/>
      <w:marBottom w:val="0"/>
      <w:divBdr>
        <w:top w:val="none" w:sz="0" w:space="0" w:color="auto"/>
        <w:left w:val="none" w:sz="0" w:space="0" w:color="auto"/>
        <w:bottom w:val="none" w:sz="0" w:space="0" w:color="auto"/>
        <w:right w:val="none" w:sz="0" w:space="0" w:color="auto"/>
      </w:divBdr>
    </w:div>
    <w:div w:id="837034979">
      <w:bodyDiv w:val="1"/>
      <w:marLeft w:val="0"/>
      <w:marRight w:val="0"/>
      <w:marTop w:val="0"/>
      <w:marBottom w:val="0"/>
      <w:divBdr>
        <w:top w:val="none" w:sz="0" w:space="0" w:color="auto"/>
        <w:left w:val="none" w:sz="0" w:space="0" w:color="auto"/>
        <w:bottom w:val="none" w:sz="0" w:space="0" w:color="auto"/>
        <w:right w:val="none" w:sz="0" w:space="0" w:color="auto"/>
      </w:divBdr>
    </w:div>
    <w:div w:id="885261456">
      <w:bodyDiv w:val="1"/>
      <w:marLeft w:val="0"/>
      <w:marRight w:val="0"/>
      <w:marTop w:val="0"/>
      <w:marBottom w:val="0"/>
      <w:divBdr>
        <w:top w:val="none" w:sz="0" w:space="0" w:color="auto"/>
        <w:left w:val="none" w:sz="0" w:space="0" w:color="auto"/>
        <w:bottom w:val="none" w:sz="0" w:space="0" w:color="auto"/>
        <w:right w:val="none" w:sz="0" w:space="0" w:color="auto"/>
      </w:divBdr>
    </w:div>
    <w:div w:id="946816325">
      <w:bodyDiv w:val="1"/>
      <w:marLeft w:val="0"/>
      <w:marRight w:val="0"/>
      <w:marTop w:val="0"/>
      <w:marBottom w:val="0"/>
      <w:divBdr>
        <w:top w:val="none" w:sz="0" w:space="0" w:color="auto"/>
        <w:left w:val="none" w:sz="0" w:space="0" w:color="auto"/>
        <w:bottom w:val="none" w:sz="0" w:space="0" w:color="auto"/>
        <w:right w:val="none" w:sz="0" w:space="0" w:color="auto"/>
      </w:divBdr>
    </w:div>
    <w:div w:id="954140070">
      <w:bodyDiv w:val="1"/>
      <w:marLeft w:val="0"/>
      <w:marRight w:val="0"/>
      <w:marTop w:val="0"/>
      <w:marBottom w:val="0"/>
      <w:divBdr>
        <w:top w:val="none" w:sz="0" w:space="0" w:color="auto"/>
        <w:left w:val="none" w:sz="0" w:space="0" w:color="auto"/>
        <w:bottom w:val="none" w:sz="0" w:space="0" w:color="auto"/>
        <w:right w:val="none" w:sz="0" w:space="0" w:color="auto"/>
      </w:divBdr>
    </w:div>
    <w:div w:id="977223134">
      <w:bodyDiv w:val="1"/>
      <w:marLeft w:val="0"/>
      <w:marRight w:val="0"/>
      <w:marTop w:val="0"/>
      <w:marBottom w:val="0"/>
      <w:divBdr>
        <w:top w:val="none" w:sz="0" w:space="0" w:color="auto"/>
        <w:left w:val="none" w:sz="0" w:space="0" w:color="auto"/>
        <w:bottom w:val="none" w:sz="0" w:space="0" w:color="auto"/>
        <w:right w:val="none" w:sz="0" w:space="0" w:color="auto"/>
      </w:divBdr>
    </w:div>
    <w:div w:id="1052770639">
      <w:bodyDiv w:val="1"/>
      <w:marLeft w:val="0"/>
      <w:marRight w:val="0"/>
      <w:marTop w:val="0"/>
      <w:marBottom w:val="0"/>
      <w:divBdr>
        <w:top w:val="none" w:sz="0" w:space="0" w:color="auto"/>
        <w:left w:val="none" w:sz="0" w:space="0" w:color="auto"/>
        <w:bottom w:val="none" w:sz="0" w:space="0" w:color="auto"/>
        <w:right w:val="none" w:sz="0" w:space="0" w:color="auto"/>
      </w:divBdr>
    </w:div>
    <w:div w:id="1188830385">
      <w:bodyDiv w:val="1"/>
      <w:marLeft w:val="0"/>
      <w:marRight w:val="0"/>
      <w:marTop w:val="0"/>
      <w:marBottom w:val="0"/>
      <w:divBdr>
        <w:top w:val="none" w:sz="0" w:space="0" w:color="auto"/>
        <w:left w:val="none" w:sz="0" w:space="0" w:color="auto"/>
        <w:bottom w:val="none" w:sz="0" w:space="0" w:color="auto"/>
        <w:right w:val="none" w:sz="0" w:space="0" w:color="auto"/>
      </w:divBdr>
    </w:div>
    <w:div w:id="1205026431">
      <w:bodyDiv w:val="1"/>
      <w:marLeft w:val="0"/>
      <w:marRight w:val="0"/>
      <w:marTop w:val="0"/>
      <w:marBottom w:val="0"/>
      <w:divBdr>
        <w:top w:val="none" w:sz="0" w:space="0" w:color="auto"/>
        <w:left w:val="none" w:sz="0" w:space="0" w:color="auto"/>
        <w:bottom w:val="none" w:sz="0" w:space="0" w:color="auto"/>
        <w:right w:val="none" w:sz="0" w:space="0" w:color="auto"/>
      </w:divBdr>
    </w:div>
    <w:div w:id="1324119595">
      <w:bodyDiv w:val="1"/>
      <w:marLeft w:val="0"/>
      <w:marRight w:val="0"/>
      <w:marTop w:val="0"/>
      <w:marBottom w:val="0"/>
      <w:divBdr>
        <w:top w:val="none" w:sz="0" w:space="0" w:color="auto"/>
        <w:left w:val="none" w:sz="0" w:space="0" w:color="auto"/>
        <w:bottom w:val="none" w:sz="0" w:space="0" w:color="auto"/>
        <w:right w:val="none" w:sz="0" w:space="0" w:color="auto"/>
      </w:divBdr>
    </w:div>
    <w:div w:id="1363818805">
      <w:bodyDiv w:val="1"/>
      <w:marLeft w:val="0"/>
      <w:marRight w:val="0"/>
      <w:marTop w:val="0"/>
      <w:marBottom w:val="0"/>
      <w:divBdr>
        <w:top w:val="none" w:sz="0" w:space="0" w:color="auto"/>
        <w:left w:val="none" w:sz="0" w:space="0" w:color="auto"/>
        <w:bottom w:val="none" w:sz="0" w:space="0" w:color="auto"/>
        <w:right w:val="none" w:sz="0" w:space="0" w:color="auto"/>
      </w:divBdr>
    </w:div>
    <w:div w:id="1469779739">
      <w:bodyDiv w:val="1"/>
      <w:marLeft w:val="0"/>
      <w:marRight w:val="0"/>
      <w:marTop w:val="0"/>
      <w:marBottom w:val="0"/>
      <w:divBdr>
        <w:top w:val="none" w:sz="0" w:space="0" w:color="auto"/>
        <w:left w:val="none" w:sz="0" w:space="0" w:color="auto"/>
        <w:bottom w:val="none" w:sz="0" w:space="0" w:color="auto"/>
        <w:right w:val="none" w:sz="0" w:space="0" w:color="auto"/>
      </w:divBdr>
    </w:div>
    <w:div w:id="1521431004">
      <w:bodyDiv w:val="1"/>
      <w:marLeft w:val="0"/>
      <w:marRight w:val="0"/>
      <w:marTop w:val="0"/>
      <w:marBottom w:val="0"/>
      <w:divBdr>
        <w:top w:val="none" w:sz="0" w:space="0" w:color="auto"/>
        <w:left w:val="none" w:sz="0" w:space="0" w:color="auto"/>
        <w:bottom w:val="none" w:sz="0" w:space="0" w:color="auto"/>
        <w:right w:val="none" w:sz="0" w:space="0" w:color="auto"/>
      </w:divBdr>
    </w:div>
    <w:div w:id="1637878812">
      <w:bodyDiv w:val="1"/>
      <w:marLeft w:val="0"/>
      <w:marRight w:val="0"/>
      <w:marTop w:val="0"/>
      <w:marBottom w:val="0"/>
      <w:divBdr>
        <w:top w:val="none" w:sz="0" w:space="0" w:color="auto"/>
        <w:left w:val="none" w:sz="0" w:space="0" w:color="auto"/>
        <w:bottom w:val="none" w:sz="0" w:space="0" w:color="auto"/>
        <w:right w:val="none" w:sz="0" w:space="0" w:color="auto"/>
      </w:divBdr>
    </w:div>
    <w:div w:id="1814131380">
      <w:bodyDiv w:val="1"/>
      <w:marLeft w:val="0"/>
      <w:marRight w:val="0"/>
      <w:marTop w:val="0"/>
      <w:marBottom w:val="0"/>
      <w:divBdr>
        <w:top w:val="none" w:sz="0" w:space="0" w:color="auto"/>
        <w:left w:val="none" w:sz="0" w:space="0" w:color="auto"/>
        <w:bottom w:val="none" w:sz="0" w:space="0" w:color="auto"/>
        <w:right w:val="none" w:sz="0" w:space="0" w:color="auto"/>
      </w:divBdr>
    </w:div>
    <w:div w:id="1840343216">
      <w:bodyDiv w:val="1"/>
      <w:marLeft w:val="0"/>
      <w:marRight w:val="0"/>
      <w:marTop w:val="0"/>
      <w:marBottom w:val="0"/>
      <w:divBdr>
        <w:top w:val="none" w:sz="0" w:space="0" w:color="auto"/>
        <w:left w:val="none" w:sz="0" w:space="0" w:color="auto"/>
        <w:bottom w:val="none" w:sz="0" w:space="0" w:color="auto"/>
        <w:right w:val="none" w:sz="0" w:space="0" w:color="auto"/>
      </w:divBdr>
    </w:div>
    <w:div w:id="1968584855">
      <w:bodyDiv w:val="1"/>
      <w:marLeft w:val="0"/>
      <w:marRight w:val="0"/>
      <w:marTop w:val="0"/>
      <w:marBottom w:val="0"/>
      <w:divBdr>
        <w:top w:val="none" w:sz="0" w:space="0" w:color="auto"/>
        <w:left w:val="none" w:sz="0" w:space="0" w:color="auto"/>
        <w:bottom w:val="none" w:sz="0" w:space="0" w:color="auto"/>
        <w:right w:val="none" w:sz="0" w:space="0" w:color="auto"/>
      </w:divBdr>
    </w:div>
    <w:div w:id="2059471744">
      <w:bodyDiv w:val="1"/>
      <w:marLeft w:val="0"/>
      <w:marRight w:val="0"/>
      <w:marTop w:val="0"/>
      <w:marBottom w:val="0"/>
      <w:divBdr>
        <w:top w:val="none" w:sz="0" w:space="0" w:color="auto"/>
        <w:left w:val="none" w:sz="0" w:space="0" w:color="auto"/>
        <w:bottom w:val="none" w:sz="0" w:space="0" w:color="auto"/>
        <w:right w:val="none" w:sz="0" w:space="0" w:color="auto"/>
      </w:divBdr>
    </w:div>
    <w:div w:id="2093046035">
      <w:bodyDiv w:val="1"/>
      <w:marLeft w:val="0"/>
      <w:marRight w:val="0"/>
      <w:marTop w:val="0"/>
      <w:marBottom w:val="0"/>
      <w:divBdr>
        <w:top w:val="none" w:sz="0" w:space="0" w:color="auto"/>
        <w:left w:val="none" w:sz="0" w:space="0" w:color="auto"/>
        <w:bottom w:val="none" w:sz="0" w:space="0" w:color="auto"/>
        <w:right w:val="none" w:sz="0" w:space="0" w:color="auto"/>
      </w:divBdr>
    </w:div>
    <w:div w:id="21458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pages/viewpage.action?pageId=344391841" TargetMode="External"/><Relationship Id="rId13" Type="http://schemas.openxmlformats.org/officeDocument/2006/relationships/hyperlink" Target="https://www.ianacg.org/icg-files/documents/IANA-transition-proposal-fin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nacg.org/icg-files/documents/IANA-transition-proposal-final.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3-bJJ1vdg4NCujHCnRo40T29KnvVIQbwm0u9GaGBbYI/e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google.com/spreadsheets/d/1DFJ30deCZoV7ictJ-sNw3LXzBhp8TMkp/edit?usp=sharing&amp;ouid=108339081225436447454&amp;rtpof=true&amp;sd=tr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ann.zoom.us/rec/play/KlQWLoLJ_NlyyTGWBZTsWAdhSE3DkSYRjHWS836AOeE5FW0iGZnEH6_WsUvhltfMnpRKKqpuvHXbd9CR.SJ4gNz5Y1-0VXw66" TargetMode="External"/><Relationship Id="rId14" Type="http://schemas.openxmlformats.org/officeDocument/2006/relationships/hyperlink" Target="https://docs.google.com/spreadsheets/d/13-bJJ1vdg4NCujHCnRo40T29KnvVIQbwm0u9GaGBbYI/edit?gid=1621245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1ECD-AB51-E941-9800-4F0504D0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Reda Josifi</cp:lastModifiedBy>
  <cp:revision>2</cp:revision>
  <dcterms:created xsi:type="dcterms:W3CDTF">2024-07-29T16:38:00Z</dcterms:created>
  <dcterms:modified xsi:type="dcterms:W3CDTF">2024-07-29T16:38:00Z</dcterms:modified>
</cp:coreProperties>
</file>