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0" w:before="60" w:line="240" w:lineRule="auto"/>
        <w:jc w:val="center"/>
        <w:rPr>
          <w:color w:val="0d436c"/>
          <w:sz w:val="32"/>
          <w:szCs w:val="32"/>
        </w:rPr>
      </w:pPr>
      <w:bookmarkStart w:colFirst="0" w:colLast="0" w:name="_ignycxzbeqgq" w:id="0"/>
      <w:bookmarkEnd w:id="0"/>
      <w:r w:rsidDel="00000000" w:rsidR="00000000" w:rsidRPr="00000000">
        <w:rPr>
          <w:color w:val="0d436c"/>
          <w:sz w:val="32"/>
          <w:szCs w:val="32"/>
          <w:rtl w:val="0"/>
        </w:rPr>
        <w:t xml:space="preserve">IGO-INGO Curative Rights </w:t>
      </w:r>
      <w:hyperlink r:id="rId6">
        <w:r w:rsidDel="00000000" w:rsidR="00000000" w:rsidRPr="00000000">
          <w:rPr>
            <w:color w:val="0d436c"/>
            <w:sz w:val="32"/>
            <w:szCs w:val="32"/>
            <w:rtl w:val="0"/>
          </w:rPr>
          <w:t xml:space="preserve">Policy Recommendations</w:t>
        </w:r>
      </w:hyperlink>
      <w:r w:rsidDel="00000000" w:rsidR="00000000" w:rsidRPr="00000000">
        <w:rPr>
          <w:color w:val="0d436c"/>
          <w:sz w:val="32"/>
          <w:szCs w:val="32"/>
          <w:rtl w:val="0"/>
        </w:rPr>
        <w:t xml:space="preserve">:</w:t>
      </w:r>
    </w:p>
    <w:p w:rsidR="00000000" w:rsidDel="00000000" w:rsidP="00000000" w:rsidRDefault="00000000" w:rsidRPr="00000000" w14:paraId="00000002">
      <w:pPr>
        <w:pStyle w:val="Heading3"/>
        <w:spacing w:after="0" w:before="60" w:line="240" w:lineRule="auto"/>
        <w:jc w:val="center"/>
        <w:rPr>
          <w:color w:val="0d436c"/>
          <w:sz w:val="32"/>
          <w:szCs w:val="32"/>
        </w:rPr>
      </w:pPr>
      <w:bookmarkStart w:colFirst="0" w:colLast="0" w:name="_g7p8m3p6sesg" w:id="1"/>
      <w:bookmarkEnd w:id="1"/>
      <w:r w:rsidDel="00000000" w:rsidR="00000000" w:rsidRPr="00000000">
        <w:rPr>
          <w:color w:val="0d436c"/>
          <w:sz w:val="32"/>
          <w:szCs w:val="32"/>
          <w:rtl w:val="0"/>
        </w:rPr>
        <w:t xml:space="preserve">ICANN org Implementation Assumptions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The following statements represent the working assumptions of ICANN org concerning aspects of the implementation of the IGO-INGO Curative Rights </w:t>
      </w:r>
      <w:hyperlink r:id="rId7">
        <w:r w:rsidDel="00000000" w:rsidR="00000000" w:rsidRPr="00000000">
          <w:rPr>
            <w:sz w:val="24"/>
            <w:szCs w:val="24"/>
            <w:rtl w:val="0"/>
          </w:rPr>
          <w:t xml:space="preserve">Policy Recommendations</w:t>
        </w:r>
      </w:hyperlink>
      <w:r w:rsidDel="00000000" w:rsidR="00000000" w:rsidRPr="00000000">
        <w:rPr>
          <w:sz w:val="24"/>
          <w:szCs w:val="24"/>
          <w:rtl w:val="0"/>
        </w:rPr>
        <w:t xml:space="preserve">. They are not final and are being shared with the IRT for discussion and validation purposes.</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General Implementation Assumptions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numPr>
          <w:ilvl w:val="0"/>
          <w:numId w:val="1"/>
        </w:numPr>
        <w:spacing w:after="200" w:lineRule="auto"/>
        <w:ind w:left="720" w:hanging="360"/>
        <w:rPr>
          <w:rFonts w:ascii="Cambria" w:cs="Cambria" w:eastAsia="Cambria" w:hAnsi="Cambria"/>
          <w:sz w:val="24"/>
          <w:szCs w:val="24"/>
        </w:rPr>
      </w:pPr>
      <w:r w:rsidDel="00000000" w:rsidR="00000000" w:rsidRPr="00000000">
        <w:rPr>
          <w:sz w:val="24"/>
          <w:szCs w:val="24"/>
          <w:rtl w:val="0"/>
        </w:rPr>
        <w:t xml:space="preserve">Where specified in the final policy recommendations, ICANN org will adhere to prescribed wording and instructions concerning updates to the UDRP/URS.</w:t>
      </w:r>
    </w:p>
    <w:p w:rsidR="00000000" w:rsidDel="00000000" w:rsidP="00000000" w:rsidRDefault="00000000" w:rsidRPr="00000000" w14:paraId="00000009">
      <w:pPr>
        <w:numPr>
          <w:ilvl w:val="0"/>
          <w:numId w:val="1"/>
        </w:numPr>
        <w:ind w:left="720" w:hanging="360"/>
        <w:rPr>
          <w:sz w:val="24"/>
          <w:szCs w:val="24"/>
        </w:rPr>
      </w:pPr>
      <w:r w:rsidDel="00000000" w:rsidR="00000000" w:rsidRPr="00000000">
        <w:rPr>
          <w:sz w:val="24"/>
          <w:szCs w:val="24"/>
          <w:rtl w:val="0"/>
        </w:rPr>
        <w:t xml:space="preserve">Work on EPDP Recommendations 2-5 will comprise the majority of the Implementation schedule</w:t>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0A">
      <w:pPr>
        <w:ind w:left="72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B">
      <w:pPr>
        <w:numPr>
          <w:ilvl w:val="0"/>
          <w:numId w:val="1"/>
        </w:numPr>
        <w:ind w:left="720" w:hanging="360"/>
        <w:rPr>
          <w:rFonts w:ascii="Cambria" w:cs="Cambria" w:eastAsia="Cambria" w:hAnsi="Cambria"/>
          <w:sz w:val="24"/>
          <w:szCs w:val="24"/>
        </w:rPr>
      </w:pPr>
      <w:r w:rsidDel="00000000" w:rsidR="00000000" w:rsidRPr="00000000">
        <w:rPr>
          <w:sz w:val="24"/>
          <w:szCs w:val="24"/>
          <w:rtl w:val="0"/>
        </w:rPr>
        <w:t xml:space="preserve">Consultation with outside experts is not a prerequisite to the commencement of implementation work. However, expert advice may be needed in the future as specific issues arise in the drafting of updates to the UDRP/URS and associated rules.</w:t>
      </w:r>
    </w:p>
    <w:p w:rsidR="00000000" w:rsidDel="00000000" w:rsidP="00000000" w:rsidRDefault="00000000" w:rsidRPr="00000000" w14:paraId="0000000C">
      <w:pPr>
        <w:ind w:left="720" w:firstLine="0"/>
        <w:rPr>
          <w:sz w:val="24"/>
          <w:szCs w:val="24"/>
        </w:rPr>
      </w:pPr>
      <w:r w:rsidDel="00000000" w:rsidR="00000000" w:rsidRPr="00000000">
        <w:rPr>
          <w:rtl w:val="0"/>
        </w:rPr>
      </w:r>
    </w:p>
    <w:p w:rsidR="00000000" w:rsidDel="00000000" w:rsidP="00000000" w:rsidRDefault="00000000" w:rsidRPr="00000000" w14:paraId="0000000D">
      <w:pPr>
        <w:numPr>
          <w:ilvl w:val="0"/>
          <w:numId w:val="1"/>
        </w:numPr>
        <w:ind w:left="720" w:hanging="360"/>
        <w:rPr>
          <w:sz w:val="24"/>
          <w:szCs w:val="24"/>
        </w:rPr>
      </w:pPr>
      <w:r w:rsidDel="00000000" w:rsidR="00000000" w:rsidRPr="00000000">
        <w:rPr>
          <w:sz w:val="24"/>
          <w:szCs w:val="24"/>
          <w:rtl w:val="0"/>
        </w:rPr>
        <w:t xml:space="preserve">Given the specialist nature of the IRT, ICANN org will lean on the IRT’s expertise and seek its input, for example, on IGO Protections, international arbitration procedures, cases, precedents that might inform org’s research, and seek suggestions on engaging external experts, as appropriate.</w:t>
      </w:r>
    </w:p>
    <w:p w:rsidR="00000000" w:rsidDel="00000000" w:rsidP="00000000" w:rsidRDefault="00000000" w:rsidRPr="00000000" w14:paraId="0000000E">
      <w:pPr>
        <w:ind w:left="720" w:firstLine="0"/>
        <w:rPr>
          <w:sz w:val="24"/>
          <w:szCs w:val="24"/>
        </w:rPr>
      </w:pPr>
      <w:r w:rsidDel="00000000" w:rsidR="00000000" w:rsidRPr="00000000">
        <w:rPr>
          <w:rtl w:val="0"/>
        </w:rPr>
      </w:r>
    </w:p>
    <w:p w:rsidR="00000000" w:rsidDel="00000000" w:rsidP="00000000" w:rsidRDefault="00000000" w:rsidRPr="00000000" w14:paraId="0000000F">
      <w:pPr>
        <w:ind w:left="0" w:firstLine="0"/>
        <w:rPr>
          <w:b w:val="1"/>
          <w:sz w:val="24"/>
          <w:szCs w:val="24"/>
        </w:rPr>
      </w:pPr>
      <w:r w:rsidDel="00000000" w:rsidR="00000000" w:rsidRPr="00000000">
        <w:rPr>
          <w:b w:val="1"/>
          <w:sz w:val="24"/>
          <w:szCs w:val="24"/>
          <w:rtl w:val="0"/>
        </w:rPr>
        <w:t xml:space="preserve">Implementation Assumptions concerning EPDP Recommendations 2-5</w:t>
      </w:r>
    </w:p>
    <w:p w:rsidR="00000000" w:rsidDel="00000000" w:rsidP="00000000" w:rsidRDefault="00000000" w:rsidRPr="00000000" w14:paraId="00000010">
      <w:pPr>
        <w:ind w:left="720" w:firstLine="0"/>
        <w:rPr>
          <w:sz w:val="24"/>
          <w:szCs w:val="24"/>
        </w:rPr>
      </w:pPr>
      <w:r w:rsidDel="00000000" w:rsidR="00000000" w:rsidRPr="00000000">
        <w:rPr>
          <w:rtl w:val="0"/>
        </w:rPr>
      </w:r>
    </w:p>
    <w:p w:rsidR="00000000" w:rsidDel="00000000" w:rsidP="00000000" w:rsidRDefault="00000000" w:rsidRPr="00000000" w14:paraId="00000011">
      <w:pPr>
        <w:numPr>
          <w:ilvl w:val="0"/>
          <w:numId w:val="1"/>
        </w:numPr>
        <w:ind w:left="720" w:hanging="360"/>
        <w:rPr>
          <w:sz w:val="24"/>
          <w:szCs w:val="24"/>
        </w:rPr>
      </w:pPr>
      <w:hyperlink r:id="rId8">
        <w:r w:rsidDel="00000000" w:rsidR="00000000" w:rsidRPr="00000000">
          <w:rPr>
            <w:color w:val="1155cc"/>
            <w:sz w:val="24"/>
            <w:szCs w:val="24"/>
            <w:u w:val="single"/>
            <w:rtl w:val="0"/>
          </w:rPr>
          <w:t xml:space="preserve">Annex A – Principles regarding Arbitral Rules of the EPDP Final Report</w:t>
        </w:r>
      </w:hyperlink>
      <w:r w:rsidDel="00000000" w:rsidR="00000000" w:rsidRPr="00000000">
        <w:rPr>
          <w:sz w:val="24"/>
          <w:szCs w:val="24"/>
          <w:rtl w:val="0"/>
        </w:rPr>
        <w:t xml:space="preserve"> outlines “a set of governing policy principles”, approved by the WG, to “provide guidance for the policy implementation phase regarding the key elements to include in an arbitration proceeding”. These principles constitute implementation guidance and will be considered as such during the implementation phase.</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ind w:left="720" w:firstLine="0"/>
        <w:rPr>
          <w:sz w:val="24"/>
          <w:szCs w:val="24"/>
        </w:rPr>
      </w:pPr>
      <w:r w:rsidDel="00000000" w:rsidR="00000000" w:rsidRPr="00000000">
        <w:rPr>
          <w:sz w:val="24"/>
          <w:szCs w:val="24"/>
          <w:rtl w:val="0"/>
        </w:rPr>
        <w:t xml:space="preserve">As the principles contained in the Annex were intended as high level implementation guidance, and are not Board adopted policy recommendations, ICANN org understands that they do not impose requirements or restrictions on the implementation approaches or decisions taken by ICANN org.</w:t>
      </w:r>
    </w:p>
    <w:p w:rsidR="00000000" w:rsidDel="00000000" w:rsidP="00000000" w:rsidRDefault="00000000" w:rsidRPr="00000000" w14:paraId="00000014">
      <w:pPr>
        <w:ind w:left="72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5">
      <w:pPr>
        <w:numPr>
          <w:ilvl w:val="0"/>
          <w:numId w:val="1"/>
        </w:numPr>
        <w:spacing w:after="200" w:lineRule="auto"/>
        <w:ind w:left="720" w:hanging="360"/>
        <w:rPr>
          <w:rFonts w:ascii="Cambria" w:cs="Cambria" w:eastAsia="Cambria" w:hAnsi="Cambria"/>
          <w:sz w:val="24"/>
          <w:szCs w:val="24"/>
        </w:rPr>
      </w:pPr>
      <w:r w:rsidDel="00000000" w:rsidR="00000000" w:rsidRPr="00000000">
        <w:rPr>
          <w:sz w:val="24"/>
          <w:szCs w:val="24"/>
          <w:rtl w:val="0"/>
        </w:rPr>
        <w:t xml:space="preserve">The default implementation approach for ICANN org is to rely on amendments to existing UDRP/URS processes where possible.</w:t>
      </w:r>
    </w:p>
    <w:p w:rsidR="00000000" w:rsidDel="00000000" w:rsidP="00000000" w:rsidRDefault="00000000" w:rsidRPr="00000000" w14:paraId="00000016">
      <w:pPr>
        <w:numPr>
          <w:ilvl w:val="0"/>
          <w:numId w:val="1"/>
        </w:numPr>
        <w:spacing w:after="200" w:lineRule="auto"/>
        <w:ind w:left="720" w:hanging="360"/>
        <w:rPr>
          <w:rFonts w:ascii="Cambria" w:cs="Cambria" w:eastAsia="Cambria" w:hAnsi="Cambria"/>
          <w:sz w:val="24"/>
          <w:szCs w:val="24"/>
        </w:rPr>
      </w:pPr>
      <w:r w:rsidDel="00000000" w:rsidR="00000000" w:rsidRPr="00000000">
        <w:rPr>
          <w:sz w:val="24"/>
          <w:szCs w:val="24"/>
          <w:rtl w:val="0"/>
        </w:rPr>
        <w:t xml:space="preserve">The UDRP/URS and associated rules can be updated to add a new path for appeals: namely, binding arbitration in cases in which a registrant cannot attain a remedy in court because the IGO cannot be sued</w:t>
      </w:r>
      <w:r w:rsidDel="00000000" w:rsidR="00000000" w:rsidRPr="00000000">
        <w:rPr>
          <w:rFonts w:ascii="Cambria" w:cs="Cambria" w:eastAsia="Cambria" w:hAnsi="Cambria"/>
          <w:sz w:val="24"/>
          <w:szCs w:val="24"/>
          <w:rtl w:val="0"/>
        </w:rPr>
        <w:t xml:space="preserve">. </w:t>
      </w:r>
      <w:r w:rsidDel="00000000" w:rsidR="00000000" w:rsidRPr="00000000">
        <w:rPr>
          <w:sz w:val="24"/>
          <w:szCs w:val="24"/>
          <w:rtl w:val="0"/>
        </w:rPr>
        <w:t xml:space="preserve"> The arbitration process will not involve ICANN and be offered as an appeals path by UDRP/URS providers. </w:t>
      </w:r>
    </w:p>
    <w:p w:rsidR="00000000" w:rsidDel="00000000" w:rsidP="00000000" w:rsidRDefault="00000000" w:rsidRPr="00000000" w14:paraId="00000017">
      <w:pPr>
        <w:numPr>
          <w:ilvl w:val="0"/>
          <w:numId w:val="1"/>
        </w:numPr>
        <w:ind w:left="720" w:hanging="360"/>
        <w:rPr>
          <w:rFonts w:ascii="Cambria" w:cs="Cambria" w:eastAsia="Cambria" w:hAnsi="Cambria"/>
          <w:sz w:val="24"/>
          <w:szCs w:val="24"/>
        </w:rPr>
      </w:pPr>
      <w:r w:rsidDel="00000000" w:rsidR="00000000" w:rsidRPr="00000000">
        <w:rPr>
          <w:sz w:val="24"/>
          <w:szCs w:val="24"/>
          <w:rtl w:val="0"/>
        </w:rPr>
        <w:t xml:space="preserve">ICANN will create new criteria for approval of providers for this arbitration process, as is currently the case for UDRP providers.</w:t>
      </w:r>
    </w:p>
    <w:p w:rsidR="00000000" w:rsidDel="00000000" w:rsidP="00000000" w:rsidRDefault="00000000" w:rsidRPr="00000000" w14:paraId="00000018">
      <w:pPr>
        <w:ind w:left="720" w:firstLine="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OwpM53iY7kic0_IkKICfxbwTygpLPgUrisiWjbv4xug/edit?tab=t.0#heading=h.5yr6mgfmy4mf" TargetMode="External"/><Relationship Id="rId7" Type="http://schemas.openxmlformats.org/officeDocument/2006/relationships/hyperlink" Target="https://docs.google.com/document/d/1OwpM53iY7kic0_IkKICfxbwTygpLPgUrisiWjbv4xug/edit?tab=t.0#heading=h.5yr6mgfmy4mf" TargetMode="External"/><Relationship Id="rId8" Type="http://schemas.openxmlformats.org/officeDocument/2006/relationships/hyperlink" Target="https://gnso.icann.org/sites/default/files/file/field-file-attach/epdp-specific-crp-igo-final-report-02apr22-en.pdf#page=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