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nmfm36knh6jh" w:id="0"/>
      <w:bookmarkEnd w:id="0"/>
      <w:r w:rsidDel="00000000" w:rsidR="00000000" w:rsidRPr="00000000">
        <w:rPr>
          <w:sz w:val="36"/>
          <w:szCs w:val="36"/>
          <w:rtl w:val="0"/>
        </w:rPr>
        <w:t xml:space="preserve">Draft Implementation Approach: IGO-INGO Curative Rights PDP Recommendation 1</w:t>
      </w:r>
      <w:r w:rsidDel="00000000" w:rsidR="00000000" w:rsidRPr="00000000">
        <w:rPr>
          <w:rtl w:val="0"/>
        </w:rPr>
      </w:r>
    </w:p>
    <w:p w:rsidR="00000000" w:rsidDel="00000000" w:rsidP="00000000" w:rsidRDefault="00000000" w:rsidRPr="00000000" w14:paraId="00000002">
      <w:pPr>
        <w:pStyle w:val="Heading2"/>
        <w:rPr>
          <w:b w:val="1"/>
          <w:sz w:val="28"/>
          <w:szCs w:val="28"/>
        </w:rPr>
      </w:pPr>
      <w:bookmarkStart w:colFirst="0" w:colLast="0" w:name="_bztfawpv27qy" w:id="1"/>
      <w:bookmarkEnd w:id="1"/>
      <w:r w:rsidDel="00000000" w:rsidR="00000000" w:rsidRPr="00000000">
        <w:rPr>
          <w:b w:val="1"/>
          <w:sz w:val="28"/>
          <w:szCs w:val="28"/>
          <w:rtl w:val="0"/>
        </w:rPr>
        <w:t xml:space="preserve">ICANN org Proposed Implementation Approach</w:t>
      </w:r>
    </w:p>
    <w:p w:rsidR="00000000" w:rsidDel="00000000" w:rsidP="00000000" w:rsidRDefault="00000000" w:rsidRPr="00000000" w14:paraId="00000003">
      <w:pPr>
        <w:rPr/>
      </w:pPr>
      <w:r w:rsidDel="00000000" w:rsidR="00000000" w:rsidRPr="00000000">
        <w:rPr>
          <w:sz w:val="24"/>
          <w:szCs w:val="24"/>
          <w:rtl w:val="0"/>
        </w:rPr>
        <w:t xml:space="preserve">The recommendations state that existing dispute resolution mechanisms are sufficient for INGOs and that creating new procedures for IGOs is unnecessary. As such, no implementation action is required of ICANN org in respect of Recommendations 1(a) and 1(b).</w:t>
      </w:r>
      <w:r w:rsidDel="00000000" w:rsidR="00000000" w:rsidRPr="00000000">
        <w:rPr>
          <w:rtl w:val="0"/>
        </w:rPr>
      </w:r>
    </w:p>
    <w:p w:rsidR="00000000" w:rsidDel="00000000" w:rsidP="00000000" w:rsidRDefault="00000000" w:rsidRPr="00000000" w14:paraId="00000004">
      <w:pPr>
        <w:pStyle w:val="Heading2"/>
        <w:rPr>
          <w:b w:val="1"/>
          <w:sz w:val="28"/>
          <w:szCs w:val="28"/>
        </w:rPr>
      </w:pPr>
      <w:bookmarkStart w:colFirst="0" w:colLast="0" w:name="_cahs92bhqbvc" w:id="2"/>
      <w:bookmarkEnd w:id="2"/>
      <w:r w:rsidDel="00000000" w:rsidR="00000000" w:rsidRPr="00000000">
        <w:rPr>
          <w:b w:val="1"/>
          <w:sz w:val="28"/>
          <w:szCs w:val="28"/>
          <w:rtl w:val="0"/>
        </w:rPr>
        <w:t xml:space="preserve">Recommendation Text</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1(a)</w:t>
      </w:r>
      <w:r w:rsidDel="00000000" w:rsidR="00000000" w:rsidRPr="00000000">
        <w:rPr>
          <w:sz w:val="24"/>
          <w:szCs w:val="24"/>
          <w:rtl w:val="0"/>
        </w:rPr>
        <w:t xml:space="preserve">. For INGOs (including the Red Cross movement and the International Olympic Committee), no substantive changes to the UDRP and URS are to be made, and no specific new dispute resolution procedures are to be created.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sz w:val="24"/>
          <w:szCs w:val="24"/>
          <w:rtl w:val="0"/>
        </w:rPr>
        <w:t xml:space="preserve">1(b)</w:t>
      </w:r>
      <w:r w:rsidDel="00000000" w:rsidR="00000000" w:rsidRPr="00000000">
        <w:rPr>
          <w:sz w:val="24"/>
          <w:szCs w:val="24"/>
          <w:rtl w:val="0"/>
        </w:rPr>
        <w:t xml:space="preserve">. For IGOs, no specific new dispute resolution procedures are to be created.</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Consensus Level</w:t>
      </w:r>
      <w:r w:rsidDel="00000000" w:rsidR="00000000" w:rsidRPr="00000000">
        <w:rPr>
          <w:sz w:val="24"/>
          <w:szCs w:val="24"/>
          <w:rtl w:val="0"/>
        </w:rPr>
        <w:t xml:space="preserve">: Full</w:t>
      </w:r>
    </w:p>
    <w:p w:rsidR="00000000" w:rsidDel="00000000" w:rsidP="00000000" w:rsidRDefault="00000000" w:rsidRPr="00000000" w14:paraId="0000000B">
      <w:pPr>
        <w:pStyle w:val="Heading2"/>
        <w:rPr>
          <w:b w:val="1"/>
          <w:sz w:val="28"/>
          <w:szCs w:val="28"/>
        </w:rPr>
      </w:pPr>
      <w:bookmarkStart w:colFirst="0" w:colLast="0" w:name="_9861f5n3vr44" w:id="3"/>
      <w:bookmarkEnd w:id="3"/>
      <w:r w:rsidDel="00000000" w:rsidR="00000000" w:rsidRPr="00000000">
        <w:rPr>
          <w:b w:val="1"/>
          <w:sz w:val="28"/>
          <w:szCs w:val="28"/>
          <w:rtl w:val="0"/>
        </w:rPr>
        <w:t xml:space="preserve">Policy Context</w:t>
      </w:r>
    </w:p>
    <w:p w:rsidR="00000000" w:rsidDel="00000000" w:rsidP="00000000" w:rsidRDefault="00000000" w:rsidRPr="00000000" w14:paraId="0000000C">
      <w:pPr>
        <w:rPr/>
      </w:pPr>
      <w:r w:rsidDel="00000000" w:rsidR="00000000" w:rsidRPr="00000000">
        <w:rPr>
          <w:sz w:val="24"/>
          <w:szCs w:val="24"/>
          <w:rtl w:val="0"/>
        </w:rPr>
        <w:t xml:space="preserve">The Working Group (WG) discussed the degree of similarity between the specific requirements and concerns of IGOs and of INGOs, and if policy changes were necessary to the UDRP and URS as a result.  The scope of the UDRP and URS as drafted currently applies only to second level domain name disputes where the complainant has legal rights in a trademark or service mark, and the complaint alleges that the respondent’s domain name is identical or confusingly similar to that trademark or service mark.</w:t>
      </w:r>
      <w:r w:rsidDel="00000000" w:rsidR="00000000" w:rsidRPr="00000000">
        <w:rPr>
          <w:rtl w:val="0"/>
        </w:rPr>
      </w:r>
    </w:p>
    <w:p w:rsidR="00000000" w:rsidDel="00000000" w:rsidP="00000000" w:rsidRDefault="00000000" w:rsidRPr="00000000" w14:paraId="0000000D">
      <w:pPr>
        <w:pStyle w:val="Heading3"/>
        <w:rPr/>
      </w:pPr>
      <w:bookmarkStart w:colFirst="0" w:colLast="0" w:name="_m4uq09r8r3d" w:id="4"/>
      <w:bookmarkEnd w:id="4"/>
      <w:r w:rsidDel="00000000" w:rsidR="00000000" w:rsidRPr="00000000">
        <w:rPr>
          <w:b w:val="1"/>
          <w:sz w:val="24"/>
          <w:szCs w:val="24"/>
          <w:rtl w:val="0"/>
        </w:rPr>
        <w:t xml:space="preserve">1(a)</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For INGOs, the WG concluded that no modifications were necessary to the UDRP and URS for the following reasons:</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numPr>
          <w:ilvl w:val="0"/>
          <w:numId w:val="2"/>
        </w:numPr>
        <w:ind w:left="720" w:hanging="360"/>
        <w:rPr>
          <w:sz w:val="24"/>
          <w:szCs w:val="24"/>
          <w:u w:val="none"/>
        </w:rPr>
      </w:pPr>
      <w:r w:rsidDel="00000000" w:rsidR="00000000" w:rsidRPr="00000000">
        <w:rPr>
          <w:sz w:val="24"/>
          <w:szCs w:val="24"/>
          <w:rtl w:val="0"/>
        </w:rPr>
        <w:t xml:space="preserve">In many cases </w:t>
      </w:r>
      <w:r w:rsidDel="00000000" w:rsidR="00000000" w:rsidRPr="00000000">
        <w:rPr>
          <w:sz w:val="24"/>
          <w:szCs w:val="24"/>
          <w:rtl w:val="0"/>
        </w:rPr>
        <w:t xml:space="preserve">INGOs already possess and enforce trademark rights. </w:t>
      </w:r>
    </w:p>
    <w:p w:rsidR="00000000" w:rsidDel="00000000" w:rsidP="00000000" w:rsidRDefault="00000000" w:rsidRPr="00000000" w14:paraId="00000012">
      <w:pPr>
        <w:numPr>
          <w:ilvl w:val="0"/>
          <w:numId w:val="2"/>
        </w:numPr>
        <w:ind w:left="720" w:hanging="360"/>
        <w:rPr>
          <w:sz w:val="24"/>
          <w:szCs w:val="24"/>
          <w:u w:val="none"/>
        </w:rPr>
      </w:pPr>
      <w:r w:rsidDel="00000000" w:rsidR="00000000" w:rsidRPr="00000000">
        <w:rPr>
          <w:sz w:val="24"/>
          <w:szCs w:val="24"/>
          <w:rtl w:val="0"/>
        </w:rPr>
        <w:t xml:space="preserve">INGOs that do not can usually obtain trademark rights in their names and/or acronyms and use these rights as the basis for standing in the UDRP/URS as a faster and lower cost alternative to litigation.</w:t>
      </w:r>
    </w:p>
    <w:p w:rsidR="00000000" w:rsidDel="00000000" w:rsidP="00000000" w:rsidRDefault="00000000" w:rsidRPr="00000000" w14:paraId="00000013">
      <w:pPr>
        <w:numPr>
          <w:ilvl w:val="0"/>
          <w:numId w:val="2"/>
        </w:numPr>
        <w:ind w:left="720" w:hanging="360"/>
        <w:rPr>
          <w:sz w:val="24"/>
          <w:szCs w:val="24"/>
          <w:u w:val="none"/>
        </w:rPr>
      </w:pPr>
      <w:r w:rsidDel="00000000" w:rsidR="00000000" w:rsidRPr="00000000">
        <w:rPr>
          <w:sz w:val="24"/>
          <w:szCs w:val="24"/>
          <w:rtl w:val="0"/>
        </w:rPr>
        <w:t xml:space="preserve">For UDRP and URS purposes, INGOs have the same standing as any other private party - they have no claim to jurisdictional immunities (unlike IGOs) and are not prevented from submitting to the jurisdiction of national courts under the Mutual Jurisdiction clause within the existing DRPs. </w:t>
      </w:r>
    </w:p>
    <w:p w:rsidR="00000000" w:rsidDel="00000000" w:rsidP="00000000" w:rsidRDefault="00000000" w:rsidRPr="00000000" w14:paraId="00000014">
      <w:pPr>
        <w:numPr>
          <w:ilvl w:val="0"/>
          <w:numId w:val="2"/>
        </w:numPr>
        <w:ind w:left="720" w:hanging="360"/>
        <w:rPr>
          <w:sz w:val="24"/>
          <w:szCs w:val="24"/>
          <w:u w:val="none"/>
        </w:rPr>
      </w:pPr>
      <w:r w:rsidDel="00000000" w:rsidR="00000000" w:rsidRPr="00000000">
        <w:rPr>
          <w:sz w:val="24"/>
          <w:szCs w:val="24"/>
          <w:rtl w:val="0"/>
        </w:rPr>
        <w:t xml:space="preserve">Concerns around the cost of utilizing the UDRP and URS are not unique or applicable to all INGOs.</w:t>
      </w:r>
    </w:p>
    <w:p w:rsidR="00000000" w:rsidDel="00000000" w:rsidP="00000000" w:rsidRDefault="00000000" w:rsidRPr="00000000" w14:paraId="00000015">
      <w:pPr>
        <w:numPr>
          <w:ilvl w:val="0"/>
          <w:numId w:val="2"/>
        </w:numPr>
        <w:ind w:left="720" w:hanging="360"/>
        <w:rPr>
          <w:sz w:val="24"/>
          <w:szCs w:val="24"/>
          <w:u w:val="none"/>
        </w:rPr>
      </w:pPr>
      <w:r w:rsidDel="00000000" w:rsidR="00000000" w:rsidRPr="00000000">
        <w:rPr>
          <w:sz w:val="24"/>
          <w:szCs w:val="24"/>
          <w:rtl w:val="0"/>
        </w:rPr>
        <w:t xml:space="preserve">Following research identifying a large number of INGOs that could seek to utilize any new curative rights process, the WG felt that the number of potentially eligible organizations weighed against the creation of a special DRP for INGOs, especially as they could not be readily differentiated from other private parties, including other non-profit organizations.</w:t>
      </w:r>
    </w:p>
    <w:p w:rsidR="00000000" w:rsidDel="00000000" w:rsidP="00000000" w:rsidRDefault="00000000" w:rsidRPr="00000000" w14:paraId="00000016">
      <w:pPr>
        <w:numPr>
          <w:ilvl w:val="0"/>
          <w:numId w:val="2"/>
        </w:numPr>
        <w:ind w:left="720" w:hanging="360"/>
        <w:rPr>
          <w:sz w:val="24"/>
          <w:szCs w:val="24"/>
          <w:u w:val="none"/>
        </w:rPr>
      </w:pPr>
      <w:r w:rsidDel="00000000" w:rsidR="00000000" w:rsidRPr="00000000">
        <w:rPr>
          <w:sz w:val="24"/>
          <w:szCs w:val="24"/>
          <w:rtl w:val="0"/>
        </w:rPr>
        <w:t xml:space="preserve">In relation to the Red Cross and the International Olympic Committee (IOC), the WG noted that although they benefit from international legal treaty protections and rights under multiple national laws, there is no basis to distinguish these organisations from other INGOs, given that they have access to the UDRP/URS and already possess, defend and enforce trademark rights.</w:t>
      </w:r>
    </w:p>
    <w:p w:rsidR="00000000" w:rsidDel="00000000" w:rsidP="00000000" w:rsidRDefault="00000000" w:rsidRPr="00000000" w14:paraId="00000017">
      <w:pPr>
        <w:pStyle w:val="Heading3"/>
        <w:rPr>
          <w:b w:val="1"/>
          <w:sz w:val="24"/>
          <w:szCs w:val="24"/>
        </w:rPr>
      </w:pPr>
      <w:bookmarkStart w:colFirst="0" w:colLast="0" w:name="_a4iuc29h38qx" w:id="5"/>
      <w:bookmarkEnd w:id="5"/>
      <w:r w:rsidDel="00000000" w:rsidR="00000000" w:rsidRPr="00000000">
        <w:rPr>
          <w:b w:val="1"/>
          <w:sz w:val="24"/>
          <w:szCs w:val="24"/>
          <w:rtl w:val="0"/>
        </w:rPr>
        <w:t xml:space="preserve">1(b)</w:t>
      </w:r>
    </w:p>
    <w:p w:rsidR="00000000" w:rsidDel="00000000" w:rsidP="00000000" w:rsidRDefault="00000000" w:rsidRPr="00000000" w14:paraId="00000018">
      <w:pPr>
        <w:ind w:left="0" w:firstLine="0"/>
        <w:rPr>
          <w:sz w:val="24"/>
          <w:szCs w:val="24"/>
        </w:rPr>
      </w:pPr>
      <w:r w:rsidDel="00000000" w:rsidR="00000000" w:rsidRPr="00000000">
        <w:rPr>
          <w:rtl w:val="0"/>
        </w:rPr>
      </w:r>
    </w:p>
    <w:p w:rsidR="00000000" w:rsidDel="00000000" w:rsidP="00000000" w:rsidRDefault="00000000" w:rsidRPr="00000000" w14:paraId="00000019">
      <w:pPr>
        <w:ind w:left="0" w:firstLine="0"/>
        <w:rPr>
          <w:sz w:val="24"/>
          <w:szCs w:val="24"/>
        </w:rPr>
      </w:pPr>
      <w:r w:rsidDel="00000000" w:rsidR="00000000" w:rsidRPr="00000000">
        <w:rPr>
          <w:sz w:val="24"/>
          <w:szCs w:val="24"/>
          <w:rtl w:val="0"/>
        </w:rPr>
        <w:t xml:space="preserve">The WG also concluded that there was no</w:t>
      </w:r>
      <w:r w:rsidDel="00000000" w:rsidR="00000000" w:rsidRPr="00000000">
        <w:rPr>
          <w:sz w:val="24"/>
          <w:szCs w:val="24"/>
          <w:rtl w:val="0"/>
        </w:rPr>
        <w:t xml:space="preserve"> need to create a new and separate DRP applicable to IGOs for the following reasons:</w:t>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numPr>
          <w:ilvl w:val="0"/>
          <w:numId w:val="1"/>
        </w:numPr>
        <w:ind w:left="720" w:hanging="360"/>
        <w:rPr>
          <w:sz w:val="24"/>
          <w:szCs w:val="24"/>
          <w:u w:val="none"/>
        </w:rPr>
      </w:pPr>
      <w:r w:rsidDel="00000000" w:rsidR="00000000" w:rsidRPr="00000000">
        <w:rPr>
          <w:sz w:val="24"/>
          <w:szCs w:val="24"/>
          <w:rtl w:val="0"/>
        </w:rPr>
        <w:t xml:space="preserve">An IGO currently has the ability to file a complaint under the UDRP and URS via an assignee, licensee or agent, avoiding any direct concession on the issue of mutual jurisdiction.</w:t>
      </w:r>
    </w:p>
    <w:p w:rsidR="00000000" w:rsidDel="00000000" w:rsidP="00000000" w:rsidRDefault="00000000" w:rsidRPr="00000000" w14:paraId="0000001C">
      <w:pPr>
        <w:numPr>
          <w:ilvl w:val="0"/>
          <w:numId w:val="1"/>
        </w:numPr>
        <w:ind w:left="720" w:hanging="360"/>
        <w:rPr>
          <w:sz w:val="24"/>
          <w:szCs w:val="24"/>
          <w:u w:val="none"/>
        </w:rPr>
      </w:pPr>
      <w:r w:rsidDel="00000000" w:rsidR="00000000" w:rsidRPr="00000000">
        <w:rPr>
          <w:sz w:val="24"/>
          <w:szCs w:val="24"/>
          <w:rtl w:val="0"/>
        </w:rPr>
        <w:t xml:space="preserve">There is an “extremely limited probability” of a scenario in which a losing respondent in a UDRP or URS proceeding files suit against the winning IGO in a national court, requiring the IGO to assert jurisdictional immunity in that court.</w:t>
      </w:r>
    </w:p>
    <w:p w:rsidR="00000000" w:rsidDel="00000000" w:rsidP="00000000" w:rsidRDefault="00000000" w:rsidRPr="00000000" w14:paraId="0000001D">
      <w:pPr>
        <w:numPr>
          <w:ilvl w:val="0"/>
          <w:numId w:val="1"/>
        </w:numPr>
        <w:ind w:left="720" w:hanging="360"/>
        <w:rPr>
          <w:sz w:val="24"/>
          <w:szCs w:val="24"/>
          <w:u w:val="none"/>
        </w:rPr>
      </w:pPr>
      <w:r w:rsidDel="00000000" w:rsidR="00000000" w:rsidRPr="00000000">
        <w:rPr>
          <w:sz w:val="24"/>
          <w:szCs w:val="24"/>
          <w:rtl w:val="0"/>
        </w:rPr>
        <w:t xml:space="preserve">ICANN has no authority to deny a registrant’s legal right to bring a case to a court of competent jurisdiction.</w:t>
      </w:r>
    </w:p>
    <w:p w:rsidR="00000000" w:rsidDel="00000000" w:rsidP="00000000" w:rsidRDefault="00000000" w:rsidRPr="00000000" w14:paraId="0000001E">
      <w:pPr>
        <w:numPr>
          <w:ilvl w:val="0"/>
          <w:numId w:val="1"/>
        </w:numPr>
        <w:ind w:left="720" w:hanging="360"/>
        <w:rPr>
          <w:sz w:val="24"/>
          <w:szCs w:val="24"/>
          <w:u w:val="none"/>
        </w:rPr>
      </w:pPr>
      <w:r w:rsidDel="00000000" w:rsidR="00000000" w:rsidRPr="00000000">
        <w:rPr>
          <w:sz w:val="24"/>
          <w:szCs w:val="24"/>
          <w:rtl w:val="0"/>
        </w:rPr>
        <w:t xml:space="preserve"> There is no single, universally applicable legal rule governing IGO jurisdictional immunity globally.</w:t>
      </w:r>
    </w:p>
    <w:p w:rsidR="00000000" w:rsidDel="00000000" w:rsidP="00000000" w:rsidRDefault="00000000" w:rsidRPr="00000000" w14:paraId="0000001F">
      <w:pPr>
        <w:numPr>
          <w:ilvl w:val="0"/>
          <w:numId w:val="1"/>
        </w:numPr>
        <w:ind w:left="720" w:hanging="360"/>
        <w:rPr>
          <w:sz w:val="24"/>
          <w:szCs w:val="24"/>
          <w:u w:val="none"/>
        </w:rPr>
      </w:pPr>
      <w:r w:rsidDel="00000000" w:rsidR="00000000" w:rsidRPr="00000000">
        <w:rPr>
          <w:sz w:val="24"/>
          <w:szCs w:val="24"/>
          <w:rtl w:val="0"/>
        </w:rPr>
        <w:t xml:space="preserve">Substantive changes to curative rights processes need to be considered alongside ongoing RPM policy work, in the absence of a clear legal argument or public policy rationale favoring a piecemeal approach in specific cases.</w:t>
      </w:r>
    </w:p>
    <w:p w:rsidR="00000000" w:rsidDel="00000000" w:rsidP="00000000" w:rsidRDefault="00000000" w:rsidRPr="00000000" w14:paraId="00000020">
      <w:pPr>
        <w:ind w:left="720" w:firstLine="0"/>
        <w:rPr>
          <w:sz w:val="24"/>
          <w:szCs w:val="24"/>
        </w:rPr>
      </w:pPr>
      <w:r w:rsidDel="00000000" w:rsidR="00000000" w:rsidRPr="00000000">
        <w:rPr>
          <w:rtl w:val="0"/>
        </w:rPr>
      </w:r>
    </w:p>
    <w:p w:rsidR="00000000" w:rsidDel="00000000" w:rsidP="00000000" w:rsidRDefault="00000000" w:rsidRPr="00000000" w14:paraId="00000021">
      <w:pPr>
        <w:ind w:left="0" w:firstLine="0"/>
        <w:rPr>
          <w:sz w:val="24"/>
          <w:szCs w:val="24"/>
        </w:rPr>
      </w:pPr>
      <w:r w:rsidDel="00000000" w:rsidR="00000000" w:rsidRPr="00000000">
        <w:rPr>
          <w:rtl w:val="0"/>
        </w:rPr>
      </w:r>
    </w:p>
    <w:p w:rsidR="00000000" w:rsidDel="00000000" w:rsidP="00000000" w:rsidRDefault="00000000" w:rsidRPr="00000000" w14:paraId="00000022">
      <w:pPr>
        <w:ind w:left="0" w:firstLine="0"/>
        <w:rPr>
          <w:b w:val="1"/>
          <w:sz w:val="28"/>
          <w:szCs w:val="28"/>
        </w:rPr>
      </w:pPr>
      <w:r w:rsidDel="00000000" w:rsidR="00000000" w:rsidRPr="00000000">
        <w:rPr>
          <w:b w:val="1"/>
          <w:sz w:val="28"/>
          <w:szCs w:val="28"/>
          <w:rtl w:val="0"/>
        </w:rPr>
        <w:t xml:space="preserve">Next Steps</w:t>
      </w:r>
    </w:p>
    <w:p w:rsidR="00000000" w:rsidDel="00000000" w:rsidP="00000000" w:rsidRDefault="00000000" w:rsidRPr="00000000" w14:paraId="00000023">
      <w:pPr>
        <w:ind w:left="0" w:firstLine="0"/>
        <w:rPr>
          <w:sz w:val="24"/>
          <w:szCs w:val="24"/>
        </w:rPr>
      </w:pPr>
      <w:r w:rsidDel="00000000" w:rsidR="00000000" w:rsidRPr="00000000">
        <w:rPr>
          <w:sz w:val="24"/>
          <w:szCs w:val="24"/>
          <w:rtl w:val="0"/>
        </w:rPr>
        <w:t xml:space="preserve">ICANN org requests the IRT to confirm that no action is required.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