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nmfm36knh6jh" w:id="0"/>
      <w:bookmarkEnd w:id="0"/>
      <w:r w:rsidDel="00000000" w:rsidR="00000000" w:rsidRPr="00000000">
        <w:rPr>
          <w:sz w:val="36"/>
          <w:szCs w:val="36"/>
          <w:rtl w:val="0"/>
        </w:rPr>
        <w:t xml:space="preserve">Draft Implementation Approach: IGO-INGO Curative Rights PDP Recommendation 4</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ICANN org Proposed Implementation Approach</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sz w:val="24"/>
          <w:szCs w:val="24"/>
          <w:rtl w:val="0"/>
        </w:rPr>
        <w:t xml:space="preserve">Recommendation 4 acknowledges that the provision of subsidies to IGO/INGO complainants was beyond the scope of the PDP and is more appropriately a matter for discussion between the ICANN Board and the GAC. The recommendation does not require ICANN org to propose or instigate such discussions between the relevant parties. ICANN org would play a role in facilitating these discussions if initiated, but this is not a matter requiring action by the IRT. </w:t>
      </w:r>
      <w:r w:rsidDel="00000000" w:rsidR="00000000" w:rsidRPr="00000000">
        <w:rPr>
          <w:rtl w:val="0"/>
        </w:rPr>
      </w:r>
    </w:p>
    <w:p w:rsidR="00000000" w:rsidDel="00000000" w:rsidP="00000000" w:rsidRDefault="00000000" w:rsidRPr="00000000" w14:paraId="00000006">
      <w:pPr>
        <w:pStyle w:val="Heading2"/>
        <w:rPr>
          <w:b w:val="1"/>
          <w:sz w:val="28"/>
          <w:szCs w:val="28"/>
        </w:rPr>
      </w:pPr>
      <w:bookmarkStart w:colFirst="0" w:colLast="0" w:name="_cahs92bhqbvc" w:id="1"/>
      <w:bookmarkEnd w:id="1"/>
      <w:r w:rsidDel="00000000" w:rsidR="00000000" w:rsidRPr="00000000">
        <w:rPr>
          <w:b w:val="1"/>
          <w:sz w:val="28"/>
          <w:szCs w:val="28"/>
          <w:rtl w:val="0"/>
        </w:rPr>
        <w:t xml:space="preserve">Recommendation Text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Notwithstanding GAC advice concerning access to curative rights processes for IGOs as well as the Charter language requiring the Working Group to consider “the need to address the issue of cost to IGOs and INGOs to use curative processes”, there was no support within the Working Group for a recommendation to provide subsidies to any party to use the UDRP or URS. Nevertheless, the Working Group recognizes that it has no authority to obligate the expenditure of ICANN funds, and it understands, further, that the feasibility of providing IGOs with access to the UDRP and URS at no or nominal cost to the IGOs is a question that must be addressed directly through discussions between the ICANN Board with the GAC and IGOs. The Working Group also notes that many Working Group members believe that a respondent should also be eligible to receive financial support for its defense in a case where ICANN has subsidized the complainant.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Consensus Level</w:t>
      </w:r>
      <w:r w:rsidDel="00000000" w:rsidR="00000000" w:rsidRPr="00000000">
        <w:rPr>
          <w:sz w:val="24"/>
          <w:szCs w:val="24"/>
          <w:rtl w:val="0"/>
        </w:rPr>
        <w:t xml:space="preserve">: Consensus</w:t>
      </w:r>
    </w:p>
    <w:p w:rsidR="00000000" w:rsidDel="00000000" w:rsidP="00000000" w:rsidRDefault="00000000" w:rsidRPr="00000000" w14:paraId="0000000B">
      <w:pPr>
        <w:pStyle w:val="Heading2"/>
        <w:rPr>
          <w:b w:val="1"/>
          <w:sz w:val="28"/>
          <w:szCs w:val="28"/>
        </w:rPr>
      </w:pPr>
      <w:bookmarkStart w:colFirst="0" w:colLast="0" w:name="_9861f5n3vr44" w:id="2"/>
      <w:bookmarkEnd w:id="2"/>
      <w:r w:rsidDel="00000000" w:rsidR="00000000" w:rsidRPr="00000000">
        <w:rPr>
          <w:b w:val="1"/>
          <w:sz w:val="28"/>
          <w:szCs w:val="28"/>
          <w:rtl w:val="0"/>
        </w:rPr>
        <w:t xml:space="preserve">Policy Context</w:t>
      </w:r>
    </w:p>
    <w:p w:rsidR="00000000" w:rsidDel="00000000" w:rsidP="00000000" w:rsidRDefault="00000000" w:rsidRPr="00000000" w14:paraId="0000000C">
      <w:pPr>
        <w:numPr>
          <w:ilvl w:val="0"/>
          <w:numId w:val="1"/>
        </w:numPr>
        <w:ind w:left="720" w:hanging="360"/>
        <w:rPr>
          <w:u w:val="none"/>
        </w:rPr>
      </w:pPr>
      <w:r w:rsidDel="00000000" w:rsidR="00000000" w:rsidRPr="00000000">
        <w:rPr>
          <w:sz w:val="24"/>
          <w:szCs w:val="24"/>
          <w:rtl w:val="0"/>
        </w:rPr>
        <w:t xml:space="preserve">The WG did not reach full consensus on this recommendation.</w:t>
      </w: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The PDP WG </w:t>
      </w:r>
      <w:r w:rsidDel="00000000" w:rsidR="00000000" w:rsidRPr="00000000">
        <w:rPr>
          <w:sz w:val="24"/>
          <w:szCs w:val="24"/>
          <w:rtl w:val="0"/>
        </w:rPr>
        <w:t xml:space="preserve">Charter did not authorize the WG to make recommendations that would create a monetary obligation for ICANN or any other party to provide subsidies for complainants, or require ICANN to cover the costs of any filing of a UDRP or URS complaint.</w:t>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sz w:val="24"/>
          <w:szCs w:val="24"/>
          <w:rtl w:val="0"/>
        </w:rPr>
        <w:t xml:space="preserve">However, considering relevant GAC advice in its </w:t>
      </w:r>
      <w:hyperlink r:id="rId6">
        <w:r w:rsidDel="00000000" w:rsidR="00000000" w:rsidRPr="00000000">
          <w:rPr>
            <w:color w:val="1155cc"/>
            <w:sz w:val="24"/>
            <w:szCs w:val="24"/>
            <w:u w:val="single"/>
            <w:rtl w:val="0"/>
          </w:rPr>
          <w:t xml:space="preserve">ICANN51 Los Angeles Communique </w:t>
        </w:r>
      </w:hyperlink>
      <w:r w:rsidDel="00000000" w:rsidR="00000000" w:rsidRPr="00000000">
        <w:rPr>
          <w:sz w:val="24"/>
          <w:szCs w:val="24"/>
          <w:rtl w:val="0"/>
        </w:rPr>
        <w:t xml:space="preserve">(October 2014), the WG noted that the possibility of ICANN providing IGOs and INGOs with the ability to file UDRP and URS complaints at no or minimal cost must be explored through discussions between the ICANN Board, the GAC and IGOs.</w:t>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sz w:val="24"/>
          <w:szCs w:val="24"/>
          <w:rtl w:val="0"/>
        </w:rPr>
        <w:t xml:space="preserve">Specific suggestions were made during WG discussions for the Board and community to consider should discussions with the GAC be initiated, including:</w:t>
        <w:br w:type="textWrapping"/>
      </w:r>
    </w:p>
    <w:p w:rsidR="00000000" w:rsidDel="00000000" w:rsidP="00000000" w:rsidRDefault="00000000" w:rsidRPr="00000000" w14:paraId="00000013">
      <w:pPr>
        <w:numPr>
          <w:ilvl w:val="1"/>
          <w:numId w:val="1"/>
        </w:numPr>
        <w:ind w:left="1440" w:hanging="360"/>
        <w:rPr>
          <w:sz w:val="24"/>
          <w:szCs w:val="24"/>
          <w:u w:val="none"/>
        </w:rPr>
      </w:pPr>
      <w:r w:rsidDel="00000000" w:rsidR="00000000" w:rsidRPr="00000000">
        <w:rPr>
          <w:sz w:val="24"/>
          <w:szCs w:val="24"/>
          <w:rtl w:val="0"/>
        </w:rPr>
        <w:t xml:space="preserve">the creation of an objective standard for financial support</w:t>
      </w:r>
    </w:p>
    <w:p w:rsidR="00000000" w:rsidDel="00000000" w:rsidP="00000000" w:rsidRDefault="00000000" w:rsidRPr="00000000" w14:paraId="00000014">
      <w:pPr>
        <w:numPr>
          <w:ilvl w:val="1"/>
          <w:numId w:val="1"/>
        </w:numPr>
        <w:ind w:left="1440" w:hanging="360"/>
        <w:rPr>
          <w:sz w:val="24"/>
          <w:szCs w:val="24"/>
          <w:u w:val="none"/>
        </w:rPr>
      </w:pPr>
      <w:r w:rsidDel="00000000" w:rsidR="00000000" w:rsidRPr="00000000">
        <w:rPr>
          <w:sz w:val="24"/>
          <w:szCs w:val="24"/>
          <w:rtl w:val="0"/>
        </w:rPr>
        <w:t xml:space="preserve">setting specific quantitative limits (e.g. a dollar amount per year per IGO)</w:t>
      </w:r>
    </w:p>
    <w:p w:rsidR="00000000" w:rsidDel="00000000" w:rsidP="00000000" w:rsidRDefault="00000000" w:rsidRPr="00000000" w14:paraId="00000015">
      <w:pPr>
        <w:numPr>
          <w:ilvl w:val="1"/>
          <w:numId w:val="1"/>
        </w:numPr>
        <w:ind w:left="1440" w:hanging="360"/>
        <w:rPr>
          <w:sz w:val="24"/>
          <w:szCs w:val="24"/>
          <w:u w:val="none"/>
        </w:rPr>
      </w:pPr>
      <w:r w:rsidDel="00000000" w:rsidR="00000000" w:rsidRPr="00000000">
        <w:rPr>
          <w:sz w:val="24"/>
          <w:szCs w:val="24"/>
          <w:rtl w:val="0"/>
        </w:rPr>
        <w:t xml:space="preserve">means testing support.</w:t>
      </w:r>
    </w:p>
    <w:p w:rsidR="00000000" w:rsidDel="00000000" w:rsidP="00000000" w:rsidRDefault="00000000" w:rsidRPr="00000000" w14:paraId="00000016">
      <w:pPr>
        <w:numPr>
          <w:ilvl w:val="1"/>
          <w:numId w:val="1"/>
        </w:numPr>
        <w:ind w:left="1440" w:hanging="360"/>
        <w:rPr>
          <w:sz w:val="24"/>
          <w:szCs w:val="24"/>
          <w:u w:val="none"/>
        </w:rPr>
      </w:pPr>
      <w:r w:rsidDel="00000000" w:rsidR="00000000" w:rsidRPr="00000000">
        <w:rPr>
          <w:sz w:val="24"/>
          <w:szCs w:val="24"/>
          <w:rtl w:val="0"/>
        </w:rPr>
        <w:t xml:space="preserve">extending subsidies for complainants to respondents.</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However, these proposals were not included in the text of the policy recommendation.</w:t>
      </w: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Next Steps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ICANN org requests confirmation that this recommendation does not require action by the IRT.</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ac.icann.org/contentMigrated/icann51-los-angeles-commu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