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B7AA" w14:textId="77777777" w:rsidR="009A6B3D" w:rsidRDefault="00000000">
      <w:pPr>
        <w:pStyle w:val="Title"/>
        <w:spacing w:after="0"/>
        <w:rPr>
          <w:color w:val="000000"/>
          <w:sz w:val="40"/>
          <w:szCs w:val="40"/>
        </w:rPr>
      </w:pPr>
      <w:bookmarkStart w:id="0" w:name="_ulqh6l321z3" w:colFirst="0" w:colLast="0"/>
      <w:bookmarkEnd w:id="0"/>
      <w:r>
        <w:rPr>
          <w:color w:val="000000"/>
          <w:sz w:val="40"/>
          <w:szCs w:val="40"/>
        </w:rPr>
        <w:t>IGO-INGO Curative Rights Policy Implementation Project Plan</w:t>
      </w:r>
    </w:p>
    <w:p w14:paraId="2278C48F" w14:textId="77777777" w:rsidR="009A6B3D" w:rsidRDefault="009A6B3D">
      <w:pPr>
        <w:rPr>
          <w:i/>
          <w:sz w:val="26"/>
          <w:szCs w:val="26"/>
        </w:rPr>
      </w:pPr>
    </w:p>
    <w:p w14:paraId="0E196696" w14:textId="77777777" w:rsidR="009A6B3D" w:rsidRDefault="00000000">
      <w:pPr>
        <w:rPr>
          <w:i/>
          <w:sz w:val="24"/>
          <w:szCs w:val="24"/>
        </w:rPr>
      </w:pPr>
      <w:r>
        <w:rPr>
          <w:i/>
          <w:sz w:val="24"/>
          <w:szCs w:val="24"/>
        </w:rPr>
        <w:t>Version 1 | March 2025</w:t>
      </w:r>
    </w:p>
    <w:p w14:paraId="7F814AA6" w14:textId="77777777" w:rsidR="009A6B3D" w:rsidRDefault="009A6B3D">
      <w:pPr>
        <w:rPr>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5100"/>
      </w:tblGrid>
      <w:tr w:rsidR="009A6B3D" w14:paraId="5E684EED" w14:textId="77777777">
        <w:trPr>
          <w:tblHeader/>
        </w:trPr>
        <w:tc>
          <w:tcPr>
            <w:tcW w:w="4260" w:type="dxa"/>
            <w:shd w:val="clear" w:color="auto" w:fill="0D436C"/>
            <w:tcMar>
              <w:top w:w="100" w:type="dxa"/>
              <w:left w:w="100" w:type="dxa"/>
              <w:bottom w:w="100" w:type="dxa"/>
              <w:right w:w="100" w:type="dxa"/>
            </w:tcMar>
          </w:tcPr>
          <w:p w14:paraId="1E19D16C" w14:textId="77777777" w:rsidR="009A6B3D" w:rsidRDefault="00000000">
            <w:pPr>
              <w:widowControl w:val="0"/>
              <w:spacing w:line="240" w:lineRule="auto"/>
              <w:rPr>
                <w:b/>
                <w:color w:val="FFFFFF"/>
                <w:sz w:val="20"/>
                <w:szCs w:val="20"/>
              </w:rPr>
            </w:pPr>
            <w:r>
              <w:rPr>
                <w:b/>
                <w:color w:val="FFFFFF"/>
                <w:sz w:val="20"/>
                <w:szCs w:val="20"/>
              </w:rPr>
              <w:t>Responsible Entity</w:t>
            </w:r>
          </w:p>
        </w:tc>
        <w:tc>
          <w:tcPr>
            <w:tcW w:w="5100" w:type="dxa"/>
            <w:shd w:val="clear" w:color="auto" w:fill="auto"/>
            <w:tcMar>
              <w:top w:w="100" w:type="dxa"/>
              <w:left w:w="100" w:type="dxa"/>
              <w:bottom w:w="100" w:type="dxa"/>
              <w:right w:w="100" w:type="dxa"/>
            </w:tcMar>
          </w:tcPr>
          <w:p w14:paraId="5F83CD50" w14:textId="77777777" w:rsidR="009A6B3D" w:rsidRDefault="00000000">
            <w:pPr>
              <w:widowControl w:val="0"/>
              <w:spacing w:line="240" w:lineRule="auto"/>
              <w:rPr>
                <w:sz w:val="20"/>
                <w:szCs w:val="20"/>
              </w:rPr>
            </w:pPr>
            <w:r>
              <w:rPr>
                <w:sz w:val="20"/>
                <w:szCs w:val="20"/>
              </w:rPr>
              <w:t>ICANN org: Global Domains &amp; Strategy</w:t>
            </w:r>
          </w:p>
        </w:tc>
      </w:tr>
      <w:tr w:rsidR="009A6B3D" w14:paraId="3128307A" w14:textId="77777777">
        <w:trPr>
          <w:tblHeader/>
        </w:trPr>
        <w:tc>
          <w:tcPr>
            <w:tcW w:w="4260" w:type="dxa"/>
            <w:shd w:val="clear" w:color="auto" w:fill="1768B1"/>
            <w:tcMar>
              <w:top w:w="100" w:type="dxa"/>
              <w:left w:w="100" w:type="dxa"/>
              <w:bottom w:w="100" w:type="dxa"/>
              <w:right w:w="100" w:type="dxa"/>
            </w:tcMar>
          </w:tcPr>
          <w:p w14:paraId="62A8C445" w14:textId="77777777" w:rsidR="009A6B3D" w:rsidRDefault="00000000">
            <w:pPr>
              <w:widowControl w:val="0"/>
              <w:spacing w:line="240" w:lineRule="auto"/>
              <w:rPr>
                <w:b/>
                <w:color w:val="FFFFFF"/>
                <w:sz w:val="20"/>
                <w:szCs w:val="20"/>
              </w:rPr>
            </w:pPr>
            <w:r>
              <w:rPr>
                <w:b/>
                <w:color w:val="FFFFFF"/>
                <w:sz w:val="20"/>
                <w:szCs w:val="20"/>
              </w:rPr>
              <w:t>Lead Department</w:t>
            </w:r>
          </w:p>
        </w:tc>
        <w:tc>
          <w:tcPr>
            <w:tcW w:w="5100" w:type="dxa"/>
            <w:shd w:val="clear" w:color="auto" w:fill="auto"/>
            <w:tcMar>
              <w:top w:w="100" w:type="dxa"/>
              <w:left w:w="100" w:type="dxa"/>
              <w:bottom w:w="100" w:type="dxa"/>
              <w:right w:w="100" w:type="dxa"/>
            </w:tcMar>
          </w:tcPr>
          <w:p w14:paraId="7F7E73AA" w14:textId="77777777" w:rsidR="009A6B3D" w:rsidRDefault="00000000">
            <w:pPr>
              <w:widowControl w:val="0"/>
              <w:spacing w:line="240" w:lineRule="auto"/>
              <w:rPr>
                <w:sz w:val="20"/>
                <w:szCs w:val="20"/>
              </w:rPr>
            </w:pPr>
            <w:r>
              <w:rPr>
                <w:sz w:val="20"/>
                <w:szCs w:val="20"/>
              </w:rPr>
              <w:t xml:space="preserve">Policy Research and Stakeholder Programs </w:t>
            </w:r>
          </w:p>
        </w:tc>
      </w:tr>
      <w:tr w:rsidR="009A6B3D" w14:paraId="6A2A2DD6" w14:textId="77777777">
        <w:trPr>
          <w:tblHeader/>
        </w:trPr>
        <w:tc>
          <w:tcPr>
            <w:tcW w:w="4260" w:type="dxa"/>
            <w:shd w:val="clear" w:color="auto" w:fill="1768B1"/>
            <w:tcMar>
              <w:top w:w="100" w:type="dxa"/>
              <w:left w:w="100" w:type="dxa"/>
              <w:bottom w:w="100" w:type="dxa"/>
              <w:right w:w="100" w:type="dxa"/>
            </w:tcMar>
          </w:tcPr>
          <w:p w14:paraId="6DD88B90" w14:textId="77777777" w:rsidR="009A6B3D" w:rsidRDefault="00000000">
            <w:pPr>
              <w:widowControl w:val="0"/>
              <w:spacing w:line="240" w:lineRule="auto"/>
              <w:rPr>
                <w:b/>
                <w:color w:val="FFFFFF"/>
                <w:sz w:val="20"/>
                <w:szCs w:val="20"/>
              </w:rPr>
            </w:pPr>
            <w:r>
              <w:rPr>
                <w:b/>
                <w:color w:val="FFFFFF"/>
                <w:sz w:val="20"/>
                <w:szCs w:val="20"/>
              </w:rPr>
              <w:t>Project Manager</w:t>
            </w:r>
          </w:p>
        </w:tc>
        <w:tc>
          <w:tcPr>
            <w:tcW w:w="5100" w:type="dxa"/>
            <w:shd w:val="clear" w:color="auto" w:fill="auto"/>
            <w:tcMar>
              <w:top w:w="100" w:type="dxa"/>
              <w:left w:w="100" w:type="dxa"/>
              <w:bottom w:w="100" w:type="dxa"/>
              <w:right w:w="100" w:type="dxa"/>
            </w:tcMar>
          </w:tcPr>
          <w:p w14:paraId="276F0BF3" w14:textId="77777777" w:rsidR="009A6B3D" w:rsidRDefault="00000000">
            <w:pPr>
              <w:widowControl w:val="0"/>
              <w:spacing w:line="240" w:lineRule="auto"/>
              <w:rPr>
                <w:sz w:val="20"/>
                <w:szCs w:val="20"/>
              </w:rPr>
            </w:pPr>
            <w:r>
              <w:rPr>
                <w:sz w:val="20"/>
                <w:szCs w:val="20"/>
              </w:rPr>
              <w:t>Peter Eakin</w:t>
            </w:r>
          </w:p>
        </w:tc>
      </w:tr>
    </w:tbl>
    <w:p w14:paraId="6F2D4C4C" w14:textId="77777777" w:rsidR="009A6B3D" w:rsidRDefault="009A6B3D">
      <w:pPr>
        <w:pStyle w:val="Heading1"/>
        <w:rPr>
          <w:i/>
          <w:sz w:val="26"/>
          <w:szCs w:val="26"/>
        </w:rPr>
      </w:pPr>
      <w:bookmarkStart w:id="1" w:name="_7tv8ijujvv1n" w:colFirst="0" w:colLast="0"/>
      <w:bookmarkEnd w:id="1"/>
    </w:p>
    <w:p w14:paraId="37D4EC7B" w14:textId="77777777" w:rsidR="009A6B3D" w:rsidRDefault="00000000">
      <w:pPr>
        <w:spacing w:after="200"/>
      </w:pPr>
      <w:r>
        <w:rPr>
          <w:b/>
          <w:sz w:val="28"/>
          <w:szCs w:val="28"/>
        </w:rPr>
        <w:t>Table of Contents</w:t>
      </w:r>
    </w:p>
    <w:sdt>
      <w:sdtPr>
        <w:id w:val="-1426642627"/>
        <w:docPartObj>
          <w:docPartGallery w:val="Table of Contents"/>
          <w:docPartUnique/>
        </w:docPartObj>
      </w:sdtPr>
      <w:sdtContent>
        <w:p w14:paraId="7E8101AC" w14:textId="77777777" w:rsidR="009A6B3D" w:rsidRDefault="0000000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562osxf6rdcv">
            <w:r>
              <w:rPr>
                <w:color w:val="000000"/>
              </w:rPr>
              <w:t>Status of This Document</w:t>
            </w:r>
            <w:r>
              <w:rPr>
                <w:color w:val="000000"/>
              </w:rPr>
              <w:tab/>
              <w:t>2</w:t>
            </w:r>
          </w:hyperlink>
        </w:p>
        <w:p w14:paraId="362A1F44" w14:textId="77777777" w:rsidR="009A6B3D" w:rsidRDefault="00000000">
          <w:pPr>
            <w:widowControl w:val="0"/>
            <w:tabs>
              <w:tab w:val="right" w:pos="12000"/>
            </w:tabs>
            <w:spacing w:before="60" w:line="240" w:lineRule="auto"/>
            <w:rPr>
              <w:b/>
              <w:color w:val="000000"/>
            </w:rPr>
          </w:pPr>
          <w:hyperlink w:anchor="_eq79sie6js2t">
            <w:r>
              <w:rPr>
                <w:color w:val="000000"/>
              </w:rPr>
              <w:t>Policy Implementation Overview</w:t>
            </w:r>
            <w:r>
              <w:rPr>
                <w:color w:val="000000"/>
              </w:rPr>
              <w:tab/>
              <w:t>2</w:t>
            </w:r>
          </w:hyperlink>
        </w:p>
        <w:p w14:paraId="08FE503E" w14:textId="77777777" w:rsidR="009A6B3D" w:rsidRDefault="00000000">
          <w:pPr>
            <w:widowControl w:val="0"/>
            <w:tabs>
              <w:tab w:val="right" w:pos="12000"/>
            </w:tabs>
            <w:spacing w:before="60" w:line="240" w:lineRule="auto"/>
            <w:ind w:left="360"/>
            <w:rPr>
              <w:color w:val="000000"/>
            </w:rPr>
          </w:pPr>
          <w:hyperlink w:anchor="_ov7l8y3wl2jv">
            <w:r>
              <w:rPr>
                <w:color w:val="000000"/>
              </w:rPr>
              <w:t>Background</w:t>
            </w:r>
            <w:r>
              <w:rPr>
                <w:color w:val="000000"/>
              </w:rPr>
              <w:tab/>
              <w:t>2</w:t>
            </w:r>
          </w:hyperlink>
        </w:p>
        <w:p w14:paraId="1F591A84" w14:textId="77777777" w:rsidR="009A6B3D" w:rsidRDefault="00000000">
          <w:pPr>
            <w:widowControl w:val="0"/>
            <w:tabs>
              <w:tab w:val="right" w:pos="12000"/>
            </w:tabs>
            <w:spacing w:before="60" w:line="240" w:lineRule="auto"/>
            <w:ind w:left="360"/>
            <w:rPr>
              <w:color w:val="000000"/>
            </w:rPr>
          </w:pPr>
          <w:hyperlink w:anchor="_tb97cs9s5o8q">
            <w:r>
              <w:rPr>
                <w:color w:val="000000"/>
              </w:rPr>
              <w:t>Purpose</w:t>
            </w:r>
            <w:r>
              <w:rPr>
                <w:color w:val="000000"/>
              </w:rPr>
              <w:tab/>
              <w:t>3</w:t>
            </w:r>
          </w:hyperlink>
        </w:p>
        <w:p w14:paraId="385AF213" w14:textId="77777777" w:rsidR="009A6B3D" w:rsidRDefault="00000000">
          <w:pPr>
            <w:widowControl w:val="0"/>
            <w:tabs>
              <w:tab w:val="right" w:pos="12000"/>
            </w:tabs>
            <w:spacing w:before="60" w:line="240" w:lineRule="auto"/>
            <w:rPr>
              <w:b/>
              <w:color w:val="000000"/>
            </w:rPr>
          </w:pPr>
          <w:hyperlink w:anchor="_yaa6ny12tll6">
            <w:r>
              <w:rPr>
                <w:b/>
                <w:color w:val="000000"/>
              </w:rPr>
              <w:t>The Implementation Review Team</w:t>
            </w:r>
            <w:r>
              <w:rPr>
                <w:b/>
                <w:color w:val="000000"/>
              </w:rPr>
              <w:tab/>
              <w:t>3</w:t>
            </w:r>
          </w:hyperlink>
        </w:p>
        <w:p w14:paraId="14059E9E" w14:textId="77777777" w:rsidR="009A6B3D" w:rsidRDefault="00000000">
          <w:pPr>
            <w:widowControl w:val="0"/>
            <w:tabs>
              <w:tab w:val="right" w:pos="12000"/>
            </w:tabs>
            <w:spacing w:before="60" w:line="240" w:lineRule="auto"/>
            <w:ind w:left="360"/>
            <w:rPr>
              <w:color w:val="000000"/>
            </w:rPr>
          </w:pPr>
          <w:hyperlink w:anchor="_dubnm8vf7sfa">
            <w:r>
              <w:rPr>
                <w:color w:val="000000"/>
              </w:rPr>
              <w:t>Role</w:t>
            </w:r>
            <w:r>
              <w:rPr>
                <w:color w:val="000000"/>
              </w:rPr>
              <w:tab/>
              <w:t>4</w:t>
            </w:r>
          </w:hyperlink>
        </w:p>
        <w:p w14:paraId="36A2D377" w14:textId="77777777" w:rsidR="009A6B3D" w:rsidRDefault="00000000">
          <w:pPr>
            <w:widowControl w:val="0"/>
            <w:tabs>
              <w:tab w:val="right" w:pos="12000"/>
            </w:tabs>
            <w:spacing w:before="60" w:line="240" w:lineRule="auto"/>
            <w:ind w:left="360"/>
            <w:rPr>
              <w:color w:val="000000"/>
            </w:rPr>
          </w:pPr>
          <w:hyperlink w:anchor="_6sqqhpqbyw42">
            <w:r>
              <w:rPr>
                <w:color w:val="000000"/>
              </w:rPr>
              <w:t>Participation</w:t>
            </w:r>
            <w:r>
              <w:rPr>
                <w:color w:val="000000"/>
              </w:rPr>
              <w:tab/>
              <w:t>4</w:t>
            </w:r>
          </w:hyperlink>
        </w:p>
        <w:p w14:paraId="1F973B53" w14:textId="77777777" w:rsidR="009A6B3D" w:rsidRDefault="00000000">
          <w:pPr>
            <w:widowControl w:val="0"/>
            <w:tabs>
              <w:tab w:val="right" w:pos="12000"/>
            </w:tabs>
            <w:spacing w:before="60" w:line="240" w:lineRule="auto"/>
            <w:ind w:left="360"/>
            <w:rPr>
              <w:color w:val="000000"/>
            </w:rPr>
          </w:pPr>
          <w:hyperlink w:anchor="_7ept37ytujtv">
            <w:r>
              <w:rPr>
                <w:color w:val="000000"/>
              </w:rPr>
              <w:t>Deliverables</w:t>
            </w:r>
            <w:r>
              <w:rPr>
                <w:color w:val="000000"/>
              </w:rPr>
              <w:tab/>
              <w:t>5</w:t>
            </w:r>
          </w:hyperlink>
        </w:p>
        <w:p w14:paraId="07CB9062" w14:textId="77777777" w:rsidR="009A6B3D" w:rsidRDefault="00000000">
          <w:pPr>
            <w:widowControl w:val="0"/>
            <w:tabs>
              <w:tab w:val="right" w:pos="12000"/>
            </w:tabs>
            <w:spacing w:before="60" w:line="240" w:lineRule="auto"/>
            <w:ind w:left="720"/>
            <w:rPr>
              <w:color w:val="000000"/>
            </w:rPr>
          </w:pPr>
          <w:hyperlink w:anchor="_m7e3c6ld5x9u">
            <w:r>
              <w:rPr>
                <w:color w:val="000000"/>
              </w:rPr>
              <w:t>High-Level Timeline</w:t>
            </w:r>
            <w:r>
              <w:rPr>
                <w:color w:val="000000"/>
              </w:rPr>
              <w:tab/>
              <w:t>5</w:t>
            </w:r>
          </w:hyperlink>
        </w:p>
        <w:p w14:paraId="276EC00B" w14:textId="77777777" w:rsidR="009A6B3D" w:rsidRDefault="00000000">
          <w:pPr>
            <w:widowControl w:val="0"/>
            <w:tabs>
              <w:tab w:val="right" w:pos="12000"/>
            </w:tabs>
            <w:spacing w:before="60" w:line="240" w:lineRule="auto"/>
            <w:ind w:left="360"/>
            <w:rPr>
              <w:color w:val="000000"/>
            </w:rPr>
          </w:pPr>
          <w:hyperlink w:anchor="_5yr6mgfmy4mf">
            <w:r>
              <w:rPr>
                <w:color w:val="000000"/>
              </w:rPr>
              <w:t>ICANN org Resources / Functions impacted by the Implementation of IGO-INGO Curative Rights Policy Recommendations</w:t>
            </w:r>
            <w:r>
              <w:rPr>
                <w:color w:val="000000"/>
              </w:rPr>
              <w:tab/>
              <w:t>7</w:t>
            </w:r>
          </w:hyperlink>
        </w:p>
        <w:p w14:paraId="5ECA2190" w14:textId="77777777" w:rsidR="009A6B3D" w:rsidRDefault="00000000">
          <w:pPr>
            <w:widowControl w:val="0"/>
            <w:tabs>
              <w:tab w:val="right" w:pos="12000"/>
            </w:tabs>
            <w:spacing w:before="60" w:line="240" w:lineRule="auto"/>
            <w:rPr>
              <w:b/>
              <w:color w:val="000000"/>
            </w:rPr>
          </w:pPr>
          <w:hyperlink w:anchor="_6rbxvkgvt9jo">
            <w:r>
              <w:rPr>
                <w:b/>
                <w:color w:val="000000"/>
              </w:rPr>
              <w:t>Summary of Recommendations</w:t>
            </w:r>
            <w:r>
              <w:rPr>
                <w:b/>
                <w:color w:val="000000"/>
              </w:rPr>
              <w:tab/>
              <w:t>7</w:t>
            </w:r>
          </w:hyperlink>
        </w:p>
        <w:p w14:paraId="0B767AAA" w14:textId="77777777" w:rsidR="009A6B3D" w:rsidRDefault="00000000">
          <w:pPr>
            <w:widowControl w:val="0"/>
            <w:tabs>
              <w:tab w:val="right" w:pos="12000"/>
            </w:tabs>
            <w:spacing w:before="60" w:line="240" w:lineRule="auto"/>
            <w:ind w:left="360"/>
            <w:rPr>
              <w:color w:val="000000"/>
            </w:rPr>
          </w:pPr>
          <w:hyperlink w:anchor="_g7p8m3p6sesg">
            <w:r>
              <w:rPr>
                <w:color w:val="000000"/>
              </w:rPr>
              <w:t>ICANN org Implementation Assumptions</w:t>
            </w:r>
            <w:r>
              <w:rPr>
                <w:color w:val="000000"/>
              </w:rPr>
              <w:tab/>
              <w:t>8</w:t>
            </w:r>
          </w:hyperlink>
        </w:p>
        <w:p w14:paraId="5B4C8E11" w14:textId="77777777" w:rsidR="009A6B3D" w:rsidRDefault="00000000">
          <w:pPr>
            <w:widowControl w:val="0"/>
            <w:tabs>
              <w:tab w:val="right" w:pos="12000"/>
            </w:tabs>
            <w:spacing w:before="60" w:line="240" w:lineRule="auto"/>
            <w:ind w:left="360"/>
            <w:rPr>
              <w:color w:val="000000"/>
            </w:rPr>
          </w:pPr>
          <w:hyperlink w:anchor="_k86ljdbqngil">
            <w:r>
              <w:rPr>
                <w:color w:val="000000"/>
              </w:rPr>
              <w:t>Summary of Adopted Recommendations and Proposed ICANN org approach</w:t>
            </w:r>
            <w:r>
              <w:rPr>
                <w:color w:val="000000"/>
              </w:rPr>
              <w:tab/>
              <w:t>9</w:t>
            </w:r>
          </w:hyperlink>
        </w:p>
        <w:p w14:paraId="22F318DD" w14:textId="77777777" w:rsidR="009A6B3D" w:rsidRDefault="00000000">
          <w:pPr>
            <w:widowControl w:val="0"/>
            <w:tabs>
              <w:tab w:val="right" w:pos="12000"/>
            </w:tabs>
            <w:spacing w:before="60" w:line="240" w:lineRule="auto"/>
            <w:ind w:left="360"/>
            <w:rPr>
              <w:color w:val="000000"/>
            </w:rPr>
          </w:pPr>
          <w:hyperlink w:anchor="_fpzvvfxojtw4">
            <w:r>
              <w:rPr>
                <w:color w:val="000000"/>
              </w:rPr>
              <w:t>Provisional IRT Meeting Schedule</w:t>
            </w:r>
            <w:r>
              <w:rPr>
                <w:color w:val="000000"/>
              </w:rPr>
              <w:tab/>
              <w:t>12</w:t>
            </w:r>
          </w:hyperlink>
        </w:p>
        <w:p w14:paraId="630DA555" w14:textId="77777777" w:rsidR="009A6B3D" w:rsidRDefault="00000000">
          <w:pPr>
            <w:widowControl w:val="0"/>
            <w:tabs>
              <w:tab w:val="right" w:pos="12000"/>
            </w:tabs>
            <w:spacing w:before="60" w:line="240" w:lineRule="auto"/>
            <w:ind w:left="360"/>
            <w:rPr>
              <w:color w:val="000000"/>
            </w:rPr>
          </w:pPr>
          <w:hyperlink w:anchor="_yj0ppyto5yy0">
            <w:r>
              <w:rPr>
                <w:color w:val="000000"/>
              </w:rPr>
              <w:t>Resources</w:t>
            </w:r>
            <w:r>
              <w:rPr>
                <w:color w:val="000000"/>
              </w:rPr>
              <w:tab/>
              <w:t>13</w:t>
            </w:r>
          </w:hyperlink>
          <w:r>
            <w:fldChar w:fldCharType="end"/>
          </w:r>
        </w:p>
      </w:sdtContent>
    </w:sdt>
    <w:p w14:paraId="1D8C9FEC" w14:textId="77777777" w:rsidR="009A6B3D" w:rsidRDefault="009A6B3D">
      <w:pPr>
        <w:pStyle w:val="Heading1"/>
      </w:pPr>
      <w:bookmarkStart w:id="2" w:name="_zcndtih1fqrx" w:colFirst="0" w:colLast="0"/>
      <w:bookmarkEnd w:id="2"/>
    </w:p>
    <w:p w14:paraId="36DFE5BF" w14:textId="77777777" w:rsidR="009A6B3D" w:rsidRDefault="00000000">
      <w:pPr>
        <w:pStyle w:val="Heading1"/>
      </w:pPr>
      <w:bookmarkStart w:id="3" w:name="_ngcgc662x6pj" w:colFirst="0" w:colLast="0"/>
      <w:bookmarkEnd w:id="3"/>
      <w:r>
        <w:br w:type="page"/>
      </w:r>
    </w:p>
    <w:p w14:paraId="467D8F07" w14:textId="77777777" w:rsidR="009A6B3D" w:rsidRDefault="00000000">
      <w:pPr>
        <w:pStyle w:val="Heading2"/>
      </w:pPr>
      <w:bookmarkStart w:id="4" w:name="_562osxf6rdcv" w:colFirst="0" w:colLast="0"/>
      <w:bookmarkEnd w:id="4"/>
      <w:r>
        <w:lastRenderedPageBreak/>
        <w:t>Status of This Document</w:t>
      </w:r>
    </w:p>
    <w:p w14:paraId="59E4D3B0" w14:textId="77777777" w:rsidR="009A6B3D" w:rsidRDefault="009A6B3D"/>
    <w:p w14:paraId="3A99E01A" w14:textId="77777777" w:rsidR="009A6B3D" w:rsidRDefault="00000000">
      <w:r>
        <w:t>This document is a Policy Implementation Plan (“the Plan”) for the four recommendations from the PDP on IGO-INGO Access to Curative Rights Protection Mechanisms and the five recommendations from the EPDP on Specific Curative Rights Protections for IGOs approved by the GNSO Council and adopted by the ICANN Board on 30 April 2023.</w:t>
      </w:r>
    </w:p>
    <w:p w14:paraId="3C372521" w14:textId="77777777" w:rsidR="009A6B3D" w:rsidRDefault="009A6B3D"/>
    <w:p w14:paraId="2A983B1B" w14:textId="77777777" w:rsidR="009A6B3D" w:rsidRDefault="00000000">
      <w:pPr>
        <w:pStyle w:val="Heading2"/>
      </w:pPr>
      <w:bookmarkStart w:id="5" w:name="_eq79sie6js2t" w:colFirst="0" w:colLast="0"/>
      <w:bookmarkEnd w:id="5"/>
      <w:r>
        <w:t>Policy Implementation Overview</w:t>
      </w:r>
    </w:p>
    <w:p w14:paraId="2D2045AA" w14:textId="77777777" w:rsidR="009A6B3D" w:rsidRDefault="009A6B3D">
      <w:pPr>
        <w:pStyle w:val="Heading2"/>
      </w:pPr>
      <w:bookmarkStart w:id="6" w:name="_erq9xjpxokuy" w:colFirst="0" w:colLast="0"/>
      <w:bookmarkEnd w:id="6"/>
    </w:p>
    <w:p w14:paraId="4A1D4FD7" w14:textId="77777777" w:rsidR="009A6B3D" w:rsidRDefault="00000000">
      <w:pPr>
        <w:pStyle w:val="Heading3"/>
      </w:pPr>
      <w:bookmarkStart w:id="7" w:name="_ov7l8y3wl2jv" w:colFirst="0" w:colLast="0"/>
      <w:bookmarkEnd w:id="7"/>
      <w:r>
        <w:t>Background</w:t>
      </w:r>
    </w:p>
    <w:p w14:paraId="618CD713" w14:textId="77777777" w:rsidR="009A6B3D" w:rsidRDefault="009A6B3D"/>
    <w:p w14:paraId="7323EA49" w14:textId="77777777" w:rsidR="009A6B3D" w:rsidRDefault="00000000">
      <w:pPr>
        <w:widowControl w:val="0"/>
      </w:pPr>
      <w:r>
        <w:t xml:space="preserve">In April 2014, following an initial Generic Names Supporting Organization (GNSO) Policy Development Process (PDP) on Protection of International Governmental Organizations (IGOs) and International Non-Governmental Organizations (INGOs) Identifiers in All gTLDs conducted between October 2012 and November 2013, the Board voted to adopt several GNSO PDP recommendations concerning top and second level protections for the full names of IGOs on a list prepared by the GAC. Those recommendations are now the subject of an ICANN Consensus </w:t>
      </w:r>
      <w:hyperlink r:id="rId7">
        <w:r>
          <w:rPr>
            <w:color w:val="1155CC"/>
            <w:u w:val="single"/>
          </w:rPr>
          <w:t>Policy</w:t>
        </w:r>
      </w:hyperlink>
      <w:r>
        <w:t xml:space="preserve"> (effective 1 August 2018).</w:t>
      </w:r>
    </w:p>
    <w:p w14:paraId="43DFF26C" w14:textId="77777777" w:rsidR="009A6B3D" w:rsidRDefault="009A6B3D">
      <w:pPr>
        <w:widowControl w:val="0"/>
      </w:pPr>
    </w:p>
    <w:p w14:paraId="0163F57A" w14:textId="77777777" w:rsidR="009A6B3D" w:rsidRDefault="00000000">
      <w:pPr>
        <w:widowControl w:val="0"/>
      </w:pPr>
      <w:r>
        <w:t xml:space="preserve">On 5 June 2014, and based on a recommendation from the original IGO-INGO PDP, the GNSO Council </w:t>
      </w:r>
      <w:hyperlink r:id="rId8" w:anchor="20140605-2">
        <w:r>
          <w:rPr>
            <w:color w:val="1155CC"/>
            <w:u w:val="single"/>
          </w:rPr>
          <w:t>resolved</w:t>
        </w:r>
      </w:hyperlink>
      <w:r>
        <w:t xml:space="preserve"> to initiate a PDP to evaluate whether ICANN's second-level dispute resolution mechanisms, the Uniform Domain Name Dispute Resolution Policy (UDRP) and the Uniform Rapid Suspension System (URS), should be amended to enable their access and use by IGOs and INGOs, or if a separate, narrowly-tailored procedure modeled on these curative rights protection measures should be developed to apply only to protected IGO and INGO identifiers. On 17 July 2018, the GNSO IGO-INGO Access to Curative Rights Protection Mechanisms PDP Working Group completed its work and submitted its Final </w:t>
      </w:r>
      <w:hyperlink r:id="rId9">
        <w:r>
          <w:rPr>
            <w:color w:val="1155CC"/>
            <w:u w:val="single"/>
          </w:rPr>
          <w:t>Report</w:t>
        </w:r>
      </w:hyperlink>
      <w:r>
        <w:t xml:space="preserve"> to the GNSO Council.</w:t>
      </w:r>
    </w:p>
    <w:p w14:paraId="72CCED6F" w14:textId="77777777" w:rsidR="009A6B3D" w:rsidRDefault="009A6B3D">
      <w:pPr>
        <w:widowControl w:val="0"/>
      </w:pPr>
    </w:p>
    <w:p w14:paraId="3ABDAA4B" w14:textId="77777777" w:rsidR="009A6B3D" w:rsidRDefault="00000000">
      <w:pPr>
        <w:widowControl w:val="0"/>
      </w:pPr>
      <w:r>
        <w:t xml:space="preserve">On 18 April 2019, the GNSO Council </w:t>
      </w:r>
      <w:hyperlink r:id="rId10" w:anchor="201905">
        <w:r>
          <w:rPr>
            <w:color w:val="1155CC"/>
            <w:u w:val="single"/>
          </w:rPr>
          <w:t>approved</w:t>
        </w:r>
      </w:hyperlink>
      <w:r>
        <w:t xml:space="preserve"> the first four recommendations from the PDP Working Group and directed that additional policy work be conducted on the subject of the fifth recommendation that it decided not to approve. With respect to this Recommendation #5, the GNSO Council directed the Review of All Rights Protection Mechanisms (RPMs) PDP Working Group to consider, as part of its Phase 2 work, whether an appropriate policy solution can be developed that is generally consistent with the four recommendations that the GNSO Council approved and in line with specific considerations laid out by the GNSO Council, including recognizing the possibility that an IGO may have jurisdictional immunity in some circumstances. This resulted in the GNSO Council's </w:t>
      </w:r>
      <w:hyperlink r:id="rId11" w:anchor="20210819-2">
        <w:r>
          <w:rPr>
            <w:color w:val="1155CC"/>
            <w:u w:val="single"/>
          </w:rPr>
          <w:t>chartering</w:t>
        </w:r>
      </w:hyperlink>
      <w:r>
        <w:t xml:space="preserve"> of an Expedited PDP (EPDP) on Specific Curative Rights Protections for IGOs in August 2021. </w:t>
      </w:r>
    </w:p>
    <w:p w14:paraId="193AE514" w14:textId="77777777" w:rsidR="009A6B3D" w:rsidRDefault="009A6B3D">
      <w:pPr>
        <w:widowControl w:val="0"/>
      </w:pPr>
    </w:p>
    <w:p w14:paraId="0372DDFA" w14:textId="77777777" w:rsidR="009A6B3D" w:rsidRDefault="00000000">
      <w:pPr>
        <w:widowControl w:val="0"/>
      </w:pPr>
      <w:r>
        <w:t xml:space="preserve">On 4 April 2022, the EPDP on Specific Curative Rights Protections for IGOs completed its work and submitted its Final </w:t>
      </w:r>
      <w:hyperlink r:id="rId12">
        <w:r>
          <w:rPr>
            <w:color w:val="1155CC"/>
            <w:u w:val="single"/>
          </w:rPr>
          <w:t>Report</w:t>
        </w:r>
      </w:hyperlink>
      <w:r>
        <w:t xml:space="preserve"> to the GNSO Council. </w:t>
      </w:r>
    </w:p>
    <w:p w14:paraId="68BA6BA7" w14:textId="77777777" w:rsidR="009A6B3D" w:rsidRDefault="009A6B3D"/>
    <w:p w14:paraId="52C0C979" w14:textId="77777777" w:rsidR="009A6B3D" w:rsidRDefault="00000000">
      <w:r>
        <w:lastRenderedPageBreak/>
        <w:t>On 30 April 2023, the ICANN Board passed a resolution on nine GNSO Council approved policy recommendations relating to curative rights protections for the names and acronyms associated with international governmental and non-governmental organizations (IGOs and INGOs), encompassing:</w:t>
      </w:r>
    </w:p>
    <w:p w14:paraId="48FDFEB3" w14:textId="77777777" w:rsidR="009A6B3D" w:rsidRDefault="009A6B3D"/>
    <w:p w14:paraId="5320E767" w14:textId="77777777" w:rsidR="009A6B3D" w:rsidRDefault="00000000">
      <w:pPr>
        <w:numPr>
          <w:ilvl w:val="0"/>
          <w:numId w:val="9"/>
        </w:numPr>
      </w:pPr>
      <w:r>
        <w:t xml:space="preserve">four recommendations from the </w:t>
      </w:r>
      <w:hyperlink r:id="rId13">
        <w:r>
          <w:rPr>
            <w:color w:val="1155CC"/>
            <w:u w:val="single"/>
          </w:rPr>
          <w:t>PDP on IGO-INGO Access to Curative Rights Protection Mechanisms</w:t>
        </w:r>
      </w:hyperlink>
      <w:r>
        <w:t xml:space="preserve">, and </w:t>
      </w:r>
    </w:p>
    <w:p w14:paraId="305A341C" w14:textId="77777777" w:rsidR="009A6B3D" w:rsidRDefault="00000000">
      <w:pPr>
        <w:numPr>
          <w:ilvl w:val="0"/>
          <w:numId w:val="9"/>
        </w:numPr>
      </w:pPr>
      <w:r>
        <w:t xml:space="preserve">five recommendations from the </w:t>
      </w:r>
      <w:hyperlink r:id="rId14">
        <w:r>
          <w:rPr>
            <w:color w:val="1155CC"/>
            <w:u w:val="single"/>
          </w:rPr>
          <w:t>EPDP on Specific Curative Rights Protections for IGOs</w:t>
        </w:r>
      </w:hyperlink>
      <w:r>
        <w:t>.</w:t>
      </w:r>
    </w:p>
    <w:p w14:paraId="0F8DD9E9" w14:textId="77777777" w:rsidR="009A6B3D" w:rsidRDefault="009A6B3D"/>
    <w:p w14:paraId="4FED7AEA" w14:textId="77777777" w:rsidR="009A6B3D" w:rsidRDefault="00000000">
      <w:r>
        <w:t xml:space="preserve">In its </w:t>
      </w:r>
      <w:hyperlink r:id="rId15">
        <w:r>
          <w:rPr>
            <w:color w:val="1155CC"/>
            <w:u w:val="single"/>
          </w:rPr>
          <w:t>resolution</w:t>
        </w:r>
      </w:hyperlink>
      <w:r>
        <w:t>, the Board directed ICANN org to “proceed with the implementation of these recommendations as soon as feasible.” In Q1 2024, ICANN org produced a Project Charter, including estimates on staffing, resources and timelines, for approval. Work on establishing an Implementation Review Team (IRT) composed of community volunteers with extensive knowledge of the PDP and EPDP policy recommendations and background began in Q3 2024. The IRT was formally established in Q1 2025 to assist staff in ensuring that policy implementation activities conform to the intent of the policy recommendations from the PDP and EPDP.</w:t>
      </w:r>
    </w:p>
    <w:p w14:paraId="6491307B" w14:textId="77777777" w:rsidR="009A6B3D" w:rsidRDefault="009A6B3D"/>
    <w:p w14:paraId="30FDD7D8" w14:textId="77777777" w:rsidR="009A6B3D" w:rsidRDefault="00000000">
      <w:pPr>
        <w:pStyle w:val="Heading3"/>
      </w:pPr>
      <w:bookmarkStart w:id="8" w:name="_tb97cs9s5o8q" w:colFirst="0" w:colLast="0"/>
      <w:bookmarkEnd w:id="8"/>
      <w:r>
        <w:t>Purpose</w:t>
      </w:r>
    </w:p>
    <w:p w14:paraId="154E484C" w14:textId="77777777" w:rsidR="009A6B3D" w:rsidRDefault="009A6B3D"/>
    <w:p w14:paraId="77384261" w14:textId="77777777" w:rsidR="009A6B3D" w:rsidRDefault="00000000">
      <w:pPr>
        <w:rPr>
          <w:rFonts w:ascii="Cambria" w:eastAsia="Cambria" w:hAnsi="Cambria" w:cs="Cambria"/>
        </w:rPr>
      </w:pPr>
      <w:r>
        <w:t>The Board adopted GNSO recommendations to strengthen existing gTLD rights protection mechanisms to accommodate IGOs and INGOs, whose names may not be subject to trademark protections. As such organizations are not usually subject to courts’ jurisdiction, the ICANN community has recommended that existing rights protection mechanisms be supplemented to permit these entities to bring claims under the UDRP/URS and to provide a mechanism for the appeal of decisions involving these entities.</w:t>
      </w:r>
    </w:p>
    <w:p w14:paraId="44577AF9" w14:textId="77777777" w:rsidR="009A6B3D" w:rsidRDefault="009A6B3D"/>
    <w:p w14:paraId="6B15867C" w14:textId="77777777" w:rsidR="009A6B3D" w:rsidRDefault="00000000">
      <w:r>
        <w:t>Implementation of these recommendations will facilitate amendments by ICANN org to the UDRP and URS Rules to provide additional measures for IGOs and INGOs with respect to these curative rights protection mechanisms. IGOs and INGOs that meet the criteria in the updated URS and UDRP Rules will be able to use these second-level dispute resolution mechanisms to address abusive registrations and use of domain names relating to their missions. Implementation of these policy recommendations is also a dependency for next steps relating to IGO acronyms that are currently withheld from registration.</w:t>
      </w:r>
    </w:p>
    <w:p w14:paraId="33D52FB2" w14:textId="77777777" w:rsidR="009A6B3D" w:rsidRDefault="009A6B3D"/>
    <w:p w14:paraId="149381D4" w14:textId="77777777" w:rsidR="009A6B3D" w:rsidRDefault="00000000">
      <w:pPr>
        <w:pStyle w:val="Heading2"/>
      </w:pPr>
      <w:bookmarkStart w:id="9" w:name="_yaa6ny12tll6" w:colFirst="0" w:colLast="0"/>
      <w:bookmarkEnd w:id="9"/>
      <w:r>
        <w:t>The Implementation Review Team</w:t>
      </w:r>
    </w:p>
    <w:p w14:paraId="79E86466" w14:textId="77777777" w:rsidR="009A6B3D" w:rsidRDefault="009A6B3D">
      <w:pPr>
        <w:pStyle w:val="Heading3"/>
      </w:pPr>
      <w:bookmarkStart w:id="10" w:name="_p79vyx5k4qwv" w:colFirst="0" w:colLast="0"/>
      <w:bookmarkEnd w:id="10"/>
    </w:p>
    <w:p w14:paraId="63609AB5" w14:textId="77777777" w:rsidR="009A6B3D" w:rsidRDefault="00000000">
      <w:pPr>
        <w:pStyle w:val="Heading3"/>
      </w:pPr>
      <w:bookmarkStart w:id="11" w:name="_dubnm8vf7sfa" w:colFirst="0" w:colLast="0"/>
      <w:bookmarkEnd w:id="11"/>
      <w:r>
        <w:t>Role</w:t>
      </w:r>
    </w:p>
    <w:p w14:paraId="0C1C0320" w14:textId="77777777" w:rsidR="009A6B3D" w:rsidRDefault="009A6B3D"/>
    <w:p w14:paraId="29B08F49" w14:textId="77777777" w:rsidR="009A6B3D" w:rsidRDefault="00000000">
      <w:r>
        <w:t xml:space="preserve">The role of the IRT is to assist ICANN org in this Policy Implementation project. As stated in the </w:t>
      </w:r>
      <w:hyperlink r:id="rId16">
        <w:r>
          <w:rPr>
            <w:color w:val="1155CC"/>
            <w:u w:val="single"/>
          </w:rPr>
          <w:t>Consensus Policy Implementation Framework (CPIF)</w:t>
        </w:r>
      </w:hyperlink>
      <w:r>
        <w:t xml:space="preserve"> and the </w:t>
      </w:r>
      <w:hyperlink r:id="rId17">
        <w:r>
          <w:rPr>
            <w:color w:val="1155CC"/>
            <w:u w:val="single"/>
          </w:rPr>
          <w:t>IRT Principles &amp; Guidelines</w:t>
        </w:r>
      </w:hyperlink>
      <w:r>
        <w:t xml:space="preserve">, the IRT members: </w:t>
      </w:r>
    </w:p>
    <w:p w14:paraId="7575A0E2" w14:textId="77777777" w:rsidR="009A6B3D" w:rsidRDefault="009A6B3D"/>
    <w:p w14:paraId="3CA9F53D" w14:textId="77777777" w:rsidR="009A6B3D" w:rsidRDefault="00000000">
      <w:pPr>
        <w:numPr>
          <w:ilvl w:val="0"/>
          <w:numId w:val="8"/>
        </w:numPr>
      </w:pPr>
      <w:r>
        <w:lastRenderedPageBreak/>
        <w:t>Serve as a resource to ICANN org staff on policy and technical questions that arise with regard to the Board-approved recommendations of the PDP and EPDP.</w:t>
      </w:r>
    </w:p>
    <w:p w14:paraId="5F31F7CE" w14:textId="77777777" w:rsidR="009A6B3D" w:rsidRDefault="00000000">
      <w:pPr>
        <w:numPr>
          <w:ilvl w:val="0"/>
          <w:numId w:val="8"/>
        </w:numPr>
      </w:pPr>
      <w:r>
        <w:t>Serve as a resource to ICANN org staff on the background and rationale of the PDP and EPDP policy recommendations and return to the GNSO Council for additional guidance as required.</w:t>
      </w:r>
    </w:p>
    <w:p w14:paraId="1AFC8117" w14:textId="77777777" w:rsidR="009A6B3D" w:rsidRDefault="00000000">
      <w:pPr>
        <w:numPr>
          <w:ilvl w:val="0"/>
          <w:numId w:val="8"/>
        </w:numPr>
      </w:pPr>
      <w:r>
        <w:t>Assist ICANN org staff in developing the implementation details for the policy to ensure that the implementation conforms to the intent of the policy recommendations as detailed in the PDP and EPDP Final Reports.</w:t>
      </w:r>
      <w:r>
        <w:rPr>
          <w:vertAlign w:val="superscript"/>
        </w:rPr>
        <w:footnoteReference w:id="1"/>
      </w:r>
    </w:p>
    <w:p w14:paraId="63F10E5E" w14:textId="77777777" w:rsidR="009A6B3D" w:rsidRDefault="009A6B3D"/>
    <w:p w14:paraId="31C12323" w14:textId="77777777" w:rsidR="009A6B3D" w:rsidRDefault="00000000">
      <w:pPr>
        <w:shd w:val="clear" w:color="auto" w:fill="FEFEFE"/>
        <w:spacing w:after="360"/>
      </w:pPr>
      <w:r>
        <w:t xml:space="preserve">Given the complexity of the legal issues involved in this implementation project, ICANN org, with the agreement of the GNSO Council, convened a small number of community volunteers identified as possessing the specialized knowledge of the policy recommendations and background required to support this work. These individuals included former members of the </w:t>
      </w:r>
      <w:hyperlink r:id="rId18">
        <w:r>
          <w:t>PDP</w:t>
        </w:r>
      </w:hyperlink>
      <w:r>
        <w:t xml:space="preserve"> on IGO-INGO Access to Curative Rights Protection Mechanisms and/or EPDP on Specific Curative Rights Protections for IGOs, and community members with expertise in the substantive and procedural rules governing arbitration proceedings and experience in the UDRP, URS and online arbitration processes. </w:t>
      </w:r>
    </w:p>
    <w:p w14:paraId="596DBA46" w14:textId="77777777" w:rsidR="009A6B3D" w:rsidRDefault="00000000">
      <w:pPr>
        <w:pStyle w:val="Heading3"/>
        <w:shd w:val="clear" w:color="auto" w:fill="FEFEFE"/>
        <w:spacing w:after="360"/>
      </w:pPr>
      <w:bookmarkStart w:id="12" w:name="_6sqqhpqbyw42" w:colFirst="0" w:colLast="0"/>
      <w:bookmarkEnd w:id="12"/>
      <w:r>
        <w:t>Participation</w:t>
      </w:r>
    </w:p>
    <w:p w14:paraId="618FF0FC" w14:textId="77777777" w:rsidR="009A6B3D" w:rsidRDefault="00000000">
      <w:pPr>
        <w:shd w:val="clear" w:color="auto" w:fill="FEFEFE"/>
        <w:spacing w:after="360"/>
      </w:pPr>
      <w:r>
        <w:t xml:space="preserve">A full list of IRT participants can be found </w:t>
      </w:r>
      <w:hyperlink r:id="rId19">
        <w:r>
          <w:rPr>
            <w:color w:val="1155CC"/>
            <w:u w:val="single"/>
          </w:rPr>
          <w:t>here</w:t>
        </w:r>
      </w:hyperlink>
      <w:r>
        <w:t xml:space="preserve">. </w:t>
      </w:r>
    </w:p>
    <w:p w14:paraId="6A1CE06A" w14:textId="77777777" w:rsidR="009A6B3D" w:rsidRDefault="00000000">
      <w:pPr>
        <w:widowControl w:val="0"/>
        <w:spacing w:before="215"/>
        <w:ind w:left="22" w:right="31" w:hanging="8"/>
      </w:pPr>
      <w:r>
        <w:t>The IRT will be consulted via calls and a public email list, and will provide feedback regarding the implementation of the recommendations, in accordance with the IRT Principles &amp; Guidelines and the Consensus Policy Implementation Framework (</w:t>
      </w:r>
      <w:hyperlink r:id="rId20">
        <w:r>
          <w:t>CPIF</w:t>
        </w:r>
      </w:hyperlink>
      <w:r>
        <w:t xml:space="preserve">). The implementation plan along with the deliverables and timelines are a starting assumption and will be shared with the IRT to reach a common understanding of the projected work schedule. </w:t>
      </w:r>
    </w:p>
    <w:p w14:paraId="70DA3FC9" w14:textId="77777777" w:rsidR="009A6B3D" w:rsidRDefault="009A6B3D">
      <w:pPr>
        <w:widowControl w:val="0"/>
        <w:ind w:left="22" w:right="31" w:hanging="8"/>
      </w:pPr>
    </w:p>
    <w:p w14:paraId="7FCDF6D4" w14:textId="77777777" w:rsidR="009A6B3D" w:rsidRDefault="00000000">
      <w:pPr>
        <w:widowControl w:val="0"/>
        <w:shd w:val="clear" w:color="auto" w:fill="FEFEFE"/>
        <w:spacing w:after="360"/>
      </w:pPr>
      <w:r>
        <w:t>Participants are reminded that the IRT is not a forum for opening or revisiting policy discussions. Should policy questions arise, the GNSO liaison is expected to inform the GNSO Council in accordance with existing guidelines; it is not the responsibility of the IRT to resolve such issues.</w:t>
      </w:r>
      <w:r>
        <w:rPr>
          <w:vertAlign w:val="superscript"/>
        </w:rPr>
        <w:footnoteReference w:id="2"/>
      </w:r>
      <w:r>
        <w:t xml:space="preserve"> Should there be disagreement on the intent and purpose of any of the outputs between ICANN and the IRT, the GNSO Council Liaison, “in consultation with the IRT, is expected to make an assessment as to the level of consensus within the IRT on whether to raise the issue with the GNSO Council [...].”</w:t>
      </w:r>
      <w:r>
        <w:rPr>
          <w:vertAlign w:val="superscript"/>
        </w:rPr>
        <w:footnoteReference w:id="3"/>
      </w:r>
      <w:r>
        <w:t xml:space="preserve"> Should any disagreement prove irreconcilable, the GNSO Council liaison in consultation with representatives from the IRT is expected to make an assessment as to the level of consensus within the IRT on whether to raise the issue with the GNSO Council for consideration, using the standard decision-making methodology outlined in the GNSO Working Group Guidelines. This process also applies to cases in which there is agreement between the </w:t>
      </w:r>
      <w:r>
        <w:lastRenderedPageBreak/>
        <w:t>IRT and GDS staff concerning the need for further guidance from the GNSO Council and/or when issues arise that may require possible policy discussion.</w:t>
      </w:r>
    </w:p>
    <w:p w14:paraId="1B832A1D" w14:textId="77777777" w:rsidR="009A6B3D" w:rsidRDefault="00000000">
      <w:pPr>
        <w:shd w:val="clear" w:color="auto" w:fill="FFFFFF"/>
        <w:spacing w:before="160"/>
        <w:rPr>
          <w:rFonts w:ascii="Roboto" w:eastAsia="Roboto" w:hAnsi="Roboto" w:cs="Roboto"/>
          <w:color w:val="172B4D"/>
          <w:sz w:val="21"/>
          <w:szCs w:val="21"/>
        </w:rPr>
      </w:pPr>
      <w:r>
        <w:t xml:space="preserve">Any IRT member that believes that his/her contributions are being systematically ignored or discounted or wants to appeal a decision of the IRT or GDS Staff should first discuss the circumstances with the GNSO Council liaison to the IRT. In the event that the matter cannot be resolved satisfactorily, the IRT member should request an opportunity to discuss the situation with the Chair of the GNSO Council or their designated representative. In addition, an IRT member always has the option to involve the ombudsman (see </w:t>
      </w:r>
      <w:hyperlink r:id="rId21">
        <w:r>
          <w:rPr>
            <w:rFonts w:ascii="Roboto" w:eastAsia="Roboto" w:hAnsi="Roboto" w:cs="Roboto"/>
            <w:color w:val="1155CC"/>
            <w:sz w:val="21"/>
            <w:szCs w:val="21"/>
            <w:u w:val="single"/>
          </w:rPr>
          <w:t>https://www.icann.org/ombuds</w:t>
        </w:r>
      </w:hyperlink>
      <w:r>
        <w:rPr>
          <w:rFonts w:ascii="Roboto" w:eastAsia="Roboto" w:hAnsi="Roboto" w:cs="Roboto"/>
          <w:sz w:val="21"/>
          <w:szCs w:val="21"/>
        </w:rPr>
        <w:t xml:space="preserve"> </w:t>
      </w:r>
      <w:r>
        <w:t>for further details).</w:t>
      </w:r>
    </w:p>
    <w:p w14:paraId="11F36132" w14:textId="77777777" w:rsidR="009A6B3D" w:rsidRDefault="009A6B3D"/>
    <w:p w14:paraId="40E479A8" w14:textId="77777777" w:rsidR="009A6B3D" w:rsidRDefault="00000000">
      <w:pPr>
        <w:pStyle w:val="Heading3"/>
        <w:spacing w:after="200"/>
      </w:pPr>
      <w:bookmarkStart w:id="13" w:name="_7ept37ytujtv" w:colFirst="0" w:colLast="0"/>
      <w:bookmarkEnd w:id="13"/>
      <w:r>
        <w:t>Deliverables</w:t>
      </w:r>
    </w:p>
    <w:p w14:paraId="181BE83E" w14:textId="77777777" w:rsidR="009A6B3D" w:rsidRDefault="00000000">
      <w:pPr>
        <w:rPr>
          <w:rFonts w:ascii="Roboto" w:eastAsia="Roboto" w:hAnsi="Roboto" w:cs="Roboto"/>
          <w:color w:val="172B4D"/>
          <w:sz w:val="21"/>
          <w:szCs w:val="21"/>
          <w:highlight w:val="white"/>
        </w:rPr>
      </w:pPr>
      <w:r>
        <w:t xml:space="preserve">The IGO Curative Rights Implementation project will implement all Final Recommendations approved by the GNSO Council and the ICANN Board. </w:t>
      </w:r>
    </w:p>
    <w:p w14:paraId="01A94D92" w14:textId="77777777" w:rsidR="009A6B3D" w:rsidRDefault="009A6B3D">
      <w:pPr>
        <w:rPr>
          <w:rFonts w:ascii="Roboto" w:eastAsia="Roboto" w:hAnsi="Roboto" w:cs="Roboto"/>
          <w:color w:val="172B4D"/>
          <w:sz w:val="21"/>
          <w:szCs w:val="21"/>
          <w:highlight w:val="white"/>
        </w:rPr>
      </w:pPr>
    </w:p>
    <w:p w14:paraId="5711929C" w14:textId="77777777" w:rsidR="009A6B3D" w:rsidRDefault="00000000">
      <w:pPr>
        <w:spacing w:before="60"/>
      </w:pPr>
      <w:r>
        <w:t>Specific deliverables resulting from the IRT phase of the Implementation Project include but are not limited to:</w:t>
      </w:r>
    </w:p>
    <w:p w14:paraId="583249D5" w14:textId="77777777" w:rsidR="009A6B3D" w:rsidRDefault="009A6B3D">
      <w:pPr>
        <w:spacing w:before="60"/>
      </w:pPr>
    </w:p>
    <w:p w14:paraId="1C47498C" w14:textId="77777777" w:rsidR="009A6B3D" w:rsidRDefault="00000000">
      <w:pPr>
        <w:numPr>
          <w:ilvl w:val="0"/>
          <w:numId w:val="11"/>
        </w:numPr>
        <w:spacing w:before="60"/>
        <w:rPr>
          <w:color w:val="000000"/>
        </w:rPr>
      </w:pPr>
      <w:r>
        <w:t>Drafting and publication of revised URS/UDRP documentation and draft policy guidance for public comment.</w:t>
      </w:r>
    </w:p>
    <w:p w14:paraId="75DD392D" w14:textId="77777777" w:rsidR="009A6B3D" w:rsidRDefault="00000000">
      <w:pPr>
        <w:numPr>
          <w:ilvl w:val="0"/>
          <w:numId w:val="11"/>
        </w:numPr>
        <w:rPr>
          <w:color w:val="000000"/>
        </w:rPr>
      </w:pPr>
      <w:r>
        <w:t>Summary and analysis of public comment.</w:t>
      </w:r>
    </w:p>
    <w:p w14:paraId="42E771D4" w14:textId="77777777" w:rsidR="009A6B3D" w:rsidRDefault="00000000">
      <w:pPr>
        <w:numPr>
          <w:ilvl w:val="0"/>
          <w:numId w:val="11"/>
        </w:numPr>
        <w:rPr>
          <w:color w:val="000000"/>
        </w:rPr>
      </w:pPr>
      <w:r>
        <w:t>Publication of updated policy and guidance documents</w:t>
      </w:r>
    </w:p>
    <w:p w14:paraId="44069CDE" w14:textId="77777777" w:rsidR="009A6B3D" w:rsidRDefault="009A6B3D">
      <w:pPr>
        <w:spacing w:before="60"/>
      </w:pPr>
    </w:p>
    <w:p w14:paraId="4CBCDC18" w14:textId="77777777" w:rsidR="009A6B3D" w:rsidRDefault="00000000">
      <w:r>
        <w:t>The project is complete when:</w:t>
      </w:r>
    </w:p>
    <w:p w14:paraId="045470B2" w14:textId="77777777" w:rsidR="009A6B3D" w:rsidRDefault="009A6B3D">
      <w:pPr>
        <w:widowControl w:val="0"/>
        <w:ind w:left="720"/>
      </w:pPr>
    </w:p>
    <w:p w14:paraId="36740653" w14:textId="77777777" w:rsidR="009A6B3D" w:rsidRDefault="00000000">
      <w:pPr>
        <w:widowControl w:val="0"/>
        <w:numPr>
          <w:ilvl w:val="0"/>
          <w:numId w:val="4"/>
        </w:numPr>
        <w:rPr>
          <w:color w:val="000000"/>
        </w:rPr>
      </w:pPr>
      <w:r>
        <w:t>ICANN org and IRT agree that the deliverables have been completed.</w:t>
      </w:r>
    </w:p>
    <w:p w14:paraId="1C2377B2" w14:textId="77777777" w:rsidR="009A6B3D" w:rsidRDefault="00000000">
      <w:pPr>
        <w:widowControl w:val="0"/>
        <w:numPr>
          <w:ilvl w:val="0"/>
          <w:numId w:val="4"/>
        </w:numPr>
        <w:rPr>
          <w:color w:val="000000"/>
        </w:rPr>
      </w:pPr>
      <w:r>
        <w:t>The policy effective date has been announced, with relevant notices delivered.</w:t>
      </w:r>
    </w:p>
    <w:p w14:paraId="17B39D77" w14:textId="77777777" w:rsidR="009A6B3D" w:rsidRDefault="00000000">
      <w:pPr>
        <w:widowControl w:val="0"/>
        <w:numPr>
          <w:ilvl w:val="0"/>
          <w:numId w:val="4"/>
        </w:numPr>
        <w:rPr>
          <w:color w:val="000000"/>
        </w:rPr>
      </w:pPr>
      <w:r>
        <w:t>The outreach and communications plans related to the new policy have been completed.</w:t>
      </w:r>
    </w:p>
    <w:p w14:paraId="60ACA1BD" w14:textId="77777777" w:rsidR="009A6B3D" w:rsidRDefault="009A6B3D">
      <w:pPr>
        <w:pStyle w:val="Heading2"/>
      </w:pPr>
      <w:bookmarkStart w:id="14" w:name="_sh8avoiyhodf" w:colFirst="0" w:colLast="0"/>
      <w:bookmarkEnd w:id="14"/>
    </w:p>
    <w:p w14:paraId="59C5C2C0" w14:textId="77777777" w:rsidR="009A6B3D" w:rsidRDefault="00000000">
      <w:pPr>
        <w:pStyle w:val="Heading4"/>
      </w:pPr>
      <w:bookmarkStart w:id="15" w:name="_m7e3c6ld5x9u" w:colFirst="0" w:colLast="0"/>
      <w:bookmarkEnd w:id="15"/>
      <w:r>
        <w:t>High-Level Timeline</w:t>
      </w:r>
    </w:p>
    <w:p w14:paraId="12CD1998" w14:textId="77777777" w:rsidR="009A6B3D" w:rsidRDefault="009A6B3D"/>
    <w:p w14:paraId="615B8787" w14:textId="77777777" w:rsidR="009A6B3D" w:rsidRDefault="00000000">
      <w:r>
        <w:t>Due to the specialized nature of the IRT and the focused content and scope of the Recommendations in question, ICANN org intend to proceed with implementation in a straightforward and timely manner in order to meet the stated objective of publishing all proposed updates to the URS/UDRP Rules and Policy, and other required Policy Guidance, by  the end of Q3 2025.</w:t>
      </w:r>
    </w:p>
    <w:p w14:paraId="0F6B1F70" w14:textId="77777777" w:rsidR="009A6B3D" w:rsidRDefault="009A6B3D">
      <w:pPr>
        <w:spacing w:before="60" w:line="240" w:lineRule="auto"/>
      </w:pPr>
    </w:p>
    <w:p w14:paraId="1BA1B38D" w14:textId="77777777" w:rsidR="009A6B3D" w:rsidRDefault="00000000">
      <w:pPr>
        <w:spacing w:before="60" w:line="240" w:lineRule="auto"/>
      </w:pPr>
      <w:r>
        <w:t>Milestones:</w:t>
      </w:r>
    </w:p>
    <w:p w14:paraId="2571F3FA" w14:textId="77777777" w:rsidR="009A6B3D" w:rsidRDefault="009A6B3D">
      <w:pPr>
        <w:spacing w:before="60" w:line="240" w:lineRule="auto"/>
      </w:pPr>
    </w:p>
    <w:p w14:paraId="1FA989CD" w14:textId="77777777" w:rsidR="009A6B3D" w:rsidRDefault="00000000">
      <w:pPr>
        <w:numPr>
          <w:ilvl w:val="0"/>
          <w:numId w:val="10"/>
        </w:numPr>
        <w:spacing w:before="60" w:line="240" w:lineRule="auto"/>
      </w:pPr>
      <w:r>
        <w:t>Draft Implementation Plan</w:t>
      </w:r>
    </w:p>
    <w:p w14:paraId="461837FE" w14:textId="77777777" w:rsidR="009A6B3D" w:rsidRDefault="00000000">
      <w:pPr>
        <w:numPr>
          <w:ilvl w:val="0"/>
          <w:numId w:val="10"/>
        </w:numPr>
        <w:spacing w:line="240" w:lineRule="auto"/>
      </w:pPr>
      <w:r>
        <w:t>Establish IRT Mailing List</w:t>
      </w:r>
    </w:p>
    <w:p w14:paraId="2A28DFCB" w14:textId="77777777" w:rsidR="009A6B3D" w:rsidRDefault="00000000">
      <w:pPr>
        <w:numPr>
          <w:ilvl w:val="0"/>
          <w:numId w:val="10"/>
        </w:numPr>
        <w:spacing w:line="240" w:lineRule="auto"/>
      </w:pPr>
      <w:r>
        <w:lastRenderedPageBreak/>
        <w:t>Convene IRT</w:t>
      </w:r>
    </w:p>
    <w:p w14:paraId="7D1E4463" w14:textId="77777777" w:rsidR="009A6B3D" w:rsidRDefault="00000000">
      <w:pPr>
        <w:numPr>
          <w:ilvl w:val="0"/>
          <w:numId w:val="10"/>
        </w:numPr>
        <w:spacing w:line="240" w:lineRule="auto"/>
      </w:pPr>
      <w:r>
        <w:t>Agree Implementation Plan</w:t>
      </w:r>
    </w:p>
    <w:p w14:paraId="0D327B69" w14:textId="77777777" w:rsidR="009A6B3D" w:rsidRDefault="00000000">
      <w:pPr>
        <w:numPr>
          <w:ilvl w:val="0"/>
          <w:numId w:val="10"/>
        </w:numPr>
        <w:spacing w:line="240" w:lineRule="auto"/>
      </w:pPr>
      <w:r>
        <w:t>Public comment for drafts and final versions of URS/UDRP documentation and Policy Guidance</w:t>
      </w:r>
    </w:p>
    <w:p w14:paraId="64B51EEB" w14:textId="77777777" w:rsidR="009A6B3D" w:rsidRDefault="00000000">
      <w:pPr>
        <w:numPr>
          <w:ilvl w:val="0"/>
          <w:numId w:val="10"/>
        </w:numPr>
        <w:spacing w:line="240" w:lineRule="auto"/>
      </w:pPr>
      <w:r>
        <w:t>Policy Effective Date</w:t>
      </w:r>
    </w:p>
    <w:p w14:paraId="13700AEB" w14:textId="77777777" w:rsidR="009A6B3D" w:rsidRDefault="009A6B3D">
      <w:pPr>
        <w:widowControl w:val="0"/>
      </w:pPr>
    </w:p>
    <w:tbl>
      <w:tblPr>
        <w:tblStyle w:val="a0"/>
        <w:tblW w:w="933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470"/>
        <w:gridCol w:w="7860"/>
      </w:tblGrid>
      <w:tr w:rsidR="009A6B3D" w14:paraId="5D67A4FB" w14:textId="77777777">
        <w:trPr>
          <w:trHeight w:val="512"/>
        </w:trPr>
        <w:tc>
          <w:tcPr>
            <w:tcW w:w="1470" w:type="dxa"/>
            <w:tcMar>
              <w:top w:w="140" w:type="dxa"/>
              <w:left w:w="140" w:type="dxa"/>
              <w:bottom w:w="140" w:type="dxa"/>
              <w:right w:w="140" w:type="dxa"/>
            </w:tcMar>
          </w:tcPr>
          <w:p w14:paraId="4C5FA247" w14:textId="77777777" w:rsidR="009A6B3D" w:rsidRDefault="00000000">
            <w:pPr>
              <w:widowControl w:val="0"/>
              <w:spacing w:after="200" w:line="240" w:lineRule="auto"/>
            </w:pPr>
            <w:r>
              <w:t>2024 Q3</w:t>
            </w:r>
          </w:p>
        </w:tc>
        <w:tc>
          <w:tcPr>
            <w:tcW w:w="7860" w:type="dxa"/>
            <w:tcMar>
              <w:top w:w="140" w:type="dxa"/>
              <w:left w:w="140" w:type="dxa"/>
              <w:bottom w:w="140" w:type="dxa"/>
              <w:right w:w="140" w:type="dxa"/>
            </w:tcMar>
          </w:tcPr>
          <w:p w14:paraId="0BE14D85" w14:textId="77777777" w:rsidR="009A6B3D" w:rsidRDefault="00000000">
            <w:pPr>
              <w:widowControl w:val="0"/>
              <w:spacing w:after="200" w:line="240" w:lineRule="auto"/>
            </w:pPr>
            <w:r>
              <w:t>ICANN org begins internal preparations for implementation project</w:t>
            </w:r>
          </w:p>
        </w:tc>
      </w:tr>
      <w:tr w:rsidR="009A6B3D" w14:paraId="11874C1C" w14:textId="77777777">
        <w:trPr>
          <w:trHeight w:val="497"/>
        </w:trPr>
        <w:tc>
          <w:tcPr>
            <w:tcW w:w="1470" w:type="dxa"/>
            <w:tcMar>
              <w:top w:w="140" w:type="dxa"/>
              <w:left w:w="140" w:type="dxa"/>
              <w:bottom w:w="140" w:type="dxa"/>
              <w:right w:w="140" w:type="dxa"/>
            </w:tcMar>
          </w:tcPr>
          <w:p w14:paraId="6C311DD4" w14:textId="77777777" w:rsidR="009A6B3D" w:rsidRDefault="00000000">
            <w:pPr>
              <w:widowControl w:val="0"/>
              <w:spacing w:after="200" w:line="240" w:lineRule="auto"/>
            </w:pPr>
            <w:r>
              <w:t>2025 Q1</w:t>
            </w:r>
          </w:p>
        </w:tc>
        <w:tc>
          <w:tcPr>
            <w:tcW w:w="7860" w:type="dxa"/>
            <w:tcMar>
              <w:top w:w="140" w:type="dxa"/>
              <w:left w:w="140" w:type="dxa"/>
              <w:bottom w:w="140" w:type="dxa"/>
              <w:right w:w="140" w:type="dxa"/>
            </w:tcMar>
          </w:tcPr>
          <w:p w14:paraId="33523664" w14:textId="77777777" w:rsidR="009A6B3D" w:rsidRDefault="00000000">
            <w:pPr>
              <w:widowControl w:val="0"/>
              <w:spacing w:after="200" w:line="240" w:lineRule="auto"/>
            </w:pPr>
            <w:r>
              <w:t>Draft implementation Plan</w:t>
            </w:r>
          </w:p>
          <w:p w14:paraId="73FD7537" w14:textId="77777777" w:rsidR="009A6B3D" w:rsidRDefault="00000000">
            <w:pPr>
              <w:widowControl w:val="0"/>
              <w:spacing w:after="200" w:line="240" w:lineRule="auto"/>
            </w:pPr>
            <w:r>
              <w:t>Establish IRT Mailing List</w:t>
            </w:r>
          </w:p>
          <w:p w14:paraId="5D86A57B" w14:textId="77777777" w:rsidR="009A6B3D" w:rsidRDefault="00000000">
            <w:pPr>
              <w:widowControl w:val="0"/>
              <w:spacing w:after="200" w:line="240" w:lineRule="auto"/>
            </w:pPr>
            <w:r>
              <w:t>Convene first meeting of the IRT and agree Implementation Plan</w:t>
            </w:r>
          </w:p>
        </w:tc>
      </w:tr>
      <w:tr w:rsidR="009A6B3D" w14:paraId="476FD29B" w14:textId="77777777">
        <w:trPr>
          <w:trHeight w:val="512"/>
        </w:trPr>
        <w:tc>
          <w:tcPr>
            <w:tcW w:w="1470" w:type="dxa"/>
            <w:tcMar>
              <w:top w:w="140" w:type="dxa"/>
              <w:left w:w="140" w:type="dxa"/>
              <w:bottom w:w="140" w:type="dxa"/>
              <w:right w:w="140" w:type="dxa"/>
            </w:tcMar>
          </w:tcPr>
          <w:p w14:paraId="0E7F7B48" w14:textId="77777777" w:rsidR="009A6B3D" w:rsidRDefault="00000000">
            <w:pPr>
              <w:widowControl w:val="0"/>
              <w:spacing w:line="240" w:lineRule="auto"/>
            </w:pPr>
            <w:r>
              <w:t>2025 Q3</w:t>
            </w:r>
          </w:p>
        </w:tc>
        <w:tc>
          <w:tcPr>
            <w:tcW w:w="7860" w:type="dxa"/>
            <w:tcMar>
              <w:top w:w="140" w:type="dxa"/>
              <w:left w:w="140" w:type="dxa"/>
              <w:bottom w:w="140" w:type="dxa"/>
              <w:right w:w="140" w:type="dxa"/>
            </w:tcMar>
          </w:tcPr>
          <w:p w14:paraId="4BA939F8" w14:textId="77777777" w:rsidR="009A6B3D" w:rsidRDefault="00000000">
            <w:pPr>
              <w:widowControl w:val="0"/>
              <w:spacing w:after="200" w:line="240" w:lineRule="auto"/>
            </w:pPr>
            <w:r>
              <w:t>Complete and publish the proposed draft updates to the URS/UDRP Rules and Policy for Public Comment.</w:t>
            </w:r>
          </w:p>
          <w:p w14:paraId="3621BD81" w14:textId="77777777" w:rsidR="009A6B3D" w:rsidRDefault="00000000">
            <w:pPr>
              <w:widowControl w:val="0"/>
              <w:spacing w:after="200" w:line="240" w:lineRule="auto"/>
            </w:pPr>
            <w:r>
              <w:t>Complete and publish the draft Policy Guidance on Complaint Procedures for IGOs for Public Comment; bring to the attention of the GAC.</w:t>
            </w:r>
          </w:p>
        </w:tc>
      </w:tr>
      <w:tr w:rsidR="009A6B3D" w14:paraId="0D949295" w14:textId="77777777">
        <w:trPr>
          <w:trHeight w:val="1599"/>
        </w:trPr>
        <w:tc>
          <w:tcPr>
            <w:tcW w:w="1470" w:type="dxa"/>
            <w:tcMar>
              <w:top w:w="140" w:type="dxa"/>
              <w:left w:w="140" w:type="dxa"/>
              <w:bottom w:w="140" w:type="dxa"/>
              <w:right w:w="140" w:type="dxa"/>
            </w:tcMar>
          </w:tcPr>
          <w:p w14:paraId="27EF6EDC" w14:textId="77777777" w:rsidR="009A6B3D" w:rsidRDefault="00000000">
            <w:pPr>
              <w:widowControl w:val="0"/>
              <w:spacing w:line="240" w:lineRule="auto"/>
            </w:pPr>
            <w:r>
              <w:t>2025 Q4/</w:t>
            </w:r>
          </w:p>
          <w:p w14:paraId="277CACA4" w14:textId="77777777" w:rsidR="009A6B3D" w:rsidRDefault="00000000">
            <w:pPr>
              <w:widowControl w:val="0"/>
              <w:spacing w:line="240" w:lineRule="auto"/>
            </w:pPr>
            <w:r>
              <w:t>2026 Q1</w:t>
            </w:r>
          </w:p>
        </w:tc>
        <w:tc>
          <w:tcPr>
            <w:tcW w:w="7860" w:type="dxa"/>
            <w:tcMar>
              <w:top w:w="140" w:type="dxa"/>
              <w:left w:w="140" w:type="dxa"/>
              <w:bottom w:w="140" w:type="dxa"/>
              <w:right w:w="140" w:type="dxa"/>
            </w:tcMar>
          </w:tcPr>
          <w:p w14:paraId="74F7C453" w14:textId="77777777" w:rsidR="009A6B3D" w:rsidRDefault="00000000">
            <w:pPr>
              <w:widowControl w:val="0"/>
              <w:spacing w:after="200" w:line="240" w:lineRule="auto"/>
            </w:pPr>
            <w:r>
              <w:t>Publish the revised URS/UDRP Rules and Policy Guidance</w:t>
            </w:r>
          </w:p>
          <w:p w14:paraId="60339F8F" w14:textId="77777777" w:rsidR="009A6B3D" w:rsidRDefault="00000000">
            <w:pPr>
              <w:widowControl w:val="0"/>
              <w:numPr>
                <w:ilvl w:val="0"/>
                <w:numId w:val="12"/>
              </w:numPr>
              <w:spacing w:line="240" w:lineRule="auto"/>
            </w:pPr>
            <w:r>
              <w:t xml:space="preserve">Announce effective date of the URS/UDRP Rules and Policy to the community, </w:t>
            </w:r>
          </w:p>
          <w:p w14:paraId="377D1115" w14:textId="77777777" w:rsidR="009A6B3D" w:rsidRDefault="00000000">
            <w:pPr>
              <w:widowControl w:val="0"/>
              <w:numPr>
                <w:ilvl w:val="0"/>
                <w:numId w:val="12"/>
              </w:numPr>
              <w:spacing w:line="240" w:lineRule="auto"/>
            </w:pPr>
            <w:r>
              <w:t>Send required notices to relevant parties regarding when the new rules and policy changes take effect,</w:t>
            </w:r>
          </w:p>
          <w:p w14:paraId="54052E31" w14:textId="77777777" w:rsidR="009A6B3D" w:rsidRDefault="00000000">
            <w:pPr>
              <w:widowControl w:val="0"/>
              <w:numPr>
                <w:ilvl w:val="0"/>
                <w:numId w:val="12"/>
              </w:numPr>
              <w:spacing w:line="240" w:lineRule="auto"/>
            </w:pPr>
            <w:r>
              <w:t xml:space="preserve">Create outreach and educational materials needed for socializing the rules, policy changes and policy guidance, and </w:t>
            </w:r>
          </w:p>
          <w:p w14:paraId="65C9E64A" w14:textId="77777777" w:rsidR="009A6B3D" w:rsidRDefault="00000000">
            <w:pPr>
              <w:widowControl w:val="0"/>
              <w:numPr>
                <w:ilvl w:val="0"/>
                <w:numId w:val="12"/>
              </w:numPr>
              <w:spacing w:after="200" w:line="240" w:lineRule="auto"/>
            </w:pPr>
            <w:r>
              <w:t>Conduct targeted outreach to relevant parties.</w:t>
            </w:r>
          </w:p>
        </w:tc>
      </w:tr>
      <w:tr w:rsidR="009A6B3D" w14:paraId="5DAB2397" w14:textId="77777777">
        <w:trPr>
          <w:trHeight w:val="1278"/>
        </w:trPr>
        <w:tc>
          <w:tcPr>
            <w:tcW w:w="1470" w:type="dxa"/>
            <w:tcMar>
              <w:top w:w="140" w:type="dxa"/>
              <w:left w:w="140" w:type="dxa"/>
              <w:bottom w:w="140" w:type="dxa"/>
              <w:right w:w="140" w:type="dxa"/>
            </w:tcMar>
          </w:tcPr>
          <w:p w14:paraId="17C80E9C" w14:textId="77777777" w:rsidR="009A6B3D" w:rsidRDefault="00000000">
            <w:pPr>
              <w:widowControl w:val="0"/>
              <w:spacing w:line="240" w:lineRule="auto"/>
            </w:pPr>
            <w:r>
              <w:t>2026.Q2</w:t>
            </w:r>
          </w:p>
        </w:tc>
        <w:tc>
          <w:tcPr>
            <w:tcW w:w="7860" w:type="dxa"/>
            <w:tcMar>
              <w:top w:w="140" w:type="dxa"/>
              <w:left w:w="140" w:type="dxa"/>
              <w:bottom w:w="140" w:type="dxa"/>
              <w:right w:w="140" w:type="dxa"/>
            </w:tcMar>
          </w:tcPr>
          <w:p w14:paraId="70E53E27" w14:textId="77777777" w:rsidR="009A6B3D" w:rsidRDefault="00000000">
            <w:pPr>
              <w:widowControl w:val="0"/>
              <w:spacing w:after="200" w:line="240" w:lineRule="auto"/>
            </w:pPr>
            <w:r>
              <w:t>Estimated Policy Effective Date.</w:t>
            </w:r>
          </w:p>
          <w:p w14:paraId="258E42F3" w14:textId="77777777" w:rsidR="009A6B3D" w:rsidRDefault="00000000">
            <w:pPr>
              <w:widowControl w:val="0"/>
              <w:spacing w:after="200" w:line="240" w:lineRule="auto"/>
            </w:pPr>
            <w:r>
              <w:t>Implementation work outlined above is completed and enforcement of the updated URS/UDRP Rules and Policy is turned over to compliance.</w:t>
            </w:r>
          </w:p>
        </w:tc>
      </w:tr>
    </w:tbl>
    <w:p w14:paraId="0981445B" w14:textId="77777777" w:rsidR="009A6B3D" w:rsidRDefault="009A6B3D"/>
    <w:p w14:paraId="3F280B22" w14:textId="77777777" w:rsidR="009A6B3D" w:rsidRDefault="009A6B3D"/>
    <w:p w14:paraId="7E3FFA67" w14:textId="77777777" w:rsidR="009A6B3D" w:rsidRDefault="00000000">
      <w:r>
        <w:t>IRT Meetings will be held at a regular cadence, with the possibility of adding additional meetings or sessions at the request of IRT.</w:t>
      </w:r>
    </w:p>
    <w:p w14:paraId="77764690" w14:textId="77777777" w:rsidR="009A6B3D" w:rsidRDefault="009A6B3D"/>
    <w:p w14:paraId="0F7DF9FA" w14:textId="77777777" w:rsidR="009A6B3D" w:rsidRDefault="00000000">
      <w:r>
        <w:t xml:space="preserve">Although the implementation of the PDP and EPDP Recommendations is an ICANN org priority, changes to the IRT timeline can occur due to a variety of unforeseen factors including, among others, the need for more time to propose draft updates and materials, misalignment between IRT members on whether proposed policy language aligns with the intent/purpose of an output, </w:t>
      </w:r>
      <w:r>
        <w:lastRenderedPageBreak/>
        <w:t>a dependency not delivered on time, and other external factors. The timeline set out above should therefore be understood to represent a best case scenario.</w:t>
      </w:r>
    </w:p>
    <w:p w14:paraId="6EEBA271" w14:textId="77777777" w:rsidR="009A6B3D" w:rsidRDefault="009A6B3D"/>
    <w:p w14:paraId="60C3B2D9" w14:textId="77777777" w:rsidR="009A6B3D" w:rsidRDefault="00000000">
      <w:r>
        <w:t>If changes do occur, ICANN org will work with the IRT on the above timeline as necessary and update the work plan as required. The timeline set out above should therefore be understood to represent a best case scenario for implementation.</w:t>
      </w:r>
    </w:p>
    <w:p w14:paraId="4EB11AF4" w14:textId="77777777" w:rsidR="009A6B3D" w:rsidRDefault="009A6B3D"/>
    <w:p w14:paraId="7B63E099" w14:textId="77777777" w:rsidR="009A6B3D" w:rsidRDefault="00000000">
      <w:pPr>
        <w:pStyle w:val="Heading3"/>
      </w:pPr>
      <w:bookmarkStart w:id="16" w:name="_5yr6mgfmy4mf" w:colFirst="0" w:colLast="0"/>
      <w:bookmarkEnd w:id="16"/>
      <w:r>
        <w:t>ICANN org Resources / Functions Impacted by the Implementation of IGO-INGO Curative Rights Policy Recommendations</w:t>
      </w:r>
    </w:p>
    <w:p w14:paraId="41AC453E" w14:textId="77777777" w:rsidR="009A6B3D" w:rsidRDefault="00000000">
      <w:pPr>
        <w:widowControl w:val="0"/>
        <w:spacing w:before="504"/>
        <w:rPr>
          <w:b/>
        </w:rPr>
      </w:pPr>
      <w:r>
        <w:rPr>
          <w:b/>
        </w:rPr>
        <w:t>Global Domains &amp; Strategy (GDS):</w:t>
      </w:r>
    </w:p>
    <w:p w14:paraId="08E93883" w14:textId="77777777" w:rsidR="009A6B3D" w:rsidRDefault="00000000">
      <w:pPr>
        <w:widowControl w:val="0"/>
        <w:numPr>
          <w:ilvl w:val="0"/>
          <w:numId w:val="7"/>
        </w:numPr>
        <w:spacing w:before="504"/>
      </w:pPr>
      <w:r>
        <w:rPr>
          <w:i/>
        </w:rPr>
        <w:t>Policy Research and Stakeholder Programs:</w:t>
      </w:r>
      <w:r>
        <w:t xml:space="preserve"> </w:t>
      </w:r>
    </w:p>
    <w:p w14:paraId="7629BD06" w14:textId="77777777" w:rsidR="009A6B3D" w:rsidRDefault="00000000">
      <w:pPr>
        <w:widowControl w:val="0"/>
        <w:ind w:left="720"/>
      </w:pPr>
      <w:r>
        <w:t xml:space="preserve">To manage/ oversee the progress of implementation including coordination with IRT for input on items as needed; manage relationships with external experts as required, coordinate/ manage public comment period; provide internal reporting; communicate with GAC on proposed policy guidance, produce public comment report and publish policy as needed. </w:t>
      </w:r>
    </w:p>
    <w:p w14:paraId="3A457B4D" w14:textId="77777777" w:rsidR="009A6B3D" w:rsidRDefault="009A6B3D">
      <w:pPr>
        <w:widowControl w:val="0"/>
      </w:pPr>
    </w:p>
    <w:p w14:paraId="16981703" w14:textId="77777777" w:rsidR="009A6B3D" w:rsidRDefault="00000000">
      <w:pPr>
        <w:widowControl w:val="0"/>
        <w:numPr>
          <w:ilvl w:val="0"/>
          <w:numId w:val="1"/>
        </w:numPr>
        <w:rPr>
          <w:i/>
        </w:rPr>
      </w:pPr>
      <w:r>
        <w:rPr>
          <w:i/>
        </w:rPr>
        <w:t>GDS Accounts and Services</w:t>
      </w:r>
    </w:p>
    <w:p w14:paraId="63B77FFE" w14:textId="77777777" w:rsidR="009A6B3D" w:rsidRDefault="00000000">
      <w:pPr>
        <w:widowControl w:val="0"/>
        <w:ind w:left="720"/>
      </w:pPr>
      <w:r>
        <w:t>Assist in socializing the revised rules, policy changes and policy guidance.</w:t>
      </w:r>
    </w:p>
    <w:p w14:paraId="11B60C11" w14:textId="77777777" w:rsidR="009A6B3D" w:rsidRDefault="009A6B3D">
      <w:pPr>
        <w:widowControl w:val="0"/>
        <w:ind w:left="720"/>
        <w:rPr>
          <w:b/>
        </w:rPr>
      </w:pPr>
    </w:p>
    <w:p w14:paraId="0FF9A505" w14:textId="77777777" w:rsidR="009A6B3D" w:rsidRDefault="009A6B3D">
      <w:pPr>
        <w:widowControl w:val="0"/>
        <w:rPr>
          <w:b/>
        </w:rPr>
      </w:pPr>
    </w:p>
    <w:p w14:paraId="773C772C" w14:textId="77777777" w:rsidR="009A6B3D" w:rsidRDefault="00000000">
      <w:pPr>
        <w:widowControl w:val="0"/>
        <w:rPr>
          <w:b/>
        </w:rPr>
      </w:pPr>
      <w:r>
        <w:rPr>
          <w:b/>
        </w:rPr>
        <w:t xml:space="preserve">Policy Development Support </w:t>
      </w:r>
    </w:p>
    <w:p w14:paraId="65B4C253" w14:textId="77777777" w:rsidR="009A6B3D" w:rsidRDefault="009A6B3D">
      <w:pPr>
        <w:widowControl w:val="0"/>
      </w:pPr>
    </w:p>
    <w:p w14:paraId="628FE75B" w14:textId="77777777" w:rsidR="009A6B3D" w:rsidRDefault="00000000">
      <w:pPr>
        <w:widowControl w:val="0"/>
        <w:numPr>
          <w:ilvl w:val="0"/>
          <w:numId w:val="3"/>
        </w:numPr>
        <w:rPr>
          <w:i/>
        </w:rPr>
      </w:pPr>
      <w:r>
        <w:rPr>
          <w:i/>
        </w:rPr>
        <w:t>GNSO Policy Development Support Team</w:t>
      </w:r>
    </w:p>
    <w:p w14:paraId="45AB7BE7" w14:textId="77777777" w:rsidR="009A6B3D" w:rsidRDefault="00000000">
      <w:pPr>
        <w:widowControl w:val="0"/>
        <w:ind w:left="720"/>
        <w:rPr>
          <w:rFonts w:ascii="Calibri" w:eastAsia="Calibri" w:hAnsi="Calibri" w:cs="Calibri"/>
        </w:rPr>
      </w:pPr>
      <w:r>
        <w:t>Policy support liaison to provide input and clarification on working group deliberations and intent of policy recommendations.</w:t>
      </w:r>
      <w:r>
        <w:rPr>
          <w:rFonts w:ascii="Calibri" w:eastAsia="Calibri" w:hAnsi="Calibri" w:cs="Calibri"/>
        </w:rPr>
        <w:t xml:space="preserve"> </w:t>
      </w:r>
    </w:p>
    <w:p w14:paraId="5EBD31B2" w14:textId="77777777" w:rsidR="009A6B3D" w:rsidRDefault="009A6B3D">
      <w:pPr>
        <w:widowControl w:val="0"/>
        <w:ind w:left="720"/>
        <w:rPr>
          <w:rFonts w:ascii="Calibri" w:eastAsia="Calibri" w:hAnsi="Calibri" w:cs="Calibri"/>
        </w:rPr>
      </w:pPr>
    </w:p>
    <w:p w14:paraId="1B285F45" w14:textId="77777777" w:rsidR="009A6B3D" w:rsidRDefault="009A6B3D">
      <w:pPr>
        <w:widowControl w:val="0"/>
        <w:rPr>
          <w:rFonts w:ascii="Calibri" w:eastAsia="Calibri" w:hAnsi="Calibri" w:cs="Calibri"/>
        </w:rPr>
      </w:pPr>
    </w:p>
    <w:p w14:paraId="76DB993A" w14:textId="77777777" w:rsidR="009A6B3D" w:rsidRDefault="00000000">
      <w:pPr>
        <w:widowControl w:val="0"/>
        <w:numPr>
          <w:ilvl w:val="0"/>
          <w:numId w:val="5"/>
        </w:numPr>
        <w:rPr>
          <w:i/>
        </w:rPr>
      </w:pPr>
      <w:r>
        <w:rPr>
          <w:i/>
        </w:rPr>
        <w:t>ICANN GAC Staff Support Team</w:t>
      </w:r>
    </w:p>
    <w:p w14:paraId="61924AFE" w14:textId="77777777" w:rsidR="009A6B3D" w:rsidRDefault="00000000">
      <w:pPr>
        <w:widowControl w:val="0"/>
        <w:ind w:firstLine="720"/>
        <w:rPr>
          <w:rFonts w:ascii="Calibri" w:eastAsia="Calibri" w:hAnsi="Calibri" w:cs="Calibri"/>
        </w:rPr>
      </w:pPr>
      <w:r>
        <w:t xml:space="preserve">Assist circulation and socialization of updated policy guidance with the GAC. </w:t>
      </w:r>
    </w:p>
    <w:p w14:paraId="4453D51B" w14:textId="77777777" w:rsidR="009A6B3D" w:rsidRDefault="009A6B3D">
      <w:pPr>
        <w:widowControl w:val="0"/>
        <w:rPr>
          <w:rFonts w:ascii="Calibri" w:eastAsia="Calibri" w:hAnsi="Calibri" w:cs="Calibri"/>
        </w:rPr>
      </w:pPr>
    </w:p>
    <w:p w14:paraId="5F2336B0" w14:textId="77777777" w:rsidR="009A6B3D" w:rsidRDefault="009A6B3D">
      <w:pPr>
        <w:widowControl w:val="0"/>
        <w:rPr>
          <w:rFonts w:ascii="Calibri" w:eastAsia="Calibri" w:hAnsi="Calibri" w:cs="Calibri"/>
        </w:rPr>
      </w:pPr>
    </w:p>
    <w:p w14:paraId="64F5DB85" w14:textId="77777777" w:rsidR="009A6B3D" w:rsidRDefault="009A6B3D">
      <w:pPr>
        <w:widowControl w:val="0"/>
        <w:rPr>
          <w:rFonts w:ascii="Calibri" w:eastAsia="Calibri" w:hAnsi="Calibri" w:cs="Calibri"/>
        </w:rPr>
      </w:pPr>
    </w:p>
    <w:p w14:paraId="46F37880" w14:textId="77777777" w:rsidR="009A6B3D" w:rsidRDefault="00000000">
      <w:pPr>
        <w:widowControl w:val="0"/>
        <w:rPr>
          <w:b/>
        </w:rPr>
      </w:pPr>
      <w:r>
        <w:rPr>
          <w:b/>
        </w:rPr>
        <w:t xml:space="preserve">Legal </w:t>
      </w:r>
    </w:p>
    <w:p w14:paraId="056291A8" w14:textId="77777777" w:rsidR="009A6B3D" w:rsidRDefault="009A6B3D">
      <w:pPr>
        <w:widowControl w:val="0"/>
        <w:rPr>
          <w:b/>
        </w:rPr>
      </w:pPr>
    </w:p>
    <w:p w14:paraId="317A94A0" w14:textId="77777777" w:rsidR="009A6B3D" w:rsidRDefault="00000000">
      <w:pPr>
        <w:widowControl w:val="0"/>
      </w:pPr>
      <w:r>
        <w:t>Legal team to review any updated policy language and guidance; liaise with outside counsel as required on IGO-related law, precedents and arbitration procedures.</w:t>
      </w:r>
    </w:p>
    <w:p w14:paraId="46A4999D" w14:textId="77777777" w:rsidR="009A6B3D" w:rsidRDefault="009A6B3D">
      <w:pPr>
        <w:widowControl w:val="0"/>
        <w:pBdr>
          <w:top w:val="nil"/>
          <w:left w:val="nil"/>
          <w:bottom w:val="nil"/>
          <w:right w:val="nil"/>
          <w:between w:val="nil"/>
        </w:pBdr>
      </w:pPr>
    </w:p>
    <w:p w14:paraId="33A5ED8F" w14:textId="77777777" w:rsidR="009A6B3D" w:rsidRDefault="00000000">
      <w:pPr>
        <w:widowControl w:val="0"/>
        <w:pBdr>
          <w:top w:val="nil"/>
          <w:left w:val="nil"/>
          <w:bottom w:val="nil"/>
          <w:right w:val="nil"/>
          <w:between w:val="nil"/>
        </w:pBdr>
        <w:rPr>
          <w:b/>
        </w:rPr>
      </w:pPr>
      <w:r>
        <w:rPr>
          <w:b/>
        </w:rPr>
        <w:lastRenderedPageBreak/>
        <w:t>Contractual Compliance Team</w:t>
      </w:r>
    </w:p>
    <w:p w14:paraId="7F975266" w14:textId="77777777" w:rsidR="009A6B3D" w:rsidRDefault="009A6B3D">
      <w:pPr>
        <w:widowControl w:val="0"/>
        <w:pBdr>
          <w:top w:val="nil"/>
          <w:left w:val="nil"/>
          <w:bottom w:val="nil"/>
          <w:right w:val="nil"/>
          <w:between w:val="nil"/>
        </w:pBdr>
        <w:rPr>
          <w:b/>
        </w:rPr>
      </w:pPr>
    </w:p>
    <w:p w14:paraId="6B410FE2" w14:textId="77777777" w:rsidR="009A6B3D" w:rsidRDefault="00000000">
      <w:pPr>
        <w:widowControl w:val="0"/>
      </w:pPr>
      <w:r>
        <w:t>Supporting drafting with a view to enforcement; socialization of the updated URS/UDRP Rules and Policy.</w:t>
      </w:r>
    </w:p>
    <w:p w14:paraId="3A0B429E" w14:textId="77777777" w:rsidR="009A6B3D" w:rsidRDefault="009A6B3D">
      <w:pPr>
        <w:widowControl w:val="0"/>
      </w:pPr>
    </w:p>
    <w:p w14:paraId="5D07886E" w14:textId="77777777" w:rsidR="009A6B3D" w:rsidRDefault="00000000">
      <w:pPr>
        <w:pStyle w:val="Heading2"/>
      </w:pPr>
      <w:bookmarkStart w:id="17" w:name="_6rbxvkgvt9jo" w:colFirst="0" w:colLast="0"/>
      <w:bookmarkEnd w:id="17"/>
      <w:r>
        <w:t>Summary of Recommendations</w:t>
      </w:r>
    </w:p>
    <w:p w14:paraId="0509C66C" w14:textId="77777777" w:rsidR="009A6B3D" w:rsidRDefault="00000000">
      <w:pPr>
        <w:widowControl w:val="0"/>
        <w:spacing w:before="264"/>
      </w:pPr>
      <w:r>
        <w:t xml:space="preserve">The recommendations of the PDP and EPDP involve making additions to existing UDRP and URS Policies and Rules and have potential impact on contracted parties. </w:t>
      </w:r>
    </w:p>
    <w:p w14:paraId="630DC445" w14:textId="77777777" w:rsidR="009A6B3D" w:rsidRDefault="009A6B3D"/>
    <w:p w14:paraId="222F7D42" w14:textId="77777777" w:rsidR="009A6B3D" w:rsidRDefault="00000000">
      <w:pPr>
        <w:spacing w:after="200"/>
      </w:pPr>
      <w:r>
        <w:t>A total of nine recommendations are being implemented in this project: 4 PDP recommendations and 5 EPDP recommendations. The recommendations relate to separate yet interdependent issues and can be seen to request work on two main deliverables</w:t>
      </w:r>
    </w:p>
    <w:p w14:paraId="12E51FED" w14:textId="77777777" w:rsidR="009A6B3D" w:rsidRDefault="00000000">
      <w:pPr>
        <w:numPr>
          <w:ilvl w:val="0"/>
          <w:numId w:val="6"/>
        </w:numPr>
        <w:spacing w:after="200"/>
      </w:pPr>
      <w:r>
        <w:t>Specific Policy Guidance on the following issues:</w:t>
      </w:r>
    </w:p>
    <w:p w14:paraId="7B067D7E" w14:textId="77777777" w:rsidR="009A6B3D" w:rsidRDefault="00000000">
      <w:pPr>
        <w:numPr>
          <w:ilvl w:val="1"/>
          <w:numId w:val="11"/>
        </w:numPr>
        <w:spacing w:before="200"/>
        <w:rPr>
          <w:rFonts w:ascii="Cambria" w:eastAsia="Cambria" w:hAnsi="Cambria" w:cs="Cambria"/>
        </w:rPr>
      </w:pPr>
      <w:r>
        <w:t>IGOs eligibility to use Article 6ter of the Paris Convention to demonstrate standing to file complaints (PDP Recommendation 2)</w:t>
      </w:r>
    </w:p>
    <w:p w14:paraId="43094608" w14:textId="77777777" w:rsidR="009A6B3D" w:rsidRDefault="00000000">
      <w:pPr>
        <w:numPr>
          <w:ilvl w:val="1"/>
          <w:numId w:val="11"/>
        </w:numPr>
        <w:spacing w:after="200"/>
      </w:pPr>
      <w:r>
        <w:t>IGO filing options and IGOs contacting registrar of records to address harms for which they are seeking redress before filing a complaint under the UDRP/URS (Recommendation 3)</w:t>
      </w:r>
    </w:p>
    <w:p w14:paraId="55D0731A" w14:textId="77777777" w:rsidR="009A6B3D" w:rsidRDefault="00000000">
      <w:pPr>
        <w:numPr>
          <w:ilvl w:val="0"/>
          <w:numId w:val="11"/>
        </w:numPr>
        <w:spacing w:before="60"/>
      </w:pPr>
      <w:r>
        <w:t>Modification of UDRP/URS Policy and Rules to create a new path for binding arbitration in cases in which legal immunity prevents a registrant from pursuing court action (EPDP Recommendations 2-5, in particular 3-5)</w:t>
      </w:r>
      <w:r>
        <w:rPr>
          <w:rFonts w:ascii="Calibri" w:eastAsia="Calibri" w:hAnsi="Calibri" w:cs="Calibri"/>
        </w:rPr>
        <w:t xml:space="preserve">. </w:t>
      </w:r>
    </w:p>
    <w:p w14:paraId="38DC9040" w14:textId="77777777" w:rsidR="009A6B3D" w:rsidRDefault="00000000">
      <w:r>
        <w:t>.</w:t>
      </w:r>
    </w:p>
    <w:p w14:paraId="0096BEFF" w14:textId="77777777" w:rsidR="009A6B3D" w:rsidRDefault="009A6B3D"/>
    <w:p w14:paraId="3229E4A6" w14:textId="77777777" w:rsidR="009A6B3D" w:rsidRDefault="009A6B3D"/>
    <w:p w14:paraId="0C358E00" w14:textId="77777777" w:rsidR="009A6B3D" w:rsidRDefault="009A6B3D"/>
    <w:p w14:paraId="7D953EDF" w14:textId="77777777" w:rsidR="009A6B3D" w:rsidRDefault="009A6B3D"/>
    <w:p w14:paraId="6199E14A" w14:textId="77777777" w:rsidR="009A6B3D" w:rsidRDefault="009A6B3D"/>
    <w:p w14:paraId="6764C83F" w14:textId="77777777" w:rsidR="009A6B3D" w:rsidRDefault="009A6B3D"/>
    <w:p w14:paraId="2062F61A" w14:textId="77777777" w:rsidR="009A6B3D" w:rsidRDefault="009A6B3D"/>
    <w:p w14:paraId="0F87F56D" w14:textId="77777777" w:rsidR="009A6B3D" w:rsidRDefault="009A6B3D"/>
    <w:p w14:paraId="6DDF0FFE" w14:textId="77777777" w:rsidR="009A6B3D" w:rsidRDefault="009A6B3D"/>
    <w:p w14:paraId="2175625C" w14:textId="77777777" w:rsidR="009A6B3D" w:rsidRDefault="009A6B3D">
      <w:pPr>
        <w:ind w:left="720"/>
      </w:pPr>
    </w:p>
    <w:p w14:paraId="2F4B2A3B" w14:textId="77777777" w:rsidR="009A6B3D" w:rsidRDefault="00000000">
      <w:pPr>
        <w:pStyle w:val="Heading3"/>
        <w:spacing w:before="60"/>
      </w:pPr>
      <w:bookmarkStart w:id="18" w:name="_k86ljdbqngil" w:colFirst="0" w:colLast="0"/>
      <w:bookmarkEnd w:id="18"/>
      <w:r>
        <w:t>Summary of Adopted Recommendations and Proposed ICANN org approach</w:t>
      </w:r>
    </w:p>
    <w:p w14:paraId="719FE5DC" w14:textId="77777777" w:rsidR="009A6B3D" w:rsidRDefault="009A6B3D"/>
    <w:p w14:paraId="1E420D41" w14:textId="77777777" w:rsidR="009A6B3D" w:rsidRDefault="00000000">
      <w:pPr>
        <w:numPr>
          <w:ilvl w:val="0"/>
          <w:numId w:val="2"/>
        </w:numPr>
        <w:rPr>
          <w:b/>
          <w:sz w:val="24"/>
          <w:szCs w:val="24"/>
        </w:rPr>
      </w:pPr>
      <w:r>
        <w:rPr>
          <w:b/>
          <w:sz w:val="24"/>
          <w:szCs w:val="24"/>
        </w:rPr>
        <w:t xml:space="preserve">Recommendation from Final Report on IGO-INGO Access to Curative Rights Protection Mechanisms Policy Policy Development Process (PDP) </w:t>
      </w:r>
    </w:p>
    <w:p w14:paraId="6703327B" w14:textId="77777777" w:rsidR="009A6B3D" w:rsidRDefault="009A6B3D">
      <w:pPr>
        <w:widowControl w:val="0"/>
        <w:spacing w:before="264"/>
        <w:rPr>
          <w:rFonts w:ascii="Calibri" w:eastAsia="Calibri" w:hAnsi="Calibri" w:cs="Calibri"/>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2F4B51F8" w14:textId="77777777">
        <w:tc>
          <w:tcPr>
            <w:tcW w:w="2340" w:type="dxa"/>
            <w:shd w:val="clear" w:color="auto" w:fill="auto"/>
            <w:tcMar>
              <w:top w:w="100" w:type="dxa"/>
              <w:left w:w="100" w:type="dxa"/>
              <w:bottom w:w="100" w:type="dxa"/>
              <w:right w:w="100" w:type="dxa"/>
            </w:tcMar>
          </w:tcPr>
          <w:p w14:paraId="00B4778C" w14:textId="77777777" w:rsidR="009A6B3D" w:rsidRDefault="00000000">
            <w:pPr>
              <w:widowControl w:val="0"/>
              <w:spacing w:line="240" w:lineRule="auto"/>
              <w:rPr>
                <w:rFonts w:ascii="Calibri" w:eastAsia="Calibri" w:hAnsi="Calibri" w:cs="Calibri"/>
              </w:rPr>
            </w:pPr>
            <w:r>
              <w:rPr>
                <w:b/>
              </w:rPr>
              <w:lastRenderedPageBreak/>
              <w:t xml:space="preserve">PDP Recommendation </w:t>
            </w:r>
          </w:p>
        </w:tc>
        <w:tc>
          <w:tcPr>
            <w:tcW w:w="2340" w:type="dxa"/>
            <w:shd w:val="clear" w:color="auto" w:fill="auto"/>
            <w:tcMar>
              <w:top w:w="100" w:type="dxa"/>
              <w:left w:w="100" w:type="dxa"/>
              <w:bottom w:w="100" w:type="dxa"/>
              <w:right w:w="100" w:type="dxa"/>
            </w:tcMar>
          </w:tcPr>
          <w:p w14:paraId="265AE7B0"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08771CC4"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5C97314E" w14:textId="77777777" w:rsidR="009A6B3D" w:rsidRDefault="00000000">
            <w:pPr>
              <w:widowControl w:val="0"/>
              <w:pBdr>
                <w:top w:val="nil"/>
                <w:left w:val="nil"/>
                <w:bottom w:val="nil"/>
                <w:right w:val="nil"/>
                <w:between w:val="nil"/>
              </w:pBdr>
              <w:spacing w:line="240" w:lineRule="auto"/>
              <w:rPr>
                <w:rFonts w:ascii="Calibri" w:eastAsia="Calibri" w:hAnsi="Calibri" w:cs="Calibri"/>
                <w:b/>
              </w:rPr>
            </w:pPr>
            <w:r>
              <w:rPr>
                <w:b/>
              </w:rPr>
              <w:t xml:space="preserve">Summary of Recommendation </w:t>
            </w:r>
          </w:p>
        </w:tc>
      </w:tr>
      <w:tr w:rsidR="009A6B3D" w14:paraId="6AE989DF" w14:textId="77777777">
        <w:tc>
          <w:tcPr>
            <w:tcW w:w="2340" w:type="dxa"/>
            <w:shd w:val="clear" w:color="auto" w:fill="auto"/>
            <w:tcMar>
              <w:top w:w="100" w:type="dxa"/>
              <w:left w:w="100" w:type="dxa"/>
              <w:bottom w:w="100" w:type="dxa"/>
              <w:right w:w="100" w:type="dxa"/>
            </w:tcMar>
          </w:tcPr>
          <w:p w14:paraId="779463F8" w14:textId="77777777" w:rsidR="009A6B3D" w:rsidRDefault="00000000">
            <w:pPr>
              <w:widowControl w:val="0"/>
              <w:pBdr>
                <w:top w:val="nil"/>
                <w:left w:val="nil"/>
                <w:bottom w:val="nil"/>
                <w:right w:val="nil"/>
                <w:between w:val="nil"/>
              </w:pBdr>
              <w:spacing w:line="240" w:lineRule="auto"/>
              <w:rPr>
                <w:rFonts w:ascii="Calibri" w:eastAsia="Calibri" w:hAnsi="Calibri" w:cs="Calibri"/>
              </w:rPr>
            </w:pPr>
            <w:r>
              <w:t>1a</w:t>
            </w:r>
          </w:p>
        </w:tc>
        <w:tc>
          <w:tcPr>
            <w:tcW w:w="2340" w:type="dxa"/>
            <w:shd w:val="clear" w:color="auto" w:fill="auto"/>
            <w:tcMar>
              <w:top w:w="100" w:type="dxa"/>
              <w:left w:w="100" w:type="dxa"/>
              <w:bottom w:w="100" w:type="dxa"/>
              <w:right w:w="100" w:type="dxa"/>
            </w:tcMar>
          </w:tcPr>
          <w:p w14:paraId="12CC08DF" w14:textId="77777777" w:rsidR="009A6B3D" w:rsidRDefault="00000000">
            <w:pPr>
              <w:widowControl w:val="0"/>
              <w:pBdr>
                <w:top w:val="nil"/>
                <w:left w:val="nil"/>
                <w:bottom w:val="nil"/>
                <w:right w:val="nil"/>
                <w:between w:val="nil"/>
              </w:pBdr>
              <w:spacing w:line="240" w:lineRule="auto"/>
            </w:pPr>
            <w:r>
              <w:t>INGO</w:t>
            </w:r>
          </w:p>
        </w:tc>
        <w:tc>
          <w:tcPr>
            <w:tcW w:w="2340" w:type="dxa"/>
            <w:shd w:val="clear" w:color="auto" w:fill="auto"/>
            <w:tcMar>
              <w:top w:w="100" w:type="dxa"/>
              <w:left w:w="100" w:type="dxa"/>
              <w:bottom w:w="100" w:type="dxa"/>
              <w:right w:w="100" w:type="dxa"/>
            </w:tcMar>
          </w:tcPr>
          <w:p w14:paraId="387D1C84" w14:textId="77777777" w:rsidR="009A6B3D"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32BBD510" w14:textId="77777777" w:rsidR="009A6B3D" w:rsidRDefault="00000000">
            <w:pPr>
              <w:widowControl w:val="0"/>
              <w:spacing w:line="240" w:lineRule="auto"/>
              <w:rPr>
                <w:rFonts w:ascii="Calibri" w:eastAsia="Calibri" w:hAnsi="Calibri" w:cs="Calibri"/>
              </w:rPr>
            </w:pPr>
            <w:r>
              <w:t>For INGOs no substantive changes to the UDRP and URS are to be made, and no specific dispute resolution procedures are to be created.</w:t>
            </w:r>
          </w:p>
        </w:tc>
      </w:tr>
      <w:tr w:rsidR="009A6B3D" w14:paraId="0F514034" w14:textId="77777777">
        <w:tc>
          <w:tcPr>
            <w:tcW w:w="2340" w:type="dxa"/>
            <w:shd w:val="clear" w:color="auto" w:fill="auto"/>
            <w:tcMar>
              <w:top w:w="100" w:type="dxa"/>
              <w:left w:w="100" w:type="dxa"/>
              <w:bottom w:w="100" w:type="dxa"/>
              <w:right w:w="100" w:type="dxa"/>
            </w:tcMar>
          </w:tcPr>
          <w:p w14:paraId="1C5B1FA8" w14:textId="77777777" w:rsidR="009A6B3D" w:rsidRDefault="00000000">
            <w:pPr>
              <w:widowControl w:val="0"/>
              <w:pBdr>
                <w:top w:val="nil"/>
                <w:left w:val="nil"/>
                <w:bottom w:val="nil"/>
                <w:right w:val="nil"/>
                <w:between w:val="nil"/>
              </w:pBdr>
              <w:spacing w:line="240" w:lineRule="auto"/>
              <w:rPr>
                <w:rFonts w:ascii="Calibri" w:eastAsia="Calibri" w:hAnsi="Calibri" w:cs="Calibri"/>
              </w:rPr>
            </w:pPr>
            <w:r>
              <w:t>1b</w:t>
            </w:r>
          </w:p>
        </w:tc>
        <w:tc>
          <w:tcPr>
            <w:tcW w:w="2340" w:type="dxa"/>
            <w:shd w:val="clear" w:color="auto" w:fill="auto"/>
            <w:tcMar>
              <w:top w:w="100" w:type="dxa"/>
              <w:left w:w="100" w:type="dxa"/>
              <w:bottom w:w="100" w:type="dxa"/>
              <w:right w:w="100" w:type="dxa"/>
            </w:tcMar>
          </w:tcPr>
          <w:p w14:paraId="6EDA3C61" w14:textId="77777777" w:rsidR="009A6B3D" w:rsidRDefault="00000000">
            <w:pPr>
              <w:widowControl w:val="0"/>
              <w:pBdr>
                <w:top w:val="nil"/>
                <w:left w:val="nil"/>
                <w:bottom w:val="nil"/>
                <w:right w:val="nil"/>
                <w:between w:val="nil"/>
              </w:pBdr>
              <w:spacing w:line="240" w:lineRule="auto"/>
            </w:pPr>
            <w:r>
              <w:t>IGO</w:t>
            </w:r>
          </w:p>
        </w:tc>
        <w:tc>
          <w:tcPr>
            <w:tcW w:w="2340" w:type="dxa"/>
            <w:shd w:val="clear" w:color="auto" w:fill="auto"/>
            <w:tcMar>
              <w:top w:w="100" w:type="dxa"/>
              <w:left w:w="100" w:type="dxa"/>
              <w:bottom w:w="100" w:type="dxa"/>
              <w:right w:w="100" w:type="dxa"/>
            </w:tcMar>
          </w:tcPr>
          <w:p w14:paraId="454B58F6" w14:textId="77777777" w:rsidR="009A6B3D"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76A0BBCB" w14:textId="77777777" w:rsidR="009A6B3D" w:rsidRDefault="00000000">
            <w:pPr>
              <w:widowControl w:val="0"/>
              <w:spacing w:line="240" w:lineRule="auto"/>
              <w:rPr>
                <w:rFonts w:ascii="Calibri" w:eastAsia="Calibri" w:hAnsi="Calibri" w:cs="Calibri"/>
              </w:rPr>
            </w:pPr>
            <w:r>
              <w:t>For IGOs, no specific new dispute resolution procedures are to be created.</w:t>
            </w:r>
          </w:p>
        </w:tc>
      </w:tr>
    </w:tbl>
    <w:p w14:paraId="3B18BC45" w14:textId="77777777" w:rsidR="009A6B3D" w:rsidRDefault="009A6B3D">
      <w:pPr>
        <w:widowControl w:val="0"/>
        <w:spacing w:before="264"/>
        <w:rPr>
          <w:b/>
          <w:sz w:val="24"/>
          <w:szCs w:val="24"/>
        </w:rPr>
      </w:pPr>
    </w:p>
    <w:p w14:paraId="3EFB7171" w14:textId="77777777" w:rsidR="009A6B3D" w:rsidRDefault="00000000">
      <w:pPr>
        <w:widowControl w:val="0"/>
        <w:spacing w:before="264"/>
        <w:rPr>
          <w:sz w:val="24"/>
          <w:szCs w:val="24"/>
        </w:rPr>
      </w:pPr>
      <w:r>
        <w:rPr>
          <w:b/>
          <w:sz w:val="24"/>
          <w:szCs w:val="24"/>
        </w:rPr>
        <w:t xml:space="preserve">Proposed ICANN org Action: </w:t>
      </w:r>
      <w:r>
        <w:rPr>
          <w:sz w:val="24"/>
          <w:szCs w:val="24"/>
        </w:rPr>
        <w:t>Confirm with the IRT that no action is required.</w:t>
      </w:r>
    </w:p>
    <w:p w14:paraId="4F3BD5BD" w14:textId="77777777" w:rsidR="009A6B3D" w:rsidRDefault="009A6B3D">
      <w:pPr>
        <w:widowControl w:val="0"/>
        <w:spacing w:before="264"/>
        <w:rPr>
          <w:rFonts w:ascii="Calibri" w:eastAsia="Calibri" w:hAnsi="Calibri" w:cs="Calibri"/>
        </w:rPr>
      </w:pPr>
    </w:p>
    <w:p w14:paraId="45839DC2" w14:textId="77777777" w:rsidR="009A6B3D" w:rsidRDefault="009A6B3D">
      <w:pPr>
        <w:widowControl w:val="0"/>
        <w:spacing w:before="264"/>
        <w:rPr>
          <w:rFonts w:ascii="Calibri" w:eastAsia="Calibri" w:hAnsi="Calibri" w:cs="Calibri"/>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5FBEAB33" w14:textId="77777777">
        <w:tc>
          <w:tcPr>
            <w:tcW w:w="2340" w:type="dxa"/>
            <w:shd w:val="clear" w:color="auto" w:fill="auto"/>
            <w:tcMar>
              <w:top w:w="100" w:type="dxa"/>
              <w:left w:w="100" w:type="dxa"/>
              <w:bottom w:w="100" w:type="dxa"/>
              <w:right w:w="100" w:type="dxa"/>
            </w:tcMar>
          </w:tcPr>
          <w:p w14:paraId="6547FD1B" w14:textId="77777777" w:rsidR="009A6B3D" w:rsidRDefault="00000000">
            <w:pPr>
              <w:widowControl w:val="0"/>
              <w:spacing w:line="240" w:lineRule="auto"/>
              <w:rPr>
                <w:rFonts w:ascii="Calibri" w:eastAsia="Calibri" w:hAnsi="Calibri" w:cs="Calibri"/>
              </w:rPr>
            </w:pPr>
            <w:r>
              <w:rPr>
                <w:b/>
              </w:rPr>
              <w:t xml:space="preserve">PDP Recommendation </w:t>
            </w:r>
          </w:p>
        </w:tc>
        <w:tc>
          <w:tcPr>
            <w:tcW w:w="2340" w:type="dxa"/>
            <w:shd w:val="clear" w:color="auto" w:fill="auto"/>
            <w:tcMar>
              <w:top w:w="100" w:type="dxa"/>
              <w:left w:w="100" w:type="dxa"/>
              <w:bottom w:w="100" w:type="dxa"/>
              <w:right w:w="100" w:type="dxa"/>
            </w:tcMar>
          </w:tcPr>
          <w:p w14:paraId="15C5E8A7"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647AFB19"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5CFFE345" w14:textId="77777777" w:rsidR="009A6B3D" w:rsidRDefault="00000000">
            <w:pPr>
              <w:widowControl w:val="0"/>
              <w:spacing w:line="240" w:lineRule="auto"/>
              <w:rPr>
                <w:rFonts w:ascii="Calibri" w:eastAsia="Calibri" w:hAnsi="Calibri" w:cs="Calibri"/>
                <w:b/>
              </w:rPr>
            </w:pPr>
            <w:r>
              <w:rPr>
                <w:b/>
              </w:rPr>
              <w:t xml:space="preserve">Summary of Recommendation </w:t>
            </w:r>
          </w:p>
        </w:tc>
      </w:tr>
      <w:tr w:rsidR="009A6B3D" w14:paraId="7B5CAE17" w14:textId="77777777">
        <w:tc>
          <w:tcPr>
            <w:tcW w:w="2340" w:type="dxa"/>
            <w:shd w:val="clear" w:color="auto" w:fill="auto"/>
            <w:tcMar>
              <w:top w:w="100" w:type="dxa"/>
              <w:left w:w="100" w:type="dxa"/>
              <w:bottom w:w="100" w:type="dxa"/>
              <w:right w:w="100" w:type="dxa"/>
            </w:tcMar>
          </w:tcPr>
          <w:p w14:paraId="30BABB44" w14:textId="77777777" w:rsidR="009A6B3D" w:rsidRDefault="00000000">
            <w:pPr>
              <w:widowControl w:val="0"/>
              <w:spacing w:line="240" w:lineRule="auto"/>
              <w:rPr>
                <w:rFonts w:ascii="Calibri" w:eastAsia="Calibri" w:hAnsi="Calibri" w:cs="Calibri"/>
              </w:rPr>
            </w:pPr>
            <w:r>
              <w:t>2</w:t>
            </w:r>
          </w:p>
        </w:tc>
        <w:tc>
          <w:tcPr>
            <w:tcW w:w="2340" w:type="dxa"/>
            <w:shd w:val="clear" w:color="auto" w:fill="auto"/>
            <w:tcMar>
              <w:top w:w="100" w:type="dxa"/>
              <w:left w:w="100" w:type="dxa"/>
              <w:bottom w:w="100" w:type="dxa"/>
              <w:right w:w="100" w:type="dxa"/>
            </w:tcMar>
          </w:tcPr>
          <w:p w14:paraId="06AEDD39"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7D698C0D" w14:textId="77777777" w:rsidR="009A6B3D" w:rsidRDefault="00000000">
            <w:pPr>
              <w:widowControl w:val="0"/>
              <w:spacing w:line="240" w:lineRule="auto"/>
            </w:pPr>
            <w:r>
              <w:t>UDRP</w:t>
            </w:r>
          </w:p>
          <w:p w14:paraId="552EBF57" w14:textId="77777777" w:rsidR="009A6B3D" w:rsidRDefault="009A6B3D">
            <w:pPr>
              <w:widowControl w:val="0"/>
              <w:spacing w:line="240" w:lineRule="auto"/>
            </w:pPr>
          </w:p>
          <w:p w14:paraId="7D6F46BE"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30F9D492" w14:textId="77777777" w:rsidR="009A6B3D" w:rsidRDefault="00000000">
            <w:pPr>
              <w:widowControl w:val="0"/>
              <w:spacing w:line="240" w:lineRule="auto"/>
              <w:rPr>
                <w:rFonts w:ascii="Calibri" w:eastAsia="Calibri" w:hAnsi="Calibri" w:cs="Calibri"/>
              </w:rPr>
            </w:pPr>
            <w:r>
              <w:t>ICANN shall create policy guidance to show that a IGO that has the requisite standing to file a complaint under the UDRP or URS by showing that it has complied with the requisite communication and notification procedure in accordance with Article 6ter of the Paris Convention for the Protection of Industrial Property.</w:t>
            </w:r>
          </w:p>
        </w:tc>
      </w:tr>
    </w:tbl>
    <w:p w14:paraId="2D8FAC61" w14:textId="77777777" w:rsidR="009A6B3D" w:rsidRDefault="009A6B3D">
      <w:pPr>
        <w:widowControl w:val="0"/>
        <w:spacing w:before="264"/>
        <w:rPr>
          <w:b/>
          <w:sz w:val="24"/>
          <w:szCs w:val="24"/>
        </w:rPr>
      </w:pPr>
    </w:p>
    <w:p w14:paraId="7BD4E12C" w14:textId="77777777" w:rsidR="009A6B3D" w:rsidRDefault="00000000">
      <w:pPr>
        <w:widowControl w:val="0"/>
        <w:spacing w:before="264"/>
        <w:rPr>
          <w:b/>
          <w:sz w:val="24"/>
          <w:szCs w:val="24"/>
        </w:rPr>
      </w:pPr>
      <w:r>
        <w:rPr>
          <w:b/>
          <w:sz w:val="24"/>
          <w:szCs w:val="24"/>
        </w:rPr>
        <w:lastRenderedPageBreak/>
        <w:t xml:space="preserve">Proposed ICANN org actions: </w:t>
      </w:r>
    </w:p>
    <w:p w14:paraId="30CF5051" w14:textId="77777777" w:rsidR="009A6B3D" w:rsidRDefault="00000000">
      <w:pPr>
        <w:widowControl w:val="0"/>
        <w:spacing w:before="264"/>
        <w:rPr>
          <w:b/>
          <w:color w:val="0D436C"/>
          <w:sz w:val="36"/>
          <w:szCs w:val="36"/>
        </w:rPr>
      </w:pPr>
      <w:r>
        <w:t>Draft Policy Guidance for IRT review.</w:t>
      </w:r>
    </w:p>
    <w:p w14:paraId="1C490CAB" w14:textId="77777777" w:rsidR="009A6B3D" w:rsidRDefault="009A6B3D">
      <w:pPr>
        <w:widowControl w:val="0"/>
        <w:spacing w:before="264"/>
        <w:rPr>
          <w:rFonts w:ascii="Calibri" w:eastAsia="Calibri" w:hAnsi="Calibri" w:cs="Calibr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37C115C8" w14:textId="77777777">
        <w:tc>
          <w:tcPr>
            <w:tcW w:w="2340" w:type="dxa"/>
            <w:shd w:val="clear" w:color="auto" w:fill="auto"/>
            <w:tcMar>
              <w:top w:w="100" w:type="dxa"/>
              <w:left w:w="100" w:type="dxa"/>
              <w:bottom w:w="100" w:type="dxa"/>
              <w:right w:w="100" w:type="dxa"/>
            </w:tcMar>
          </w:tcPr>
          <w:p w14:paraId="3977BC69" w14:textId="77777777" w:rsidR="009A6B3D" w:rsidRDefault="00000000">
            <w:pPr>
              <w:widowControl w:val="0"/>
              <w:spacing w:line="240" w:lineRule="auto"/>
              <w:rPr>
                <w:b/>
              </w:rPr>
            </w:pPr>
            <w:r>
              <w:rPr>
                <w:b/>
              </w:rPr>
              <w:t xml:space="preserve">PDP Recommendation </w:t>
            </w:r>
          </w:p>
        </w:tc>
        <w:tc>
          <w:tcPr>
            <w:tcW w:w="2340" w:type="dxa"/>
            <w:shd w:val="clear" w:color="auto" w:fill="auto"/>
            <w:tcMar>
              <w:top w:w="100" w:type="dxa"/>
              <w:left w:w="100" w:type="dxa"/>
              <w:bottom w:w="100" w:type="dxa"/>
              <w:right w:w="100" w:type="dxa"/>
            </w:tcMar>
          </w:tcPr>
          <w:p w14:paraId="4183DC24"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7AA11C4E"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11C7C444" w14:textId="77777777" w:rsidR="009A6B3D" w:rsidRDefault="00000000">
            <w:pPr>
              <w:widowControl w:val="0"/>
              <w:spacing w:line="240" w:lineRule="auto"/>
              <w:rPr>
                <w:b/>
              </w:rPr>
            </w:pPr>
            <w:r>
              <w:rPr>
                <w:b/>
              </w:rPr>
              <w:t>Impacted Policies/Procedures</w:t>
            </w:r>
          </w:p>
        </w:tc>
      </w:tr>
      <w:tr w:rsidR="009A6B3D" w14:paraId="2AB5D9C9" w14:textId="77777777">
        <w:tc>
          <w:tcPr>
            <w:tcW w:w="2340" w:type="dxa"/>
            <w:shd w:val="clear" w:color="auto" w:fill="auto"/>
            <w:tcMar>
              <w:top w:w="100" w:type="dxa"/>
              <w:left w:w="100" w:type="dxa"/>
              <w:bottom w:w="100" w:type="dxa"/>
              <w:right w:w="100" w:type="dxa"/>
            </w:tcMar>
          </w:tcPr>
          <w:p w14:paraId="056D7286" w14:textId="77777777" w:rsidR="009A6B3D" w:rsidRDefault="00000000">
            <w:pPr>
              <w:widowControl w:val="0"/>
              <w:spacing w:line="240" w:lineRule="auto"/>
              <w:rPr>
                <w:rFonts w:ascii="Calibri" w:eastAsia="Calibri" w:hAnsi="Calibri" w:cs="Calibri"/>
              </w:rPr>
            </w:pPr>
            <w:r>
              <w:t xml:space="preserve">3 </w:t>
            </w:r>
          </w:p>
        </w:tc>
        <w:tc>
          <w:tcPr>
            <w:tcW w:w="2340" w:type="dxa"/>
            <w:shd w:val="clear" w:color="auto" w:fill="auto"/>
            <w:tcMar>
              <w:top w:w="100" w:type="dxa"/>
              <w:left w:w="100" w:type="dxa"/>
              <w:bottom w:w="100" w:type="dxa"/>
              <w:right w:w="100" w:type="dxa"/>
            </w:tcMar>
          </w:tcPr>
          <w:p w14:paraId="52CF427D" w14:textId="77777777" w:rsidR="009A6B3D" w:rsidRDefault="00000000">
            <w:pPr>
              <w:widowControl w:val="0"/>
              <w:spacing w:line="240" w:lineRule="auto"/>
            </w:pPr>
            <w:r>
              <w:t>IGO</w:t>
            </w:r>
          </w:p>
          <w:p w14:paraId="74369E02" w14:textId="77777777" w:rsidR="009A6B3D" w:rsidRDefault="009A6B3D">
            <w:pPr>
              <w:widowControl w:val="0"/>
              <w:spacing w:line="240" w:lineRule="auto"/>
            </w:pPr>
          </w:p>
          <w:p w14:paraId="6E58A271" w14:textId="77777777" w:rsidR="009A6B3D" w:rsidRDefault="00000000">
            <w:pPr>
              <w:widowControl w:val="0"/>
              <w:spacing w:line="240" w:lineRule="auto"/>
            </w:pPr>
            <w:r>
              <w:t>INGO</w:t>
            </w:r>
          </w:p>
        </w:tc>
        <w:tc>
          <w:tcPr>
            <w:tcW w:w="2340" w:type="dxa"/>
            <w:shd w:val="clear" w:color="auto" w:fill="auto"/>
            <w:tcMar>
              <w:top w:w="100" w:type="dxa"/>
              <w:left w:w="100" w:type="dxa"/>
              <w:bottom w:w="100" w:type="dxa"/>
              <w:right w:w="100" w:type="dxa"/>
            </w:tcMar>
          </w:tcPr>
          <w:p w14:paraId="595CC2A8" w14:textId="77777777" w:rsidR="009A6B3D" w:rsidRDefault="00000000">
            <w:pPr>
              <w:widowControl w:val="0"/>
              <w:spacing w:line="240" w:lineRule="auto"/>
            </w:pPr>
            <w:r>
              <w:t>UDRP</w:t>
            </w:r>
          </w:p>
          <w:p w14:paraId="56A49FBD" w14:textId="77777777" w:rsidR="009A6B3D" w:rsidRDefault="009A6B3D">
            <w:pPr>
              <w:widowControl w:val="0"/>
              <w:spacing w:line="240" w:lineRule="auto"/>
            </w:pPr>
          </w:p>
          <w:p w14:paraId="04910768"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4AD5C9EB" w14:textId="77777777" w:rsidR="009A6B3D" w:rsidRDefault="00000000">
            <w:pPr>
              <w:spacing w:before="240" w:after="240"/>
              <w:rPr>
                <w:rFonts w:ascii="Cambria" w:eastAsia="Cambria" w:hAnsi="Cambria" w:cs="Cambria"/>
              </w:rPr>
            </w:pPr>
            <w:r>
              <w:t>ICANN shall create policy guidance on IGO filing options and how IGOs can contact a registrar of record to address harms before filing a complaint under the UDRP/URS. ICANN shall bring this policy guidance to the GAC for its information, and publish this guidance on ICANN’s websit</w:t>
            </w:r>
            <w:r>
              <w:rPr>
                <w:rFonts w:ascii="Cambria" w:eastAsia="Cambria" w:hAnsi="Cambria" w:cs="Cambria"/>
              </w:rPr>
              <w:t xml:space="preserve">e. </w:t>
            </w:r>
          </w:p>
          <w:p w14:paraId="06B00B80" w14:textId="77777777" w:rsidR="009A6B3D" w:rsidRDefault="009A6B3D">
            <w:pPr>
              <w:widowControl w:val="0"/>
              <w:spacing w:line="240" w:lineRule="auto"/>
              <w:rPr>
                <w:rFonts w:ascii="Calibri" w:eastAsia="Calibri" w:hAnsi="Calibri" w:cs="Calibri"/>
              </w:rPr>
            </w:pPr>
          </w:p>
        </w:tc>
      </w:tr>
    </w:tbl>
    <w:p w14:paraId="1D70B4E9" w14:textId="77777777" w:rsidR="009A6B3D" w:rsidRDefault="00000000">
      <w:pPr>
        <w:widowControl w:val="0"/>
        <w:spacing w:before="264"/>
      </w:pPr>
      <w:r>
        <w:rPr>
          <w:b/>
          <w:sz w:val="24"/>
          <w:szCs w:val="24"/>
        </w:rPr>
        <w:t>Proposed ICANN org actions:</w:t>
      </w:r>
      <w:r>
        <w:t xml:space="preserve"> </w:t>
      </w:r>
    </w:p>
    <w:p w14:paraId="07D90DAA" w14:textId="77777777" w:rsidR="009A6B3D" w:rsidRDefault="00000000">
      <w:pPr>
        <w:widowControl w:val="0"/>
        <w:spacing w:before="264" w:after="200"/>
      </w:pPr>
      <w:r>
        <w:t>Draft text for IRT review. Publish the specified policy guidance and circulate to the GAC.</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5C67EF4B" w14:textId="77777777">
        <w:tc>
          <w:tcPr>
            <w:tcW w:w="2340" w:type="dxa"/>
            <w:shd w:val="clear" w:color="auto" w:fill="auto"/>
            <w:tcMar>
              <w:top w:w="100" w:type="dxa"/>
              <w:left w:w="100" w:type="dxa"/>
              <w:bottom w:w="100" w:type="dxa"/>
              <w:right w:w="100" w:type="dxa"/>
            </w:tcMar>
          </w:tcPr>
          <w:p w14:paraId="2CEDDD05" w14:textId="77777777" w:rsidR="009A6B3D" w:rsidRDefault="00000000">
            <w:pPr>
              <w:widowControl w:val="0"/>
              <w:spacing w:line="240" w:lineRule="auto"/>
              <w:rPr>
                <w:rFonts w:ascii="Calibri" w:eastAsia="Calibri" w:hAnsi="Calibri" w:cs="Calibri"/>
              </w:rPr>
            </w:pPr>
            <w:r>
              <w:rPr>
                <w:b/>
              </w:rPr>
              <w:t xml:space="preserve">PDP Recommendation </w:t>
            </w:r>
          </w:p>
        </w:tc>
        <w:tc>
          <w:tcPr>
            <w:tcW w:w="2340" w:type="dxa"/>
            <w:shd w:val="clear" w:color="auto" w:fill="auto"/>
            <w:tcMar>
              <w:top w:w="100" w:type="dxa"/>
              <w:left w:w="100" w:type="dxa"/>
              <w:bottom w:w="100" w:type="dxa"/>
              <w:right w:w="100" w:type="dxa"/>
            </w:tcMar>
          </w:tcPr>
          <w:p w14:paraId="3C44CD60"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3687BD6F"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107B11D6" w14:textId="77777777" w:rsidR="009A6B3D" w:rsidRDefault="00000000">
            <w:pPr>
              <w:widowControl w:val="0"/>
              <w:spacing w:line="240" w:lineRule="auto"/>
              <w:rPr>
                <w:rFonts w:ascii="Calibri" w:eastAsia="Calibri" w:hAnsi="Calibri" w:cs="Calibri"/>
                <w:b/>
              </w:rPr>
            </w:pPr>
            <w:r>
              <w:rPr>
                <w:b/>
              </w:rPr>
              <w:t xml:space="preserve">Summary of Recommendation </w:t>
            </w:r>
          </w:p>
        </w:tc>
      </w:tr>
      <w:tr w:rsidR="009A6B3D" w14:paraId="4E9E3C91" w14:textId="77777777">
        <w:tc>
          <w:tcPr>
            <w:tcW w:w="2340" w:type="dxa"/>
            <w:shd w:val="clear" w:color="auto" w:fill="auto"/>
            <w:tcMar>
              <w:top w:w="100" w:type="dxa"/>
              <w:left w:w="100" w:type="dxa"/>
              <w:bottom w:w="100" w:type="dxa"/>
              <w:right w:w="100" w:type="dxa"/>
            </w:tcMar>
          </w:tcPr>
          <w:p w14:paraId="1A540510" w14:textId="77777777" w:rsidR="009A6B3D" w:rsidRDefault="00000000">
            <w:pPr>
              <w:widowControl w:val="0"/>
              <w:spacing w:line="240" w:lineRule="auto"/>
              <w:rPr>
                <w:rFonts w:ascii="Calibri" w:eastAsia="Calibri" w:hAnsi="Calibri" w:cs="Calibri"/>
              </w:rPr>
            </w:pPr>
            <w:r>
              <w:t xml:space="preserve">4 </w:t>
            </w:r>
          </w:p>
        </w:tc>
        <w:tc>
          <w:tcPr>
            <w:tcW w:w="2340" w:type="dxa"/>
            <w:shd w:val="clear" w:color="auto" w:fill="auto"/>
            <w:tcMar>
              <w:top w:w="100" w:type="dxa"/>
              <w:left w:w="100" w:type="dxa"/>
              <w:bottom w:w="100" w:type="dxa"/>
              <w:right w:w="100" w:type="dxa"/>
            </w:tcMar>
          </w:tcPr>
          <w:p w14:paraId="2452F11C" w14:textId="77777777" w:rsidR="009A6B3D" w:rsidRDefault="00000000">
            <w:pPr>
              <w:widowControl w:val="0"/>
              <w:spacing w:line="240" w:lineRule="auto"/>
            </w:pPr>
            <w:r>
              <w:t>IGO</w:t>
            </w:r>
          </w:p>
          <w:p w14:paraId="1CF87ECA" w14:textId="77777777" w:rsidR="009A6B3D" w:rsidRDefault="009A6B3D">
            <w:pPr>
              <w:widowControl w:val="0"/>
              <w:spacing w:line="240" w:lineRule="auto"/>
            </w:pPr>
          </w:p>
          <w:p w14:paraId="0424C708" w14:textId="77777777" w:rsidR="009A6B3D" w:rsidRDefault="00000000">
            <w:pPr>
              <w:widowControl w:val="0"/>
              <w:spacing w:line="240" w:lineRule="auto"/>
            </w:pPr>
            <w:r>
              <w:t>INGO</w:t>
            </w:r>
          </w:p>
        </w:tc>
        <w:tc>
          <w:tcPr>
            <w:tcW w:w="2340" w:type="dxa"/>
            <w:shd w:val="clear" w:color="auto" w:fill="auto"/>
            <w:tcMar>
              <w:top w:w="100" w:type="dxa"/>
              <w:left w:w="100" w:type="dxa"/>
              <w:bottom w:w="100" w:type="dxa"/>
              <w:right w:w="100" w:type="dxa"/>
            </w:tcMar>
          </w:tcPr>
          <w:p w14:paraId="11F42180" w14:textId="77777777" w:rsidR="009A6B3D" w:rsidRDefault="00000000">
            <w:pPr>
              <w:widowControl w:val="0"/>
              <w:spacing w:line="240" w:lineRule="auto"/>
            </w:pPr>
            <w:r>
              <w:t>UDRP</w:t>
            </w:r>
          </w:p>
          <w:p w14:paraId="5DB5E9B0" w14:textId="77777777" w:rsidR="009A6B3D" w:rsidRDefault="009A6B3D">
            <w:pPr>
              <w:widowControl w:val="0"/>
              <w:spacing w:line="240" w:lineRule="auto"/>
            </w:pPr>
          </w:p>
          <w:p w14:paraId="26D2FC00"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071A5788" w14:textId="77777777" w:rsidR="009A6B3D" w:rsidRDefault="00000000">
            <w:pPr>
              <w:spacing w:before="240" w:after="240"/>
              <w:rPr>
                <w:rFonts w:ascii="Cambria" w:eastAsia="Cambria" w:hAnsi="Cambria" w:cs="Cambria"/>
              </w:rPr>
            </w:pPr>
            <w:r>
              <w:t>In the absence of a recommendation to provide subsidies for UDRP/URS use; ICANN acknowledgement of  the need for Board-</w:t>
            </w:r>
            <w:r>
              <w:lastRenderedPageBreak/>
              <w:t xml:space="preserve">GAC-IGO discussion on this issue. </w:t>
            </w:r>
          </w:p>
          <w:p w14:paraId="189CB37B" w14:textId="77777777" w:rsidR="009A6B3D" w:rsidRDefault="009A6B3D">
            <w:pPr>
              <w:widowControl w:val="0"/>
              <w:spacing w:line="240" w:lineRule="auto"/>
              <w:rPr>
                <w:rFonts w:ascii="Calibri" w:eastAsia="Calibri" w:hAnsi="Calibri" w:cs="Calibri"/>
              </w:rPr>
            </w:pPr>
          </w:p>
        </w:tc>
      </w:tr>
    </w:tbl>
    <w:p w14:paraId="27865A13" w14:textId="77777777" w:rsidR="009A6B3D" w:rsidRDefault="00000000">
      <w:pPr>
        <w:widowControl w:val="0"/>
        <w:spacing w:before="264"/>
      </w:pPr>
      <w:r>
        <w:rPr>
          <w:b/>
          <w:sz w:val="24"/>
          <w:szCs w:val="24"/>
        </w:rPr>
        <w:lastRenderedPageBreak/>
        <w:t>Proposed ICANN org actions</w:t>
      </w:r>
      <w:r>
        <w:t xml:space="preserve">: </w:t>
      </w:r>
    </w:p>
    <w:p w14:paraId="683A44BF" w14:textId="77777777" w:rsidR="009A6B3D" w:rsidRDefault="00000000">
      <w:pPr>
        <w:widowControl w:val="0"/>
        <w:spacing w:before="264"/>
      </w:pPr>
      <w:r>
        <w:t>Confirm with IRT that this recommendation does not require action by the IRT.</w:t>
      </w:r>
    </w:p>
    <w:p w14:paraId="1E6C35EB" w14:textId="77777777" w:rsidR="009A6B3D" w:rsidRDefault="009A6B3D"/>
    <w:p w14:paraId="385D4CBE" w14:textId="77777777" w:rsidR="009A6B3D" w:rsidRDefault="00000000">
      <w:pPr>
        <w:numPr>
          <w:ilvl w:val="0"/>
          <w:numId w:val="2"/>
        </w:numPr>
        <w:rPr>
          <w:b/>
          <w:sz w:val="24"/>
          <w:szCs w:val="24"/>
        </w:rPr>
      </w:pPr>
      <w:r>
        <w:rPr>
          <w:b/>
          <w:sz w:val="24"/>
          <w:szCs w:val="24"/>
        </w:rPr>
        <w:t>Recommendations from Final Report of the Expedited Policy Development Process (EPDP) on Specific Curative Rights Protection for International Governmental Organizations (IGOs</w:t>
      </w:r>
      <w:r>
        <w:rPr>
          <w:rFonts w:ascii="Cambria" w:eastAsia="Cambria" w:hAnsi="Cambria" w:cs="Cambria"/>
          <w:b/>
        </w:rPr>
        <w:t>)</w:t>
      </w:r>
    </w:p>
    <w:p w14:paraId="6E55DCBA" w14:textId="77777777" w:rsidR="009A6B3D" w:rsidRDefault="009A6B3D">
      <w:pPr>
        <w:widowControl w:val="0"/>
        <w:spacing w:before="264"/>
        <w:rPr>
          <w:rFonts w:ascii="Calibri" w:eastAsia="Calibri" w:hAnsi="Calibri" w:cs="Calibri"/>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13258E23" w14:textId="77777777">
        <w:tc>
          <w:tcPr>
            <w:tcW w:w="2340" w:type="dxa"/>
            <w:shd w:val="clear" w:color="auto" w:fill="auto"/>
            <w:tcMar>
              <w:top w:w="100" w:type="dxa"/>
              <w:left w:w="100" w:type="dxa"/>
              <w:bottom w:w="100" w:type="dxa"/>
              <w:right w:w="100" w:type="dxa"/>
            </w:tcMar>
          </w:tcPr>
          <w:p w14:paraId="6F01C540" w14:textId="77777777" w:rsidR="009A6B3D" w:rsidRDefault="00000000">
            <w:pPr>
              <w:widowControl w:val="0"/>
              <w:spacing w:line="240" w:lineRule="auto"/>
              <w:rPr>
                <w:b/>
              </w:rPr>
            </w:pPr>
            <w:r>
              <w:rPr>
                <w:b/>
              </w:rPr>
              <w:t xml:space="preserve">EPDP Recommendation </w:t>
            </w:r>
          </w:p>
        </w:tc>
        <w:tc>
          <w:tcPr>
            <w:tcW w:w="2340" w:type="dxa"/>
            <w:shd w:val="clear" w:color="auto" w:fill="auto"/>
            <w:tcMar>
              <w:top w:w="100" w:type="dxa"/>
              <w:left w:w="100" w:type="dxa"/>
              <w:bottom w:w="100" w:type="dxa"/>
              <w:right w:w="100" w:type="dxa"/>
            </w:tcMar>
          </w:tcPr>
          <w:p w14:paraId="31F927DB"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3E7ABCEC"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05AE84B4" w14:textId="77777777" w:rsidR="009A6B3D" w:rsidRDefault="00000000">
            <w:pPr>
              <w:widowControl w:val="0"/>
              <w:pBdr>
                <w:top w:val="nil"/>
                <w:left w:val="nil"/>
                <w:bottom w:val="nil"/>
                <w:right w:val="nil"/>
                <w:between w:val="nil"/>
              </w:pBdr>
              <w:spacing w:line="240" w:lineRule="auto"/>
              <w:rPr>
                <w:b/>
              </w:rPr>
            </w:pPr>
            <w:r>
              <w:rPr>
                <w:b/>
              </w:rPr>
              <w:t xml:space="preserve">Summary of Recommendation </w:t>
            </w:r>
          </w:p>
        </w:tc>
      </w:tr>
      <w:tr w:rsidR="009A6B3D" w14:paraId="385C02D7" w14:textId="77777777">
        <w:tc>
          <w:tcPr>
            <w:tcW w:w="2340" w:type="dxa"/>
            <w:shd w:val="clear" w:color="auto" w:fill="auto"/>
            <w:tcMar>
              <w:top w:w="100" w:type="dxa"/>
              <w:left w:w="100" w:type="dxa"/>
              <w:bottom w:w="100" w:type="dxa"/>
              <w:right w:w="100" w:type="dxa"/>
            </w:tcMar>
          </w:tcPr>
          <w:p w14:paraId="22CA96A7" w14:textId="77777777" w:rsidR="009A6B3D" w:rsidRDefault="00000000">
            <w:pPr>
              <w:widowControl w:val="0"/>
              <w:spacing w:line="240" w:lineRule="auto"/>
            </w:pPr>
            <w:r>
              <w:t xml:space="preserve">1 </w:t>
            </w:r>
          </w:p>
        </w:tc>
        <w:tc>
          <w:tcPr>
            <w:tcW w:w="2340" w:type="dxa"/>
            <w:shd w:val="clear" w:color="auto" w:fill="auto"/>
            <w:tcMar>
              <w:top w:w="100" w:type="dxa"/>
              <w:left w:w="100" w:type="dxa"/>
              <w:bottom w:w="100" w:type="dxa"/>
              <w:right w:w="100" w:type="dxa"/>
            </w:tcMar>
          </w:tcPr>
          <w:p w14:paraId="51025883"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620A7D3E" w14:textId="77777777" w:rsidR="009A6B3D" w:rsidRDefault="00000000">
            <w:pPr>
              <w:widowControl w:val="0"/>
              <w:spacing w:line="240" w:lineRule="auto"/>
            </w:pPr>
            <w:r>
              <w:t>UDRP</w:t>
            </w:r>
          </w:p>
          <w:p w14:paraId="4773A3B1" w14:textId="77777777" w:rsidR="009A6B3D" w:rsidRDefault="009A6B3D">
            <w:pPr>
              <w:widowControl w:val="0"/>
              <w:spacing w:line="240" w:lineRule="auto"/>
            </w:pPr>
          </w:p>
          <w:p w14:paraId="3A5B93EB"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6646774F" w14:textId="77777777" w:rsidR="009A6B3D" w:rsidRDefault="00000000">
            <w:r>
              <w:t xml:space="preserve">Draft proposed definition of "IGO Complainant" based on EPDP recommendation for IRT review. The recommendation provides exact wording. </w:t>
            </w:r>
          </w:p>
        </w:tc>
      </w:tr>
    </w:tbl>
    <w:p w14:paraId="3CE5D696" w14:textId="77777777" w:rsidR="009A6B3D" w:rsidRDefault="009A6B3D">
      <w:pPr>
        <w:widowControl w:val="0"/>
        <w:spacing w:before="264"/>
        <w:rPr>
          <w:b/>
          <w:sz w:val="24"/>
          <w:szCs w:val="24"/>
        </w:rPr>
      </w:pPr>
    </w:p>
    <w:p w14:paraId="58660238" w14:textId="77777777" w:rsidR="009A6B3D" w:rsidRDefault="00000000">
      <w:pPr>
        <w:widowControl w:val="0"/>
        <w:spacing w:before="264"/>
      </w:pPr>
      <w:r>
        <w:rPr>
          <w:b/>
          <w:sz w:val="24"/>
          <w:szCs w:val="24"/>
        </w:rPr>
        <w:t>Proposed ICANN org actions</w:t>
      </w:r>
      <w:r>
        <w:t xml:space="preserve">: </w:t>
      </w:r>
    </w:p>
    <w:p w14:paraId="5C70145B" w14:textId="77777777" w:rsidR="009A6B3D" w:rsidRDefault="00000000">
      <w:pPr>
        <w:widowControl w:val="0"/>
        <w:spacing w:before="264"/>
      </w:pPr>
      <w:r>
        <w:t xml:space="preserve">Draft text for proposed definition for discussion with IRT. </w:t>
      </w:r>
    </w:p>
    <w:p w14:paraId="52C9C41E" w14:textId="77777777" w:rsidR="009A6B3D" w:rsidRDefault="009A6B3D">
      <w:pPr>
        <w:widowControl w:val="0"/>
        <w:spacing w:before="264"/>
        <w:rPr>
          <w:rFonts w:ascii="Calibri" w:eastAsia="Calibri" w:hAnsi="Calibri" w:cs="Calibri"/>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574DAEE9" w14:textId="77777777">
        <w:tc>
          <w:tcPr>
            <w:tcW w:w="2340" w:type="dxa"/>
            <w:shd w:val="clear" w:color="auto" w:fill="auto"/>
            <w:tcMar>
              <w:top w:w="100" w:type="dxa"/>
              <w:left w:w="100" w:type="dxa"/>
              <w:bottom w:w="100" w:type="dxa"/>
              <w:right w:w="100" w:type="dxa"/>
            </w:tcMar>
          </w:tcPr>
          <w:p w14:paraId="2175A3AB" w14:textId="77777777" w:rsidR="009A6B3D" w:rsidRDefault="00000000">
            <w:pPr>
              <w:widowControl w:val="0"/>
              <w:spacing w:line="240" w:lineRule="auto"/>
              <w:rPr>
                <w:b/>
              </w:rPr>
            </w:pPr>
            <w:r>
              <w:rPr>
                <w:b/>
              </w:rPr>
              <w:t xml:space="preserve">EPDP Recommendation </w:t>
            </w:r>
          </w:p>
        </w:tc>
        <w:tc>
          <w:tcPr>
            <w:tcW w:w="2340" w:type="dxa"/>
            <w:shd w:val="clear" w:color="auto" w:fill="auto"/>
            <w:tcMar>
              <w:top w:w="100" w:type="dxa"/>
              <w:left w:w="100" w:type="dxa"/>
              <w:bottom w:w="100" w:type="dxa"/>
              <w:right w:w="100" w:type="dxa"/>
            </w:tcMar>
          </w:tcPr>
          <w:p w14:paraId="391498C2"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663528CF"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206B8157" w14:textId="77777777" w:rsidR="009A6B3D" w:rsidRDefault="00000000">
            <w:pPr>
              <w:widowControl w:val="0"/>
              <w:spacing w:line="240" w:lineRule="auto"/>
              <w:rPr>
                <w:b/>
              </w:rPr>
            </w:pPr>
            <w:r>
              <w:rPr>
                <w:b/>
              </w:rPr>
              <w:t xml:space="preserve">Summary of Recommendation </w:t>
            </w:r>
          </w:p>
        </w:tc>
      </w:tr>
      <w:tr w:rsidR="009A6B3D" w14:paraId="6108EF6D" w14:textId="77777777">
        <w:tc>
          <w:tcPr>
            <w:tcW w:w="2340" w:type="dxa"/>
            <w:shd w:val="clear" w:color="auto" w:fill="auto"/>
            <w:tcMar>
              <w:top w:w="100" w:type="dxa"/>
              <w:left w:w="100" w:type="dxa"/>
              <w:bottom w:w="100" w:type="dxa"/>
              <w:right w:w="100" w:type="dxa"/>
            </w:tcMar>
          </w:tcPr>
          <w:p w14:paraId="5A3C0559" w14:textId="77777777" w:rsidR="009A6B3D" w:rsidRDefault="00000000">
            <w:pPr>
              <w:widowControl w:val="0"/>
              <w:spacing w:line="240" w:lineRule="auto"/>
            </w:pPr>
            <w:r>
              <w:t xml:space="preserve">2 </w:t>
            </w:r>
          </w:p>
        </w:tc>
        <w:tc>
          <w:tcPr>
            <w:tcW w:w="2340" w:type="dxa"/>
            <w:shd w:val="clear" w:color="auto" w:fill="auto"/>
            <w:tcMar>
              <w:top w:w="100" w:type="dxa"/>
              <w:left w:w="100" w:type="dxa"/>
              <w:bottom w:w="100" w:type="dxa"/>
              <w:right w:w="100" w:type="dxa"/>
            </w:tcMar>
          </w:tcPr>
          <w:p w14:paraId="4BA605F7"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3B3FBE61" w14:textId="77777777" w:rsidR="009A6B3D" w:rsidRDefault="00000000">
            <w:pPr>
              <w:widowControl w:val="0"/>
              <w:spacing w:line="240" w:lineRule="auto"/>
            </w:pPr>
            <w:r>
              <w:t>UDRP</w:t>
            </w:r>
          </w:p>
          <w:p w14:paraId="17776D6D" w14:textId="77777777" w:rsidR="009A6B3D" w:rsidRDefault="009A6B3D">
            <w:pPr>
              <w:widowControl w:val="0"/>
              <w:spacing w:line="240" w:lineRule="auto"/>
            </w:pPr>
          </w:p>
          <w:p w14:paraId="5BADAE6F"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3109CF3D" w14:textId="77777777" w:rsidR="009A6B3D" w:rsidRDefault="00000000">
            <w:pPr>
              <w:rPr>
                <w:rFonts w:ascii="Cambria" w:eastAsia="Cambria" w:hAnsi="Cambria" w:cs="Cambria"/>
              </w:rPr>
            </w:pPr>
            <w:r>
              <w:t xml:space="preserve">Exempt IGO Complainants from agreeing to Mutual Jurisdiction and require providers to </w:t>
            </w:r>
            <w:r>
              <w:lastRenderedPageBreak/>
              <w:t xml:space="preserve">notify respondents of their rights and potential immunity issues. </w:t>
            </w:r>
          </w:p>
          <w:p w14:paraId="606014C0" w14:textId="77777777" w:rsidR="009A6B3D" w:rsidRDefault="009A6B3D"/>
        </w:tc>
      </w:tr>
    </w:tbl>
    <w:p w14:paraId="2ED61518" w14:textId="77777777" w:rsidR="009A6B3D" w:rsidRDefault="00000000">
      <w:pPr>
        <w:widowControl w:val="0"/>
        <w:spacing w:before="264"/>
      </w:pPr>
      <w:r>
        <w:rPr>
          <w:b/>
          <w:sz w:val="24"/>
          <w:szCs w:val="24"/>
        </w:rPr>
        <w:lastRenderedPageBreak/>
        <w:t>Proposed ICANN org actions</w:t>
      </w:r>
      <w:r>
        <w:t xml:space="preserve">: </w:t>
      </w:r>
    </w:p>
    <w:p w14:paraId="65F41428" w14:textId="77777777" w:rsidR="009A6B3D" w:rsidRDefault="00000000">
      <w:pPr>
        <w:widowControl w:val="0"/>
        <w:spacing w:before="264"/>
      </w:pPr>
      <w:r>
        <w:t>Draft proposed updates to UDRP and URS procedures and discuss with IRT, including any  potential impacts or additional requirements.</w:t>
      </w:r>
    </w:p>
    <w:p w14:paraId="5FB62596" w14:textId="77777777" w:rsidR="009A6B3D" w:rsidRDefault="009A6B3D">
      <w:pPr>
        <w:widowControl w:val="0"/>
        <w:spacing w:before="264"/>
        <w:rPr>
          <w:rFonts w:ascii="Calibri" w:eastAsia="Calibri" w:hAnsi="Calibri" w:cs="Calibri"/>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66810251" w14:textId="77777777">
        <w:tc>
          <w:tcPr>
            <w:tcW w:w="2340" w:type="dxa"/>
            <w:shd w:val="clear" w:color="auto" w:fill="auto"/>
            <w:tcMar>
              <w:top w:w="100" w:type="dxa"/>
              <w:left w:w="100" w:type="dxa"/>
              <w:bottom w:w="100" w:type="dxa"/>
              <w:right w:w="100" w:type="dxa"/>
            </w:tcMar>
          </w:tcPr>
          <w:p w14:paraId="69CCCA46" w14:textId="77777777" w:rsidR="009A6B3D" w:rsidRDefault="00000000">
            <w:pPr>
              <w:widowControl w:val="0"/>
              <w:spacing w:line="240" w:lineRule="auto"/>
              <w:rPr>
                <w:b/>
              </w:rPr>
            </w:pPr>
            <w:r>
              <w:rPr>
                <w:b/>
              </w:rPr>
              <w:t xml:space="preserve">EPDP Recommendation </w:t>
            </w:r>
          </w:p>
        </w:tc>
        <w:tc>
          <w:tcPr>
            <w:tcW w:w="2340" w:type="dxa"/>
            <w:shd w:val="clear" w:color="auto" w:fill="auto"/>
            <w:tcMar>
              <w:top w:w="100" w:type="dxa"/>
              <w:left w:w="100" w:type="dxa"/>
              <w:bottom w:w="100" w:type="dxa"/>
              <w:right w:w="100" w:type="dxa"/>
            </w:tcMar>
          </w:tcPr>
          <w:p w14:paraId="7078D703"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66DD8A65"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5C132BB7" w14:textId="77777777" w:rsidR="009A6B3D" w:rsidRDefault="00000000">
            <w:pPr>
              <w:widowControl w:val="0"/>
              <w:spacing w:line="240" w:lineRule="auto"/>
              <w:rPr>
                <w:b/>
              </w:rPr>
            </w:pPr>
            <w:r>
              <w:rPr>
                <w:b/>
              </w:rPr>
              <w:t xml:space="preserve">Summary of Recommendation </w:t>
            </w:r>
          </w:p>
        </w:tc>
      </w:tr>
      <w:tr w:rsidR="009A6B3D" w14:paraId="74B48906" w14:textId="77777777">
        <w:tc>
          <w:tcPr>
            <w:tcW w:w="2340" w:type="dxa"/>
            <w:shd w:val="clear" w:color="auto" w:fill="auto"/>
            <w:tcMar>
              <w:top w:w="100" w:type="dxa"/>
              <w:left w:w="100" w:type="dxa"/>
              <w:bottom w:w="100" w:type="dxa"/>
              <w:right w:w="100" w:type="dxa"/>
            </w:tcMar>
          </w:tcPr>
          <w:p w14:paraId="7E42BA69" w14:textId="77777777" w:rsidR="009A6B3D" w:rsidRDefault="00000000">
            <w:pPr>
              <w:widowControl w:val="0"/>
              <w:spacing w:line="240" w:lineRule="auto"/>
            </w:pPr>
            <w:r>
              <w:t xml:space="preserve">3 </w:t>
            </w:r>
          </w:p>
        </w:tc>
        <w:tc>
          <w:tcPr>
            <w:tcW w:w="2340" w:type="dxa"/>
            <w:shd w:val="clear" w:color="auto" w:fill="auto"/>
            <w:tcMar>
              <w:top w:w="100" w:type="dxa"/>
              <w:left w:w="100" w:type="dxa"/>
              <w:bottom w:w="100" w:type="dxa"/>
              <w:right w:w="100" w:type="dxa"/>
            </w:tcMar>
          </w:tcPr>
          <w:p w14:paraId="60F637F1"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60CD04AC" w14:textId="77777777" w:rsidR="009A6B3D" w:rsidRDefault="00000000">
            <w:pPr>
              <w:widowControl w:val="0"/>
              <w:spacing w:line="240" w:lineRule="auto"/>
            </w:pPr>
            <w:r>
              <w:t>UDRP</w:t>
            </w:r>
          </w:p>
        </w:tc>
        <w:tc>
          <w:tcPr>
            <w:tcW w:w="2340" w:type="dxa"/>
            <w:shd w:val="clear" w:color="auto" w:fill="auto"/>
            <w:tcMar>
              <w:top w:w="100" w:type="dxa"/>
              <w:left w:w="100" w:type="dxa"/>
              <w:bottom w:w="100" w:type="dxa"/>
              <w:right w:w="100" w:type="dxa"/>
            </w:tcMar>
          </w:tcPr>
          <w:p w14:paraId="34391872" w14:textId="77777777" w:rsidR="009A6B3D" w:rsidRDefault="00000000">
            <w:pPr>
              <w:widowControl w:val="0"/>
              <w:spacing w:line="240" w:lineRule="auto"/>
              <w:rPr>
                <w:rFonts w:ascii="Cambria" w:eastAsia="Cambria" w:hAnsi="Cambria" w:cs="Cambria"/>
              </w:rPr>
            </w:pPr>
            <w:r>
              <w:t xml:space="preserve">Arbitral Review following a UDRP Proceeding:  add provisions to UDRP for voluntary arbitration following a UDRP proceeding. </w:t>
            </w:r>
          </w:p>
          <w:p w14:paraId="0D6B9EB7" w14:textId="77777777" w:rsidR="009A6B3D" w:rsidRDefault="009A6B3D"/>
        </w:tc>
      </w:tr>
    </w:tbl>
    <w:p w14:paraId="4CF9B45F" w14:textId="77777777" w:rsidR="009A6B3D" w:rsidRDefault="00000000">
      <w:pPr>
        <w:widowControl w:val="0"/>
        <w:spacing w:before="264"/>
      </w:pPr>
      <w:r>
        <w:rPr>
          <w:b/>
          <w:sz w:val="24"/>
          <w:szCs w:val="24"/>
        </w:rPr>
        <w:t>Proposed ICANN org actions</w:t>
      </w:r>
      <w:r>
        <w:t xml:space="preserve">: </w:t>
      </w:r>
    </w:p>
    <w:p w14:paraId="228990D5" w14:textId="77777777" w:rsidR="009A6B3D" w:rsidRDefault="00000000">
      <w:pPr>
        <w:widowControl w:val="0"/>
        <w:spacing w:before="264"/>
      </w:pPr>
      <w:r>
        <w:t xml:space="preserve">Discuss scope and administration of the arbitration process with IRT. Research precedents of international arbitration procedures for IGOs. Consult outside experts if required. Modify UDRP and URS procedures to incorporate the arbitration option. </w:t>
      </w:r>
    </w:p>
    <w:p w14:paraId="1285F993" w14:textId="77777777" w:rsidR="009A6B3D" w:rsidRDefault="009A6B3D">
      <w:pPr>
        <w:widowControl w:val="0"/>
        <w:spacing w:before="264"/>
        <w:rPr>
          <w:rFonts w:ascii="Calibri" w:eastAsia="Calibri" w:hAnsi="Calibri" w:cs="Calibri"/>
        </w:rPr>
      </w:pPr>
    </w:p>
    <w:p w14:paraId="38C426BD" w14:textId="77777777" w:rsidR="009A6B3D" w:rsidRDefault="009A6B3D">
      <w:pPr>
        <w:widowControl w:val="0"/>
        <w:spacing w:before="264"/>
        <w:rPr>
          <w:rFonts w:ascii="Calibri" w:eastAsia="Calibri" w:hAnsi="Calibri" w:cs="Calibri"/>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2957A1B9" w14:textId="77777777">
        <w:tc>
          <w:tcPr>
            <w:tcW w:w="2340" w:type="dxa"/>
            <w:shd w:val="clear" w:color="auto" w:fill="auto"/>
            <w:tcMar>
              <w:top w:w="100" w:type="dxa"/>
              <w:left w:w="100" w:type="dxa"/>
              <w:bottom w:w="100" w:type="dxa"/>
              <w:right w:w="100" w:type="dxa"/>
            </w:tcMar>
          </w:tcPr>
          <w:p w14:paraId="580EEC30" w14:textId="77777777" w:rsidR="009A6B3D" w:rsidRDefault="00000000">
            <w:pPr>
              <w:widowControl w:val="0"/>
              <w:spacing w:line="240" w:lineRule="auto"/>
              <w:rPr>
                <w:b/>
              </w:rPr>
            </w:pPr>
            <w:r>
              <w:rPr>
                <w:b/>
              </w:rPr>
              <w:t xml:space="preserve">EPDP Recommendation </w:t>
            </w:r>
          </w:p>
        </w:tc>
        <w:tc>
          <w:tcPr>
            <w:tcW w:w="2340" w:type="dxa"/>
            <w:shd w:val="clear" w:color="auto" w:fill="auto"/>
            <w:tcMar>
              <w:top w:w="100" w:type="dxa"/>
              <w:left w:w="100" w:type="dxa"/>
              <w:bottom w:w="100" w:type="dxa"/>
              <w:right w:w="100" w:type="dxa"/>
            </w:tcMar>
          </w:tcPr>
          <w:p w14:paraId="4F87CADF"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277EBA42"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43BC495F" w14:textId="77777777" w:rsidR="009A6B3D" w:rsidRDefault="00000000">
            <w:pPr>
              <w:widowControl w:val="0"/>
              <w:spacing w:line="240" w:lineRule="auto"/>
              <w:rPr>
                <w:b/>
              </w:rPr>
            </w:pPr>
            <w:r>
              <w:rPr>
                <w:b/>
              </w:rPr>
              <w:t xml:space="preserve">Summary of Recommendation </w:t>
            </w:r>
          </w:p>
        </w:tc>
      </w:tr>
      <w:tr w:rsidR="009A6B3D" w14:paraId="74AD165F" w14:textId="77777777">
        <w:tc>
          <w:tcPr>
            <w:tcW w:w="2340" w:type="dxa"/>
            <w:shd w:val="clear" w:color="auto" w:fill="auto"/>
            <w:tcMar>
              <w:top w:w="100" w:type="dxa"/>
              <w:left w:w="100" w:type="dxa"/>
              <w:bottom w:w="100" w:type="dxa"/>
              <w:right w:w="100" w:type="dxa"/>
            </w:tcMar>
          </w:tcPr>
          <w:p w14:paraId="21E3F260" w14:textId="77777777" w:rsidR="009A6B3D" w:rsidRDefault="00000000">
            <w:pPr>
              <w:widowControl w:val="0"/>
              <w:spacing w:line="240" w:lineRule="auto"/>
            </w:pPr>
            <w:r>
              <w:t xml:space="preserve">4 </w:t>
            </w:r>
          </w:p>
        </w:tc>
        <w:tc>
          <w:tcPr>
            <w:tcW w:w="2340" w:type="dxa"/>
            <w:shd w:val="clear" w:color="auto" w:fill="auto"/>
            <w:tcMar>
              <w:top w:w="100" w:type="dxa"/>
              <w:left w:w="100" w:type="dxa"/>
              <w:bottom w:w="100" w:type="dxa"/>
              <w:right w:w="100" w:type="dxa"/>
            </w:tcMar>
          </w:tcPr>
          <w:p w14:paraId="40D6213F"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71C63597" w14:textId="77777777" w:rsidR="009A6B3D" w:rsidRDefault="00000000">
            <w:pPr>
              <w:widowControl w:val="0"/>
              <w:spacing w:line="240" w:lineRule="auto"/>
            </w:pPr>
            <w:r>
              <w:t>URS</w:t>
            </w:r>
          </w:p>
        </w:tc>
        <w:tc>
          <w:tcPr>
            <w:tcW w:w="2340" w:type="dxa"/>
            <w:shd w:val="clear" w:color="auto" w:fill="auto"/>
            <w:tcMar>
              <w:top w:w="100" w:type="dxa"/>
              <w:left w:w="100" w:type="dxa"/>
              <w:bottom w:w="100" w:type="dxa"/>
              <w:right w:w="100" w:type="dxa"/>
            </w:tcMar>
          </w:tcPr>
          <w:p w14:paraId="5C02DB8A" w14:textId="77777777" w:rsidR="009A6B3D" w:rsidRDefault="00000000">
            <w:r>
              <w:t>Arbitral Review Following an URS Proceeding: Add provisions to URS  for voluntary arbitration following a URS proceeding</w:t>
            </w:r>
            <w:r>
              <w:rPr>
                <w:rFonts w:ascii="Cambria" w:eastAsia="Cambria" w:hAnsi="Cambria" w:cs="Cambria"/>
              </w:rPr>
              <w:t xml:space="preserve">. </w:t>
            </w:r>
          </w:p>
        </w:tc>
      </w:tr>
    </w:tbl>
    <w:p w14:paraId="2F40212A" w14:textId="77777777" w:rsidR="009A6B3D" w:rsidRDefault="00000000">
      <w:pPr>
        <w:widowControl w:val="0"/>
        <w:spacing w:before="264"/>
      </w:pPr>
      <w:r>
        <w:rPr>
          <w:b/>
          <w:sz w:val="24"/>
          <w:szCs w:val="24"/>
        </w:rPr>
        <w:lastRenderedPageBreak/>
        <w:t>Proposed ICANN org actions</w:t>
      </w:r>
      <w:r>
        <w:t xml:space="preserve">: </w:t>
      </w:r>
    </w:p>
    <w:p w14:paraId="4A451C67" w14:textId="77777777" w:rsidR="009A6B3D" w:rsidRDefault="00000000">
      <w:pPr>
        <w:widowControl w:val="0"/>
        <w:spacing w:before="264"/>
      </w:pPr>
      <w:r>
        <w:t>As per EPDP Recommendation 3.</w:t>
      </w:r>
    </w:p>
    <w:p w14:paraId="585F7495" w14:textId="77777777" w:rsidR="009A6B3D" w:rsidRDefault="009A6B3D">
      <w:pPr>
        <w:widowControl w:val="0"/>
        <w:spacing w:before="264"/>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6B3D" w14:paraId="311BA0F3" w14:textId="77777777">
        <w:tc>
          <w:tcPr>
            <w:tcW w:w="2340" w:type="dxa"/>
            <w:shd w:val="clear" w:color="auto" w:fill="auto"/>
            <w:tcMar>
              <w:top w:w="100" w:type="dxa"/>
              <w:left w:w="100" w:type="dxa"/>
              <w:bottom w:w="100" w:type="dxa"/>
              <w:right w:w="100" w:type="dxa"/>
            </w:tcMar>
          </w:tcPr>
          <w:p w14:paraId="610857D0" w14:textId="77777777" w:rsidR="009A6B3D" w:rsidRDefault="00000000">
            <w:pPr>
              <w:widowControl w:val="0"/>
              <w:spacing w:line="240" w:lineRule="auto"/>
              <w:rPr>
                <w:b/>
              </w:rPr>
            </w:pPr>
            <w:r>
              <w:rPr>
                <w:b/>
              </w:rPr>
              <w:t xml:space="preserve">EPDP Recommendation </w:t>
            </w:r>
          </w:p>
        </w:tc>
        <w:tc>
          <w:tcPr>
            <w:tcW w:w="2340" w:type="dxa"/>
            <w:shd w:val="clear" w:color="auto" w:fill="auto"/>
            <w:tcMar>
              <w:top w:w="100" w:type="dxa"/>
              <w:left w:w="100" w:type="dxa"/>
              <w:bottom w:w="100" w:type="dxa"/>
              <w:right w:w="100" w:type="dxa"/>
            </w:tcMar>
          </w:tcPr>
          <w:p w14:paraId="181D9EAE" w14:textId="77777777" w:rsidR="009A6B3D" w:rsidRDefault="00000000">
            <w:pPr>
              <w:widowControl w:val="0"/>
              <w:spacing w:line="240" w:lineRule="auto"/>
              <w:rPr>
                <w:b/>
              </w:rPr>
            </w:pPr>
            <w:r>
              <w:rPr>
                <w:b/>
              </w:rPr>
              <w:t>Impacted Parties</w:t>
            </w:r>
          </w:p>
        </w:tc>
        <w:tc>
          <w:tcPr>
            <w:tcW w:w="2340" w:type="dxa"/>
            <w:shd w:val="clear" w:color="auto" w:fill="auto"/>
            <w:tcMar>
              <w:top w:w="100" w:type="dxa"/>
              <w:left w:w="100" w:type="dxa"/>
              <w:bottom w:w="100" w:type="dxa"/>
              <w:right w:w="100" w:type="dxa"/>
            </w:tcMar>
          </w:tcPr>
          <w:p w14:paraId="435D4410" w14:textId="77777777" w:rsidR="009A6B3D" w:rsidRDefault="00000000">
            <w:pPr>
              <w:widowControl w:val="0"/>
              <w:spacing w:line="240" w:lineRule="auto"/>
              <w:rPr>
                <w:b/>
              </w:rPr>
            </w:pPr>
            <w:r>
              <w:rPr>
                <w:b/>
              </w:rPr>
              <w:t>Impacted Policies/Procedures</w:t>
            </w:r>
          </w:p>
        </w:tc>
        <w:tc>
          <w:tcPr>
            <w:tcW w:w="2340" w:type="dxa"/>
            <w:shd w:val="clear" w:color="auto" w:fill="auto"/>
            <w:tcMar>
              <w:top w:w="100" w:type="dxa"/>
              <w:left w:w="100" w:type="dxa"/>
              <w:bottom w:w="100" w:type="dxa"/>
              <w:right w:w="100" w:type="dxa"/>
            </w:tcMar>
          </w:tcPr>
          <w:p w14:paraId="6C090542" w14:textId="77777777" w:rsidR="009A6B3D" w:rsidRDefault="00000000">
            <w:pPr>
              <w:widowControl w:val="0"/>
              <w:spacing w:line="240" w:lineRule="auto"/>
              <w:rPr>
                <w:b/>
              </w:rPr>
            </w:pPr>
            <w:r>
              <w:rPr>
                <w:b/>
              </w:rPr>
              <w:t xml:space="preserve">Summary of Recommendation </w:t>
            </w:r>
          </w:p>
        </w:tc>
      </w:tr>
      <w:tr w:rsidR="009A6B3D" w14:paraId="15A008E5" w14:textId="77777777">
        <w:tc>
          <w:tcPr>
            <w:tcW w:w="2340" w:type="dxa"/>
            <w:shd w:val="clear" w:color="auto" w:fill="auto"/>
            <w:tcMar>
              <w:top w:w="100" w:type="dxa"/>
              <w:left w:w="100" w:type="dxa"/>
              <w:bottom w:w="100" w:type="dxa"/>
              <w:right w:w="100" w:type="dxa"/>
            </w:tcMar>
          </w:tcPr>
          <w:p w14:paraId="0BFA5A61" w14:textId="77777777" w:rsidR="009A6B3D" w:rsidRDefault="00000000">
            <w:pPr>
              <w:widowControl w:val="0"/>
              <w:spacing w:line="240" w:lineRule="auto"/>
            </w:pPr>
            <w:r>
              <w:t>5</w:t>
            </w:r>
          </w:p>
        </w:tc>
        <w:tc>
          <w:tcPr>
            <w:tcW w:w="2340" w:type="dxa"/>
            <w:shd w:val="clear" w:color="auto" w:fill="auto"/>
            <w:tcMar>
              <w:top w:w="100" w:type="dxa"/>
              <w:left w:w="100" w:type="dxa"/>
              <w:bottom w:w="100" w:type="dxa"/>
              <w:right w:w="100" w:type="dxa"/>
            </w:tcMar>
          </w:tcPr>
          <w:p w14:paraId="1E69F563" w14:textId="77777777" w:rsidR="009A6B3D" w:rsidRDefault="00000000">
            <w:pPr>
              <w:widowControl w:val="0"/>
              <w:spacing w:line="240" w:lineRule="auto"/>
            </w:pPr>
            <w:r>
              <w:t>IGO</w:t>
            </w:r>
          </w:p>
        </w:tc>
        <w:tc>
          <w:tcPr>
            <w:tcW w:w="2340" w:type="dxa"/>
            <w:shd w:val="clear" w:color="auto" w:fill="auto"/>
            <w:tcMar>
              <w:top w:w="100" w:type="dxa"/>
              <w:left w:w="100" w:type="dxa"/>
              <w:bottom w:w="100" w:type="dxa"/>
              <w:right w:w="100" w:type="dxa"/>
            </w:tcMar>
          </w:tcPr>
          <w:p w14:paraId="61F788A4" w14:textId="77777777" w:rsidR="009A6B3D" w:rsidRDefault="00000000">
            <w:pPr>
              <w:widowControl w:val="0"/>
              <w:spacing w:line="240" w:lineRule="auto"/>
            </w:pPr>
            <w:r>
              <w:t>URDP</w:t>
            </w:r>
          </w:p>
          <w:p w14:paraId="7041E5D3" w14:textId="77777777" w:rsidR="009A6B3D" w:rsidRDefault="009A6B3D">
            <w:pPr>
              <w:widowControl w:val="0"/>
              <w:spacing w:line="240" w:lineRule="auto"/>
            </w:pPr>
          </w:p>
          <w:p w14:paraId="2B1ABF39" w14:textId="77777777" w:rsidR="009A6B3D" w:rsidRDefault="00000000">
            <w:pPr>
              <w:widowControl w:val="0"/>
              <w:spacing w:line="240" w:lineRule="auto"/>
            </w:pPr>
            <w:r>
              <w:t>URS</w:t>
            </w:r>
          </w:p>
          <w:p w14:paraId="3C26B304" w14:textId="77777777" w:rsidR="009A6B3D" w:rsidRDefault="009A6B3D">
            <w:pPr>
              <w:widowControl w:val="0"/>
              <w:spacing w:line="240" w:lineRule="auto"/>
            </w:pPr>
          </w:p>
        </w:tc>
        <w:tc>
          <w:tcPr>
            <w:tcW w:w="2340" w:type="dxa"/>
            <w:shd w:val="clear" w:color="auto" w:fill="auto"/>
            <w:tcMar>
              <w:top w:w="100" w:type="dxa"/>
              <w:left w:w="100" w:type="dxa"/>
              <w:bottom w:w="100" w:type="dxa"/>
              <w:right w:w="100" w:type="dxa"/>
            </w:tcMar>
          </w:tcPr>
          <w:p w14:paraId="33AE7AF8" w14:textId="77777777" w:rsidR="009A6B3D" w:rsidRDefault="00000000">
            <w:pPr>
              <w:rPr>
                <w:rFonts w:ascii="Cambria" w:eastAsia="Cambria" w:hAnsi="Cambria" w:cs="Cambria"/>
              </w:rPr>
            </w:pPr>
            <w:r>
              <w:t>Specify “applicable law” for the arbitration process and update UDRP and URS to identify procedures and responsibilities for determining this.</w:t>
            </w:r>
            <w:r>
              <w:br/>
            </w:r>
          </w:p>
          <w:p w14:paraId="47B03FC1" w14:textId="77777777" w:rsidR="009A6B3D" w:rsidRDefault="009A6B3D">
            <w:pPr>
              <w:widowControl w:val="0"/>
              <w:spacing w:line="240" w:lineRule="auto"/>
              <w:rPr>
                <w:rFonts w:ascii="Cambria" w:eastAsia="Cambria" w:hAnsi="Cambria" w:cs="Cambria"/>
              </w:rPr>
            </w:pPr>
          </w:p>
          <w:p w14:paraId="4F8AA9C7" w14:textId="77777777" w:rsidR="009A6B3D" w:rsidRDefault="009A6B3D"/>
        </w:tc>
      </w:tr>
    </w:tbl>
    <w:p w14:paraId="3781E540" w14:textId="77777777" w:rsidR="009A6B3D" w:rsidRDefault="00000000">
      <w:pPr>
        <w:widowControl w:val="0"/>
        <w:spacing w:before="264"/>
      </w:pPr>
      <w:r>
        <w:rPr>
          <w:b/>
          <w:sz w:val="24"/>
          <w:szCs w:val="24"/>
        </w:rPr>
        <w:t>Proposed ICANN org actions</w:t>
      </w:r>
      <w:r>
        <w:t>:</w:t>
      </w:r>
    </w:p>
    <w:p w14:paraId="0D449A9A" w14:textId="77777777" w:rsidR="009A6B3D" w:rsidRDefault="00000000">
      <w:pPr>
        <w:spacing w:before="240" w:after="240"/>
      </w:pPr>
      <w:r>
        <w:t>Research and identify ‘applicable law’ for discussion with IRT, including procedures for those instances where the arbitral tribunal must make a determination. Seek additional legal advice if necessary.  Incorporate agreed provisions into the arbitration process for both UDRP and URS.</w:t>
      </w:r>
    </w:p>
    <w:p w14:paraId="1BEBAAF6" w14:textId="77777777" w:rsidR="009A6B3D" w:rsidRDefault="009A6B3D"/>
    <w:p w14:paraId="3B0A6EDE" w14:textId="77777777" w:rsidR="009A6B3D" w:rsidRDefault="009A6B3D">
      <w:pPr>
        <w:pStyle w:val="Heading3"/>
      </w:pPr>
      <w:bookmarkStart w:id="19" w:name="_3gmap692z9n3" w:colFirst="0" w:colLast="0"/>
      <w:bookmarkEnd w:id="19"/>
    </w:p>
    <w:p w14:paraId="1A4C09C6" w14:textId="77777777" w:rsidR="009A6B3D" w:rsidRDefault="009A6B3D">
      <w:pPr>
        <w:pStyle w:val="Heading3"/>
      </w:pPr>
      <w:bookmarkStart w:id="20" w:name="_rn5oog3allg2" w:colFirst="0" w:colLast="0"/>
      <w:bookmarkEnd w:id="20"/>
    </w:p>
    <w:p w14:paraId="721FC393" w14:textId="77777777" w:rsidR="009A6B3D" w:rsidRDefault="009A6B3D">
      <w:pPr>
        <w:pStyle w:val="Heading3"/>
      </w:pPr>
      <w:bookmarkStart w:id="21" w:name="_r48vx85f37de" w:colFirst="0" w:colLast="0"/>
      <w:bookmarkEnd w:id="21"/>
    </w:p>
    <w:p w14:paraId="479EC5A7" w14:textId="77777777" w:rsidR="009A6B3D" w:rsidRDefault="009A6B3D">
      <w:pPr>
        <w:pStyle w:val="Heading3"/>
      </w:pPr>
      <w:bookmarkStart w:id="22" w:name="_4r6jqgyjp811" w:colFirst="0" w:colLast="0"/>
      <w:bookmarkEnd w:id="22"/>
    </w:p>
    <w:p w14:paraId="31117D32" w14:textId="77777777" w:rsidR="009A6B3D" w:rsidRDefault="00000000">
      <w:pPr>
        <w:pStyle w:val="Heading3"/>
      </w:pPr>
      <w:bookmarkStart w:id="23" w:name="_yj0ppyto5yy0" w:colFirst="0" w:colLast="0"/>
      <w:bookmarkEnd w:id="23"/>
      <w:r>
        <w:t>Resources</w:t>
      </w:r>
    </w:p>
    <w:p w14:paraId="06FCC5BA" w14:textId="77777777" w:rsidR="009A6B3D" w:rsidRDefault="009A6B3D"/>
    <w:p w14:paraId="2A3A2CE4" w14:textId="77777777" w:rsidR="009A6B3D" w:rsidRDefault="00000000">
      <w:pPr>
        <w:pBdr>
          <w:top w:val="none" w:sz="0" w:space="3" w:color="auto"/>
        </w:pBdr>
        <w:spacing w:after="300" w:line="300" w:lineRule="auto"/>
      </w:pPr>
      <w:hyperlink r:id="rId22">
        <w:r>
          <w:rPr>
            <w:color w:val="1155CC"/>
            <w:u w:val="single"/>
          </w:rPr>
          <w:t>IGO-INGO Curative Rights Implementation Review Team Community Wiki</w:t>
        </w:r>
      </w:hyperlink>
    </w:p>
    <w:p w14:paraId="14D8E2C6" w14:textId="77777777" w:rsidR="009A6B3D" w:rsidRDefault="00000000">
      <w:pPr>
        <w:shd w:val="clear" w:color="auto" w:fill="FFFFFF"/>
        <w:rPr>
          <w:color w:val="0052CC"/>
          <w:u w:val="single"/>
        </w:rPr>
      </w:pPr>
      <w:hyperlink r:id="rId23">
        <w:r>
          <w:rPr>
            <w:color w:val="0052CC"/>
            <w:u w:val="single"/>
          </w:rPr>
          <w:t xml:space="preserve">Final Report on the IGO-INGO Access to Curative Rights Protection Mechanisms Policy Development Process </w:t>
        </w:r>
      </w:hyperlink>
    </w:p>
    <w:p w14:paraId="5F808564" w14:textId="77777777" w:rsidR="009A6B3D" w:rsidRDefault="009A6B3D">
      <w:pPr>
        <w:shd w:val="clear" w:color="auto" w:fill="FFFFFF"/>
        <w:rPr>
          <w:color w:val="0052CC"/>
          <w:u w:val="single"/>
        </w:rPr>
      </w:pPr>
    </w:p>
    <w:p w14:paraId="608A47C2" w14:textId="77777777" w:rsidR="009A6B3D" w:rsidRDefault="00000000">
      <w:pPr>
        <w:shd w:val="clear" w:color="auto" w:fill="FFFFFF"/>
        <w:rPr>
          <w:color w:val="0052CC"/>
          <w:u w:val="single"/>
        </w:rPr>
      </w:pPr>
      <w:hyperlink r:id="rId24">
        <w:r>
          <w:rPr>
            <w:color w:val="0052CC"/>
            <w:u w:val="single"/>
          </w:rPr>
          <w:t>Final Report of the Expedited Policy Development Process on Specific Curative Rights Protections for International Governmental Organizations (IGOs)</w:t>
        </w:r>
      </w:hyperlink>
    </w:p>
    <w:p w14:paraId="33EFD60A" w14:textId="77777777" w:rsidR="009A6B3D" w:rsidRDefault="009A6B3D"/>
    <w:sectPr w:rsidR="009A6B3D">
      <w:headerReference w:type="default" r:id="rId25"/>
      <w:footerReference w:type="default" r:id="rId26"/>
      <w:headerReference w:type="first" r:id="rId27"/>
      <w:footerReference w:type="first" r:id="rId28"/>
      <w:pgSz w:w="12240" w:h="15840"/>
      <w:pgMar w:top="1440" w:right="1440" w:bottom="1440" w:left="144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A49A" w14:textId="77777777" w:rsidR="00503909" w:rsidRDefault="00503909">
      <w:pPr>
        <w:spacing w:line="240" w:lineRule="auto"/>
      </w:pPr>
      <w:r>
        <w:separator/>
      </w:r>
    </w:p>
  </w:endnote>
  <w:endnote w:type="continuationSeparator" w:id="0">
    <w:p w14:paraId="62988D9E" w14:textId="77777777" w:rsidR="00503909" w:rsidRDefault="00503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7E89" w14:textId="77777777" w:rsidR="009A6B3D" w:rsidRDefault="00000000">
    <w:pPr>
      <w:widowControl w:val="0"/>
      <w:ind w:left="-675" w:right="-1050"/>
    </w:pPr>
    <w:r>
      <w:rPr>
        <w:noProof/>
      </w:rPr>
      <mc:AlternateContent>
        <mc:Choice Requires="wpg">
          <w:drawing>
            <wp:inline distT="114300" distB="114300" distL="114300" distR="114300" wp14:anchorId="39CBC046" wp14:editId="589C1A44">
              <wp:extent cx="6720840" cy="82296"/>
              <wp:effectExtent l="0" t="0" r="0" b="0"/>
              <wp:docPr id="7" name="Group 7"/>
              <wp:cNvGraphicFramePr/>
              <a:graphic xmlns:a="http://schemas.openxmlformats.org/drawingml/2006/main">
                <a:graphicData uri="http://schemas.microsoft.com/office/word/2010/wordprocessingGroup">
                  <wpg:wgp>
                    <wpg:cNvGrpSpPr/>
                    <wpg:grpSpPr>
                      <a:xfrm>
                        <a:off x="0" y="0"/>
                        <a:ext cx="6720840" cy="82296"/>
                        <a:chOff x="538225" y="5250"/>
                        <a:chExt cx="6663950" cy="80400"/>
                      </a:xfrm>
                    </wpg:grpSpPr>
                    <wps:wsp>
                      <wps:cNvPr id="8" name="Oval 8"/>
                      <wps:cNvSpPr/>
                      <wps:spPr>
                        <a:xfrm>
                          <a:off x="6587275" y="5250"/>
                          <a:ext cx="80100" cy="80400"/>
                        </a:xfrm>
                        <a:prstGeom prst="ellipse">
                          <a:avLst/>
                        </a:prstGeom>
                        <a:solidFill>
                          <a:srgbClr val="002B49"/>
                        </a:solidFill>
                        <a:ln>
                          <a:noFill/>
                        </a:ln>
                      </wps:spPr>
                      <wps:txbx>
                        <w:txbxContent>
                          <w:p w14:paraId="0B251C05" w14:textId="77777777" w:rsidR="009A6B3D" w:rsidRDefault="009A6B3D">
                            <w:pPr>
                              <w:spacing w:line="240" w:lineRule="auto"/>
                              <w:textDirection w:val="btLr"/>
                            </w:pPr>
                          </w:p>
                        </w:txbxContent>
                      </wps:txbx>
                      <wps:bodyPr spcFirstLastPara="1" wrap="square" lIns="91425" tIns="91425" rIns="91425" bIns="91425" anchor="ctr" anchorCtr="0">
                        <a:noAutofit/>
                      </wps:bodyPr>
                    </wps:wsp>
                    <wps:wsp>
                      <wps:cNvPr id="9" name="Straight Arrow Connector 9"/>
                      <wps:cNvCnPr/>
                      <wps:spPr>
                        <a:xfrm>
                          <a:off x="6711375" y="45450"/>
                          <a:ext cx="490800" cy="0"/>
                        </a:xfrm>
                        <a:prstGeom prst="straightConnector1">
                          <a:avLst/>
                        </a:prstGeom>
                        <a:noFill/>
                        <a:ln w="19050" cap="flat" cmpd="sng">
                          <a:solidFill>
                            <a:srgbClr val="002B49"/>
                          </a:solidFill>
                          <a:prstDash val="solid"/>
                          <a:round/>
                          <a:headEnd type="none" w="med" len="med"/>
                          <a:tailEnd type="none" w="med" len="med"/>
                        </a:ln>
                      </wps:spPr>
                      <wps:bodyPr/>
                    </wps:wsp>
                    <wps:wsp>
                      <wps:cNvPr id="10" name="Straight Arrow Connector 10"/>
                      <wps:cNvCnPr/>
                      <wps:spPr>
                        <a:xfrm>
                          <a:off x="1031125" y="45450"/>
                          <a:ext cx="5512200" cy="0"/>
                        </a:xfrm>
                        <a:prstGeom prst="straightConnector1">
                          <a:avLst/>
                        </a:prstGeom>
                        <a:noFill/>
                        <a:ln w="19050" cap="flat" cmpd="sng">
                          <a:solidFill>
                            <a:srgbClr val="002B49"/>
                          </a:solidFill>
                          <a:prstDash val="solid"/>
                          <a:round/>
                          <a:headEnd type="none" w="med" len="med"/>
                          <a:tailEnd type="none" w="med" len="med"/>
                        </a:ln>
                      </wps:spPr>
                      <wps:bodyPr/>
                    </wps:wsp>
                    <wps:wsp>
                      <wps:cNvPr id="11" name="Oval 11"/>
                      <wps:cNvSpPr/>
                      <wps:spPr>
                        <a:xfrm>
                          <a:off x="907075" y="5250"/>
                          <a:ext cx="80100" cy="80400"/>
                        </a:xfrm>
                        <a:prstGeom prst="ellipse">
                          <a:avLst/>
                        </a:prstGeom>
                        <a:solidFill>
                          <a:srgbClr val="002B49"/>
                        </a:solidFill>
                        <a:ln>
                          <a:noFill/>
                        </a:ln>
                      </wps:spPr>
                      <wps:txbx>
                        <w:txbxContent>
                          <w:p w14:paraId="766062FC" w14:textId="77777777" w:rsidR="009A6B3D" w:rsidRDefault="009A6B3D">
                            <w:pPr>
                              <w:spacing w:line="240" w:lineRule="auto"/>
                              <w:textDirection w:val="btLr"/>
                            </w:pPr>
                          </w:p>
                        </w:txbxContent>
                      </wps:txbx>
                      <wps:bodyPr spcFirstLastPara="1" wrap="square" lIns="91425" tIns="91425" rIns="91425" bIns="91425" anchor="ctr" anchorCtr="0">
                        <a:noAutofit/>
                      </wps:bodyPr>
                    </wps:wsp>
                    <wps:wsp>
                      <wps:cNvPr id="12" name="Straight Arrow Connector 12"/>
                      <wps:cNvCnPr/>
                      <wps:spPr>
                        <a:xfrm>
                          <a:off x="538225" y="45450"/>
                          <a:ext cx="324900" cy="0"/>
                        </a:xfrm>
                        <a:prstGeom prst="straightConnector1">
                          <a:avLst/>
                        </a:prstGeom>
                        <a:noFill/>
                        <a:ln w="19050" cap="flat" cmpd="sng">
                          <a:solidFill>
                            <a:srgbClr val="002B49"/>
                          </a:solidFill>
                          <a:prstDash val="solid"/>
                          <a:round/>
                          <a:headEnd type="none" w="med" len="med"/>
                          <a:tailEnd type="none" w="med" len="med"/>
                        </a:ln>
                      </wps:spPr>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720840" cy="82296"/>
              <wp:effectExtent b="0" l="0" r="0" t="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20840" cy="82296"/>
                      </a:xfrm>
                      <a:prstGeom prst="rect"/>
                      <a:ln/>
                    </pic:spPr>
                  </pic:pic>
                </a:graphicData>
              </a:graphic>
            </wp:inline>
          </w:drawing>
        </mc:Fallback>
      </mc:AlternateContent>
    </w:r>
  </w:p>
  <w:tbl>
    <w:tblPr>
      <w:tblStyle w:val="aa"/>
      <w:tblW w:w="10444" w:type="dxa"/>
      <w:tblInd w:w="-634" w:type="dxa"/>
      <w:tblLayout w:type="fixed"/>
      <w:tblLook w:val="0400" w:firstRow="0" w:lastRow="0" w:firstColumn="0" w:lastColumn="0" w:noHBand="0" w:noVBand="1"/>
    </w:tblPr>
    <w:tblGrid>
      <w:gridCol w:w="746"/>
      <w:gridCol w:w="8813"/>
      <w:gridCol w:w="885"/>
    </w:tblGrid>
    <w:tr w:rsidR="009A6B3D" w14:paraId="66EF5D55" w14:textId="77777777">
      <w:trPr>
        <w:trHeight w:val="285"/>
      </w:trPr>
      <w:tc>
        <w:tcPr>
          <w:tcW w:w="746" w:type="dxa"/>
        </w:tcPr>
        <w:p w14:paraId="793C261B" w14:textId="77777777" w:rsidR="009A6B3D" w:rsidRDefault="00000000">
          <w:pPr>
            <w:spacing w:line="240" w:lineRule="auto"/>
            <w:ind w:right="-46"/>
            <w:rPr>
              <w:sz w:val="18"/>
              <w:szCs w:val="18"/>
            </w:rPr>
          </w:pPr>
          <w:r>
            <w:rPr>
              <w:sz w:val="18"/>
              <w:szCs w:val="18"/>
            </w:rPr>
            <w:t>ICANN |</w:t>
          </w:r>
        </w:p>
      </w:tc>
      <w:tc>
        <w:tcPr>
          <w:tcW w:w="8813" w:type="dxa"/>
          <w:tcBorders>
            <w:right w:val="single" w:sz="48" w:space="0" w:color="FFFFFF"/>
          </w:tcBorders>
        </w:tcPr>
        <w:p w14:paraId="138EDFEF" w14:textId="77777777" w:rsidR="009A6B3D" w:rsidRDefault="00000000">
          <w:pPr>
            <w:pStyle w:val="Title"/>
            <w:spacing w:after="0"/>
            <w:rPr>
              <w:sz w:val="18"/>
              <w:szCs w:val="18"/>
            </w:rPr>
          </w:pPr>
          <w:bookmarkStart w:id="24" w:name="_wtxycdagwnup" w:colFirst="0" w:colLast="0"/>
          <w:bookmarkEnd w:id="24"/>
          <w:r>
            <w:rPr>
              <w:color w:val="000000"/>
              <w:sz w:val="18"/>
              <w:szCs w:val="18"/>
            </w:rPr>
            <w:t>IGO-INGO Curative Rights Policy Implementation Project Plan| February</w:t>
          </w:r>
          <w:r>
            <w:rPr>
              <w:sz w:val="18"/>
              <w:szCs w:val="18"/>
            </w:rPr>
            <w:t xml:space="preserve"> </w:t>
          </w:r>
          <w:r>
            <w:rPr>
              <w:color w:val="000000"/>
              <w:sz w:val="18"/>
              <w:szCs w:val="18"/>
            </w:rPr>
            <w:t>2025</w:t>
          </w:r>
          <w:r>
            <w:rPr>
              <w:sz w:val="18"/>
              <w:szCs w:val="18"/>
            </w:rPr>
            <w:t xml:space="preserve"> </w:t>
          </w:r>
        </w:p>
      </w:tc>
      <w:tc>
        <w:tcPr>
          <w:tcW w:w="885" w:type="dxa"/>
          <w:tcBorders>
            <w:left w:val="single" w:sz="48" w:space="0" w:color="FFFFFF"/>
          </w:tcBorders>
        </w:tcPr>
        <w:p w14:paraId="6B318CB1" w14:textId="77777777" w:rsidR="009A6B3D" w:rsidRDefault="00000000">
          <w:pPr>
            <w:spacing w:line="240" w:lineRule="auto"/>
            <w:ind w:right="-46"/>
            <w:rPr>
              <w:smallCaps/>
              <w:sz w:val="18"/>
              <w:szCs w:val="18"/>
            </w:rPr>
          </w:pPr>
          <w:r>
            <w:rPr>
              <w:smallCaps/>
              <w:sz w:val="18"/>
              <w:szCs w:val="18"/>
            </w:rPr>
            <w:t xml:space="preserve">| </w:t>
          </w:r>
          <w:r>
            <w:rPr>
              <w:smallCaps/>
              <w:sz w:val="18"/>
              <w:szCs w:val="18"/>
            </w:rPr>
            <w:fldChar w:fldCharType="begin"/>
          </w:r>
          <w:r>
            <w:rPr>
              <w:smallCaps/>
              <w:sz w:val="18"/>
              <w:szCs w:val="18"/>
            </w:rPr>
            <w:instrText>PAGE</w:instrText>
          </w:r>
          <w:r>
            <w:rPr>
              <w:smallCaps/>
              <w:sz w:val="18"/>
              <w:szCs w:val="18"/>
            </w:rPr>
            <w:fldChar w:fldCharType="separate"/>
          </w:r>
          <w:r w:rsidR="002F1BF2">
            <w:rPr>
              <w:smallCaps/>
              <w:noProof/>
              <w:sz w:val="18"/>
              <w:szCs w:val="18"/>
            </w:rPr>
            <w:t>1</w:t>
          </w:r>
          <w:r>
            <w:rPr>
              <w:smallCaps/>
              <w:sz w:val="18"/>
              <w:szCs w:val="18"/>
            </w:rPr>
            <w:fldChar w:fldCharType="end"/>
          </w:r>
        </w:p>
      </w:tc>
    </w:tr>
  </w:tbl>
  <w:p w14:paraId="07DC699D" w14:textId="77777777" w:rsidR="009A6B3D" w:rsidRDefault="009A6B3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88A0" w14:textId="77777777" w:rsidR="009A6B3D" w:rsidRDefault="009A6B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B43D" w14:textId="77777777" w:rsidR="00503909" w:rsidRDefault="00503909">
      <w:pPr>
        <w:spacing w:line="240" w:lineRule="auto"/>
      </w:pPr>
      <w:r>
        <w:separator/>
      </w:r>
    </w:p>
  </w:footnote>
  <w:footnote w:type="continuationSeparator" w:id="0">
    <w:p w14:paraId="7681EC30" w14:textId="77777777" w:rsidR="00503909" w:rsidRDefault="00503909">
      <w:pPr>
        <w:spacing w:line="240" w:lineRule="auto"/>
      </w:pPr>
      <w:r>
        <w:continuationSeparator/>
      </w:r>
    </w:p>
  </w:footnote>
  <w:footnote w:id="1">
    <w:p w14:paraId="71332021" w14:textId="77777777" w:rsidR="009A6B3D" w:rsidRDefault="00000000">
      <w:pPr>
        <w:spacing w:line="240" w:lineRule="auto"/>
        <w:rPr>
          <w:sz w:val="20"/>
          <w:szCs w:val="20"/>
        </w:rPr>
      </w:pPr>
      <w:r>
        <w:rPr>
          <w:vertAlign w:val="superscript"/>
        </w:rPr>
        <w:footnoteRef/>
      </w:r>
      <w:r>
        <w:rPr>
          <w:sz w:val="20"/>
          <w:szCs w:val="20"/>
        </w:rPr>
        <w:t xml:space="preserve"> For more information on the IRT's role, please refer to the </w:t>
      </w:r>
      <w:hyperlink r:id="rId1">
        <w:r>
          <w:rPr>
            <w:color w:val="1155CC"/>
            <w:sz w:val="20"/>
            <w:szCs w:val="20"/>
            <w:u w:val="single"/>
          </w:rPr>
          <w:t>IRT Principles and Guidelines</w:t>
        </w:r>
      </w:hyperlink>
      <w:r>
        <w:rPr>
          <w:sz w:val="20"/>
          <w:szCs w:val="20"/>
        </w:rPr>
        <w:t xml:space="preserve"> and the </w:t>
      </w:r>
      <w:hyperlink r:id="rId2">
        <w:r>
          <w:rPr>
            <w:color w:val="1155CC"/>
            <w:sz w:val="20"/>
            <w:szCs w:val="20"/>
            <w:u w:val="single"/>
          </w:rPr>
          <w:t>CPIF</w:t>
        </w:r>
      </w:hyperlink>
      <w:r>
        <w:rPr>
          <w:sz w:val="20"/>
          <w:szCs w:val="20"/>
        </w:rPr>
        <w:t>.</w:t>
      </w:r>
    </w:p>
  </w:footnote>
  <w:footnote w:id="2">
    <w:p w14:paraId="516497A9" w14:textId="77777777" w:rsidR="009A6B3D" w:rsidRDefault="00000000">
      <w:pPr>
        <w:spacing w:line="240" w:lineRule="auto"/>
        <w:rPr>
          <w:sz w:val="20"/>
          <w:szCs w:val="20"/>
        </w:rPr>
      </w:pPr>
      <w:r>
        <w:rPr>
          <w:vertAlign w:val="superscript"/>
        </w:rPr>
        <w:footnoteRef/>
      </w:r>
      <w:r>
        <w:t xml:space="preserve"> I</w:t>
      </w:r>
      <w:hyperlink r:id="rId3">
        <w:r>
          <w:rPr>
            <w:color w:val="1155CC"/>
            <w:sz w:val="20"/>
            <w:szCs w:val="20"/>
            <w:u w:val="single"/>
          </w:rPr>
          <w:t>RT Principles &amp; Guidelines</w:t>
        </w:r>
      </w:hyperlink>
      <w:r>
        <w:rPr>
          <w:sz w:val="20"/>
          <w:szCs w:val="20"/>
        </w:rPr>
        <w:t>.</w:t>
      </w:r>
    </w:p>
  </w:footnote>
  <w:footnote w:id="3">
    <w:p w14:paraId="1B1B0A09" w14:textId="77777777" w:rsidR="009A6B3D" w:rsidRDefault="00000000">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IRT Principles &amp; Guidelines</w:t>
        </w:r>
      </w:hyperlink>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29F6" w14:textId="77777777" w:rsidR="009A6B3D" w:rsidRDefault="00000000">
    <w:pPr>
      <w:widowControl w:val="0"/>
      <w:ind w:left="-675" w:right="-1050"/>
    </w:pPr>
    <w:r>
      <w:rPr>
        <w:noProof/>
      </w:rPr>
      <mc:AlternateContent>
        <mc:Choice Requires="wpg">
          <w:drawing>
            <wp:inline distT="114300" distB="114300" distL="114300" distR="114300" wp14:anchorId="08A2F95A" wp14:editId="6F44B474">
              <wp:extent cx="6720840" cy="82296"/>
              <wp:effectExtent l="0" t="0" r="0" b="0"/>
              <wp:docPr id="1" name="Group 1"/>
              <wp:cNvGraphicFramePr/>
              <a:graphic xmlns:a="http://schemas.openxmlformats.org/drawingml/2006/main">
                <a:graphicData uri="http://schemas.microsoft.com/office/word/2010/wordprocessingGroup">
                  <wpg:wgp>
                    <wpg:cNvGrpSpPr/>
                    <wpg:grpSpPr>
                      <a:xfrm>
                        <a:off x="0" y="0"/>
                        <a:ext cx="6720840" cy="82296"/>
                        <a:chOff x="538225" y="5250"/>
                        <a:chExt cx="6663950" cy="80400"/>
                      </a:xfrm>
                    </wpg:grpSpPr>
                    <wps:wsp>
                      <wps:cNvPr id="2" name="Oval 2"/>
                      <wps:cNvSpPr/>
                      <wps:spPr>
                        <a:xfrm>
                          <a:off x="6587275" y="5250"/>
                          <a:ext cx="80100" cy="80400"/>
                        </a:xfrm>
                        <a:prstGeom prst="ellipse">
                          <a:avLst/>
                        </a:prstGeom>
                        <a:solidFill>
                          <a:srgbClr val="002B49"/>
                        </a:solidFill>
                        <a:ln>
                          <a:noFill/>
                        </a:ln>
                      </wps:spPr>
                      <wps:txbx>
                        <w:txbxContent>
                          <w:p w14:paraId="3A803D5C" w14:textId="77777777" w:rsidR="009A6B3D" w:rsidRDefault="009A6B3D">
                            <w:pPr>
                              <w:spacing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6711375" y="45450"/>
                          <a:ext cx="490800" cy="0"/>
                        </a:xfrm>
                        <a:prstGeom prst="straightConnector1">
                          <a:avLst/>
                        </a:prstGeom>
                        <a:noFill/>
                        <a:ln w="19050" cap="flat" cmpd="sng">
                          <a:solidFill>
                            <a:srgbClr val="002B49"/>
                          </a:solidFill>
                          <a:prstDash val="solid"/>
                          <a:round/>
                          <a:headEnd type="none" w="med" len="med"/>
                          <a:tailEnd type="none" w="med" len="med"/>
                        </a:ln>
                      </wps:spPr>
                      <wps:bodyPr/>
                    </wps:wsp>
                    <wps:wsp>
                      <wps:cNvPr id="4" name="Straight Arrow Connector 4"/>
                      <wps:cNvCnPr/>
                      <wps:spPr>
                        <a:xfrm>
                          <a:off x="1031125" y="45450"/>
                          <a:ext cx="5512200" cy="0"/>
                        </a:xfrm>
                        <a:prstGeom prst="straightConnector1">
                          <a:avLst/>
                        </a:prstGeom>
                        <a:noFill/>
                        <a:ln w="19050" cap="flat" cmpd="sng">
                          <a:solidFill>
                            <a:srgbClr val="002B49"/>
                          </a:solidFill>
                          <a:prstDash val="solid"/>
                          <a:round/>
                          <a:headEnd type="none" w="med" len="med"/>
                          <a:tailEnd type="none" w="med" len="med"/>
                        </a:ln>
                      </wps:spPr>
                      <wps:bodyPr/>
                    </wps:wsp>
                    <wps:wsp>
                      <wps:cNvPr id="5" name="Oval 5"/>
                      <wps:cNvSpPr/>
                      <wps:spPr>
                        <a:xfrm>
                          <a:off x="907075" y="5250"/>
                          <a:ext cx="80100" cy="80400"/>
                        </a:xfrm>
                        <a:prstGeom prst="ellipse">
                          <a:avLst/>
                        </a:prstGeom>
                        <a:solidFill>
                          <a:srgbClr val="002B49"/>
                        </a:solidFill>
                        <a:ln>
                          <a:noFill/>
                        </a:ln>
                      </wps:spPr>
                      <wps:txbx>
                        <w:txbxContent>
                          <w:p w14:paraId="064D3C6A" w14:textId="77777777" w:rsidR="009A6B3D" w:rsidRDefault="009A6B3D">
                            <w:pPr>
                              <w:spacing w:line="240" w:lineRule="auto"/>
                              <w:textDirection w:val="btLr"/>
                            </w:pPr>
                          </w:p>
                        </w:txbxContent>
                      </wps:txbx>
                      <wps:bodyPr spcFirstLastPara="1" wrap="square" lIns="91425" tIns="91425" rIns="91425" bIns="91425" anchor="ctr" anchorCtr="0">
                        <a:noAutofit/>
                      </wps:bodyPr>
                    </wps:wsp>
                    <wps:wsp>
                      <wps:cNvPr id="6" name="Straight Arrow Connector 6"/>
                      <wps:cNvCnPr/>
                      <wps:spPr>
                        <a:xfrm>
                          <a:off x="538225" y="45450"/>
                          <a:ext cx="324900" cy="0"/>
                        </a:xfrm>
                        <a:prstGeom prst="straightConnector1">
                          <a:avLst/>
                        </a:prstGeom>
                        <a:noFill/>
                        <a:ln w="19050" cap="flat" cmpd="sng">
                          <a:solidFill>
                            <a:srgbClr val="002B49"/>
                          </a:solidFill>
                          <a:prstDash val="solid"/>
                          <a:round/>
                          <a:headEnd type="none" w="med" len="med"/>
                          <a:tailEnd type="none" w="med" len="med"/>
                        </a:ln>
                      </wps:spPr>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720840" cy="82296"/>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720840" cy="82296"/>
                      </a:xfrm>
                      <a:prstGeom prst="rect"/>
                      <a:ln/>
                    </pic:spPr>
                  </pic:pic>
                </a:graphicData>
              </a:graphic>
            </wp:inline>
          </w:drawing>
        </mc:Fallback>
      </mc:AlternateContent>
    </w:r>
  </w:p>
  <w:p w14:paraId="18DB9E3B" w14:textId="77777777" w:rsidR="009A6B3D" w:rsidRDefault="009A6B3D">
    <w:pPr>
      <w:widowControl w:val="0"/>
      <w:ind w:left="-675" w:right="-10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25EA" w14:textId="77777777" w:rsidR="009A6B3D" w:rsidRDefault="00000000">
    <w:r>
      <w:rPr>
        <w:noProof/>
      </w:rPr>
      <mc:AlternateContent>
        <mc:Choice Requires="wpg">
          <w:drawing>
            <wp:anchor distT="0" distB="0" distL="0" distR="0" simplePos="0" relativeHeight="251658240" behindDoc="0" locked="0" layoutInCell="1" hidden="0" allowOverlap="1" wp14:anchorId="77A87E90" wp14:editId="160C4EAE">
              <wp:simplePos x="0" y="0"/>
              <wp:positionH relativeFrom="page">
                <wp:posOffset>0</wp:posOffset>
              </wp:positionH>
              <wp:positionV relativeFrom="page">
                <wp:posOffset>0</wp:posOffset>
              </wp:positionV>
              <wp:extent cx="7749111" cy="10023190"/>
              <wp:effectExtent l="0" t="0" r="0" b="0"/>
              <wp:wrapTopAndBottom distT="0" distB="0"/>
              <wp:docPr id="13" name="Group 13"/>
              <wp:cNvGraphicFramePr/>
              <a:graphic xmlns:a="http://schemas.openxmlformats.org/drawingml/2006/main">
                <a:graphicData uri="http://schemas.microsoft.com/office/word/2010/wordprocessingGroup">
                  <wpg:wgp>
                    <wpg:cNvGrpSpPr/>
                    <wpg:grpSpPr>
                      <a:xfrm>
                        <a:off x="0" y="0"/>
                        <a:ext cx="7749111" cy="10023190"/>
                        <a:chOff x="152400" y="152400"/>
                        <a:chExt cx="6830300" cy="8839225"/>
                      </a:xfrm>
                    </wpg:grpSpPr>
                    <pic:pic xmlns:pic="http://schemas.openxmlformats.org/drawingml/2006/picture">
                      <pic:nvPicPr>
                        <pic:cNvPr id="14" name="Shape 7" descr="Word_report_graphics_Letter_11 EN SM Instagram_cover_b&amp;w.png"/>
                        <pic:cNvPicPr preferRelativeResize="0"/>
                      </pic:nvPicPr>
                      <pic:blipFill>
                        <a:blip r:embed="rId1">
                          <a:alphaModFix/>
                        </a:blip>
                        <a:stretch>
                          <a:fillRect/>
                        </a:stretch>
                      </pic:blipFill>
                      <pic:spPr>
                        <a:xfrm>
                          <a:off x="152400" y="152400"/>
                          <a:ext cx="6830296" cy="8839207"/>
                        </a:xfrm>
                        <a:prstGeom prst="rect">
                          <a:avLst/>
                        </a:prstGeom>
                        <a:noFill/>
                        <a:ln>
                          <a:noFill/>
                        </a:ln>
                      </pic:spPr>
                    </pic:pic>
                    <wps:wsp>
                      <wps:cNvPr id="15" name="Text Box 15"/>
                      <wps:cNvSpPr txBox="1"/>
                      <wps:spPr>
                        <a:xfrm>
                          <a:off x="1404750" y="533275"/>
                          <a:ext cx="4969200" cy="4038600"/>
                        </a:xfrm>
                        <a:prstGeom prst="rect">
                          <a:avLst/>
                        </a:prstGeom>
                        <a:noFill/>
                        <a:ln>
                          <a:noFill/>
                        </a:ln>
                      </wps:spPr>
                      <wps:txbx>
                        <w:txbxContent>
                          <w:p w14:paraId="6C91EA03" w14:textId="77777777" w:rsidR="009A6B3D" w:rsidRDefault="00000000">
                            <w:pPr>
                              <w:spacing w:line="275" w:lineRule="auto"/>
                              <w:textDirection w:val="btLr"/>
                            </w:pPr>
                            <w:r>
                              <w:rPr>
                                <w:b/>
                                <w:color w:val="0A1F24"/>
                                <w:sz w:val="78"/>
                              </w:rPr>
                              <w:t>Insert title here (75 characters maximum) Please use ICANN covers</w:t>
                            </w:r>
                          </w:p>
                        </w:txbxContent>
                      </wps:txbx>
                      <wps:bodyPr spcFirstLastPara="1" wrap="square" lIns="91425" tIns="91425" rIns="91425" bIns="91425" anchor="b" anchorCtr="0">
                        <a:noAutofit/>
                      </wps:bodyPr>
                    </wps:wsp>
                    <wps:wsp>
                      <wps:cNvPr id="16" name="Text Box 16"/>
                      <wps:cNvSpPr txBox="1"/>
                      <wps:spPr>
                        <a:xfrm>
                          <a:off x="1433850" y="4921250"/>
                          <a:ext cx="4911000" cy="687600"/>
                        </a:xfrm>
                        <a:prstGeom prst="rect">
                          <a:avLst/>
                        </a:prstGeom>
                        <a:noFill/>
                        <a:ln>
                          <a:noFill/>
                        </a:ln>
                      </wps:spPr>
                      <wps:txbx>
                        <w:txbxContent>
                          <w:p w14:paraId="7AF56049" w14:textId="77777777" w:rsidR="009A6B3D" w:rsidRDefault="00000000">
                            <w:pPr>
                              <w:spacing w:line="240" w:lineRule="auto"/>
                              <w:textDirection w:val="btLr"/>
                            </w:pPr>
                            <w:r>
                              <w:rPr>
                                <w:color w:val="000000"/>
                                <w:sz w:val="28"/>
                              </w:rPr>
                              <w:t>Insert subtitle here (75 characters maximum)</w:t>
                            </w:r>
                          </w:p>
                        </w:txbxContent>
                      </wps:txbx>
                      <wps:bodyPr spcFirstLastPara="1" wrap="square" lIns="91425" tIns="91425" rIns="91425" bIns="91425" anchor="t" anchorCtr="0">
                        <a:noAutofit/>
                      </wps:bodyPr>
                    </wps:wsp>
                    <wps:wsp>
                      <wps:cNvPr id="17" name="Text Box 17"/>
                      <wps:cNvSpPr txBox="1"/>
                      <wps:spPr>
                        <a:xfrm>
                          <a:off x="1433850" y="6258000"/>
                          <a:ext cx="4911000" cy="687600"/>
                        </a:xfrm>
                        <a:prstGeom prst="rect">
                          <a:avLst/>
                        </a:prstGeom>
                        <a:noFill/>
                        <a:ln>
                          <a:noFill/>
                        </a:ln>
                      </wps:spPr>
                      <wps:txbx>
                        <w:txbxContent>
                          <w:p w14:paraId="51510E68" w14:textId="77777777" w:rsidR="009A6B3D" w:rsidRDefault="00000000">
                            <w:pPr>
                              <w:spacing w:line="240" w:lineRule="auto"/>
                              <w:textDirection w:val="btLr"/>
                            </w:pPr>
                            <w:r>
                              <w:rPr>
                                <w:color w:val="000000"/>
                                <w:sz w:val="28"/>
                              </w:rPr>
                              <w:t>Name</w:t>
                            </w:r>
                          </w:p>
                          <w:p w14:paraId="2DA28DA4" w14:textId="77777777" w:rsidR="009A6B3D" w:rsidRDefault="00000000">
                            <w:pPr>
                              <w:spacing w:line="240" w:lineRule="auto"/>
                              <w:textDirection w:val="btLr"/>
                            </w:pPr>
                            <w:r>
                              <w:rPr>
                                <w:color w:val="000000"/>
                                <w:sz w:val="28"/>
                              </w:rPr>
                              <w:t>XX Month Year</w:t>
                            </w:r>
                          </w:p>
                        </w:txbxContent>
                      </wps:txbx>
                      <wps:bodyPr spcFirstLastPara="1" wrap="square" lIns="91425" tIns="91425" rIns="91425" bIns="91425" anchor="t" anchorCtr="0">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49111" cy="10023190"/>
              <wp:effectExtent b="0" l="0" r="0" t="0"/>
              <wp:wrapTopAndBottom distB="0" distT="0"/>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749111" cy="1002319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7FE"/>
    <w:multiLevelType w:val="multilevel"/>
    <w:tmpl w:val="54A82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A0A76"/>
    <w:multiLevelType w:val="multilevel"/>
    <w:tmpl w:val="FCB68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8C048D"/>
    <w:multiLevelType w:val="multilevel"/>
    <w:tmpl w:val="9D10E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3F04E5"/>
    <w:multiLevelType w:val="multilevel"/>
    <w:tmpl w:val="05E46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242CD9"/>
    <w:multiLevelType w:val="multilevel"/>
    <w:tmpl w:val="5C6E7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285233"/>
    <w:multiLevelType w:val="multilevel"/>
    <w:tmpl w:val="4B186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22787F"/>
    <w:multiLevelType w:val="multilevel"/>
    <w:tmpl w:val="FCBEB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514A50"/>
    <w:multiLevelType w:val="multilevel"/>
    <w:tmpl w:val="2FBA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A44376"/>
    <w:multiLevelType w:val="multilevel"/>
    <w:tmpl w:val="B2806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9614C5"/>
    <w:multiLevelType w:val="multilevel"/>
    <w:tmpl w:val="EEB88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EC7FB3"/>
    <w:multiLevelType w:val="multilevel"/>
    <w:tmpl w:val="921E2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735B8F"/>
    <w:multiLevelType w:val="multilevel"/>
    <w:tmpl w:val="B2DAE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6576242">
    <w:abstractNumId w:val="11"/>
  </w:num>
  <w:num w:numId="2" w16cid:durableId="596064363">
    <w:abstractNumId w:val="6"/>
  </w:num>
  <w:num w:numId="3" w16cid:durableId="1217084451">
    <w:abstractNumId w:val="2"/>
  </w:num>
  <w:num w:numId="4" w16cid:durableId="615521997">
    <w:abstractNumId w:val="8"/>
  </w:num>
  <w:num w:numId="5" w16cid:durableId="1814516503">
    <w:abstractNumId w:val="5"/>
  </w:num>
  <w:num w:numId="6" w16cid:durableId="2089844161">
    <w:abstractNumId w:val="1"/>
  </w:num>
  <w:num w:numId="7" w16cid:durableId="71315736">
    <w:abstractNumId w:val="7"/>
  </w:num>
  <w:num w:numId="8" w16cid:durableId="395322243">
    <w:abstractNumId w:val="9"/>
  </w:num>
  <w:num w:numId="9" w16cid:durableId="1522430443">
    <w:abstractNumId w:val="0"/>
  </w:num>
  <w:num w:numId="10" w16cid:durableId="9646253">
    <w:abstractNumId w:val="4"/>
  </w:num>
  <w:num w:numId="11" w16cid:durableId="1385444872">
    <w:abstractNumId w:val="10"/>
  </w:num>
  <w:num w:numId="12" w16cid:durableId="1622802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3D"/>
    <w:rsid w:val="002F1BF2"/>
    <w:rsid w:val="00503909"/>
    <w:rsid w:val="009A6B3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4606BAF"/>
  <w15:docId w15:val="{390832D2-BDE5-2948-BA85-F287CCE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b/>
      <w:color w:val="0D436C"/>
      <w:sz w:val="44"/>
      <w:szCs w:val="44"/>
    </w:rPr>
  </w:style>
  <w:style w:type="paragraph" w:styleId="Heading2">
    <w:name w:val="heading 2"/>
    <w:basedOn w:val="Normal"/>
    <w:next w:val="Normal"/>
    <w:uiPriority w:val="9"/>
    <w:unhideWhenUsed/>
    <w:qFormat/>
    <w:pPr>
      <w:keepNext/>
      <w:keepLines/>
      <w:spacing w:line="240" w:lineRule="auto"/>
      <w:outlineLvl w:val="1"/>
    </w:pPr>
    <w:rPr>
      <w:b/>
      <w:color w:val="0D436C"/>
      <w:sz w:val="36"/>
      <w:szCs w:val="36"/>
    </w:rPr>
  </w:style>
  <w:style w:type="paragraph" w:styleId="Heading3">
    <w:name w:val="heading 3"/>
    <w:basedOn w:val="Normal"/>
    <w:next w:val="Normal"/>
    <w:uiPriority w:val="9"/>
    <w:unhideWhenUsed/>
    <w:qFormat/>
    <w:pPr>
      <w:keepNext/>
      <w:keepLines/>
      <w:spacing w:line="240" w:lineRule="auto"/>
      <w:outlineLvl w:val="2"/>
    </w:pPr>
    <w:rPr>
      <w:color w:val="0D436C"/>
      <w:sz w:val="32"/>
      <w:szCs w:val="32"/>
    </w:rPr>
  </w:style>
  <w:style w:type="paragraph" w:styleId="Heading4">
    <w:name w:val="heading 4"/>
    <w:basedOn w:val="Normal"/>
    <w:next w:val="Normal"/>
    <w:uiPriority w:val="9"/>
    <w:unhideWhenUsed/>
    <w:qFormat/>
    <w:pPr>
      <w:keepNext/>
      <w:keepLines/>
      <w:spacing w:line="240" w:lineRule="auto"/>
      <w:outlineLvl w:val="3"/>
    </w:pPr>
    <w:rPr>
      <w:color w:val="0D436C"/>
      <w:sz w:val="32"/>
      <w:szCs w:val="32"/>
    </w:rPr>
  </w:style>
  <w:style w:type="paragraph" w:styleId="Heading5">
    <w:name w:val="heading 5"/>
    <w:basedOn w:val="Normal"/>
    <w:next w:val="Normal"/>
    <w:uiPriority w:val="9"/>
    <w:semiHidden/>
    <w:unhideWhenUsed/>
    <w:qFormat/>
    <w:pPr>
      <w:keepNext/>
      <w:keepLines/>
      <w:spacing w:line="240" w:lineRule="auto"/>
      <w:outlineLvl w:val="4"/>
    </w:pPr>
    <w:rPr>
      <w:color w:val="0D436C"/>
      <w:sz w:val="28"/>
      <w:szCs w:val="28"/>
    </w:rPr>
  </w:style>
  <w:style w:type="paragraph" w:styleId="Heading6">
    <w:name w:val="heading 6"/>
    <w:basedOn w:val="Normal"/>
    <w:next w:val="Normal"/>
    <w:uiPriority w:val="9"/>
    <w:semiHidden/>
    <w:unhideWhenUsed/>
    <w:qFormat/>
    <w:pPr>
      <w:keepNext/>
      <w:keepLines/>
      <w:outlineLvl w:val="5"/>
    </w:pPr>
    <w:rPr>
      <w:b/>
      <w:color w:val="0D436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bottom w:val="single" w:sz="4" w:space="1" w:color="1A87C9"/>
      </w:pBdr>
      <w:spacing w:after="220" w:line="240" w:lineRule="auto"/>
    </w:pPr>
    <w:rPr>
      <w:color w:val="1768B1"/>
      <w:sz w:val="64"/>
      <w:szCs w:val="6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1999-2019" TargetMode="External"/><Relationship Id="rId13" Type="http://schemas.openxmlformats.org/officeDocument/2006/relationships/hyperlink" Target="https://gnso.icann.org/sites/default/files/file/field-file-attach/igo-ingo-crp-access-final-17jul18-en_0.pdf" TargetMode="External"/><Relationship Id="rId18" Type="http://schemas.openxmlformats.org/officeDocument/2006/relationships/hyperlink" Target="https://gnso.icann.org/sites/default/files/file/field-file-attach/igo-ingo-crp-access-final-17jul18-en_0.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cann.org/ombuds" TargetMode="External"/><Relationship Id="rId7" Type="http://schemas.openxmlformats.org/officeDocument/2006/relationships/hyperlink" Target="https://www.icann.org/resources/pages/igo-ingo-protection-policy-2020-02-18-en" TargetMode="External"/><Relationship Id="rId12" Type="http://schemas.openxmlformats.org/officeDocument/2006/relationships/hyperlink" Target="https://gnso.icann.org/sites/default/files/file/field-file-attach/epdp-specific-crp-igo-final-report-02apr22-en.pdf" TargetMode="External"/><Relationship Id="rId17" Type="http://schemas.openxmlformats.org/officeDocument/2006/relationships/hyperlink" Target="https://www.icann.org/en/system/files/files/irt-principles-guidelines-23aug16-en.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ann.org/uploads/ckeditor/CPIF_v2.0_2019CLEAN.pdf" TargetMode="External"/><Relationship Id="rId20" Type="http://schemas.openxmlformats.org/officeDocument/2006/relationships/hyperlink" Target="https://www.icann.org/uploads/ckeditor/CPIF_v2.0_2019CLEAN.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uncil/resolutions/2020-current" TargetMode="External"/><Relationship Id="rId24" Type="http://schemas.openxmlformats.org/officeDocument/2006/relationships/hyperlink" Target="https://gnso.icann.org/sites/default/files/file/field-file-attach/epdp-specific-crp-igo-final-report-02apr22-en.pdf" TargetMode="External"/><Relationship Id="rId5" Type="http://schemas.openxmlformats.org/officeDocument/2006/relationships/footnotes" Target="footnotes.xml"/><Relationship Id="rId15" Type="http://schemas.openxmlformats.org/officeDocument/2006/relationships/hyperlink" Target="https://www.icann.org/en/board-activities-and-meetings/materials/approved-resolutions-regular-meeting-of-the-icann-board-30-04-2023-en" TargetMode="External"/><Relationship Id="rId23" Type="http://schemas.openxmlformats.org/officeDocument/2006/relationships/hyperlink" Target="https://gnso.icann.org/sites/default/files/file/field-file-attach/igo-ingo-crp-access-final-17jul18-en_0.pdf" TargetMode="External"/><Relationship Id="rId28" Type="http://schemas.openxmlformats.org/officeDocument/2006/relationships/footer" Target="footer2.xml"/><Relationship Id="rId10" Type="http://schemas.openxmlformats.org/officeDocument/2006/relationships/hyperlink" Target="https://gnso.icann.org/en/council/resolutions/1999-2019" TargetMode="External"/><Relationship Id="rId19" Type="http://schemas.openxmlformats.org/officeDocument/2006/relationships/hyperlink" Target="https://community.icann.org/display/ICRIRT/Members" TargetMode="External"/><Relationship Id="rId4" Type="http://schemas.openxmlformats.org/officeDocument/2006/relationships/webSettings" Target="webSettings.xml"/><Relationship Id="rId9" Type="http://schemas.openxmlformats.org/officeDocument/2006/relationships/hyperlink" Target="https://gnso.icann.org/en/issues/igo-ingo-crp-access-final-17jul18-en.pdf" TargetMode="External"/><Relationship Id="rId14" Type="http://schemas.openxmlformats.org/officeDocument/2006/relationships/hyperlink" Target="https://gnso.icann.org/sites/default/files/file/field-file-attach/epdp-specific-crp-igo-final-report-02apr22-en.pdf" TargetMode="External"/><Relationship Id="rId22" Type="http://schemas.openxmlformats.org/officeDocument/2006/relationships/hyperlink" Target="https://community.icann.org/display/ICRIRT"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irt-principles-guidelines-23aug16-en.pdf" TargetMode="External"/><Relationship Id="rId2" Type="http://schemas.openxmlformats.org/officeDocument/2006/relationships/hyperlink" Target="https://www.icann.org/uploads/ckeditor/CPIF_v2.0_2019CLEAN.pdf" TargetMode="External"/><Relationship Id="rId1" Type="http://schemas.openxmlformats.org/officeDocument/2006/relationships/hyperlink" Target="https://www.icann.org/en/system/files/files/irt-principles-guidelines-23aug16-en.pdf" TargetMode="External"/><Relationship Id="rId4" Type="http://schemas.openxmlformats.org/officeDocument/2006/relationships/hyperlink" Target="https://www.icann.org/en/system/files/files/irt-principles-guidelines-23aug16-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3293</Words>
  <Characters>18772</Characters>
  <Application>Microsoft Office Word</Application>
  <DocSecurity>0</DocSecurity>
  <Lines>156</Lines>
  <Paragraphs>44</Paragraphs>
  <ScaleCrop>false</ScaleCrop>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Eakin</cp:lastModifiedBy>
  <cp:revision>2</cp:revision>
  <dcterms:created xsi:type="dcterms:W3CDTF">2025-04-07T22:11:00Z</dcterms:created>
  <dcterms:modified xsi:type="dcterms:W3CDTF">2025-04-07T22:11:00Z</dcterms:modified>
</cp:coreProperties>
</file>