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88B68" w14:textId="77777777" w:rsidR="00175DDD" w:rsidRDefault="00000000">
      <w:pPr>
        <w:jc w:val="center"/>
        <w:rPr>
          <w:b/>
          <w:u w:val="single"/>
        </w:rPr>
      </w:pPr>
      <w:r>
        <w:rPr>
          <w:b/>
          <w:u w:val="single"/>
        </w:rPr>
        <w:t>Redlines Overview: Proposed Implementation of EPDP Curative Rights Recs re IGOs</w:t>
      </w:r>
    </w:p>
    <w:p w14:paraId="3338F5E4" w14:textId="77777777" w:rsidR="00175DDD" w:rsidRDefault="00000000">
      <w:pPr>
        <w:jc w:val="center"/>
        <w:rPr>
          <w:color w:val="FF0000"/>
        </w:rPr>
      </w:pPr>
      <w:r>
        <w:t>31 July 2025</w:t>
      </w:r>
    </w:p>
    <w:p w14:paraId="2B3DEEE4" w14:textId="77777777" w:rsidR="00175DDD" w:rsidRDefault="00175DDD"/>
    <w:p w14:paraId="02026A1D" w14:textId="77777777" w:rsidR="00175DDD" w:rsidRDefault="00000000">
      <w:pPr>
        <w:rPr>
          <w:b/>
        </w:rPr>
      </w:pPr>
      <w:r>
        <w:rPr>
          <w:b/>
        </w:rPr>
        <w:t>Overview</w:t>
      </w:r>
    </w:p>
    <w:p w14:paraId="31AD8060" w14:textId="77777777" w:rsidR="00175DDD" w:rsidRDefault="00000000">
      <w:r>
        <w:t>ICANN org is consulting with the IRT to implement two sets of GNSO recommendations related to IGO-INGO Curative Rights</w:t>
      </w:r>
      <w:r>
        <w:rPr>
          <w:b/>
        </w:rPr>
        <w:t xml:space="preserve">. </w:t>
      </w:r>
      <w:r>
        <w:t xml:space="preserve">This document proposes a path and identifies open questions related to the implementation of </w:t>
      </w:r>
      <w:hyperlink r:id="rId7">
        <w:r>
          <w:rPr>
            <w:color w:val="1155CC"/>
            <w:u w:val="single"/>
          </w:rPr>
          <w:t>five EPDP recommendations from this GNSO Final Report</w:t>
        </w:r>
      </w:hyperlink>
      <w:hyperlink r:id="rId8">
        <w:r>
          <w:rPr>
            <w:color w:val="1155CC"/>
            <w:u w:val="single"/>
          </w:rPr>
          <w:t xml:space="preserve"> </w:t>
        </w:r>
      </w:hyperlink>
      <w:r>
        <w:t>(“Final Report”). In summary, these recommendations will require the following changes to the UDRP/URS and their accompanying rules:</w:t>
      </w:r>
    </w:p>
    <w:p w14:paraId="6822B24D" w14:textId="77777777" w:rsidR="00175DDD" w:rsidRDefault="00175DDD"/>
    <w:p w14:paraId="161F1322" w14:textId="77777777" w:rsidR="00175DDD" w:rsidRDefault="00000000">
      <w:pPr>
        <w:numPr>
          <w:ilvl w:val="0"/>
          <w:numId w:val="3"/>
        </w:numPr>
      </w:pPr>
      <w:r>
        <w:t>Update UDRP/URS to define a new type of complainant (IGO Complainant).</w:t>
      </w:r>
    </w:p>
    <w:p w14:paraId="412DCD0D" w14:textId="77777777" w:rsidR="00175DDD" w:rsidRDefault="00000000">
      <w:pPr>
        <w:numPr>
          <w:ilvl w:val="0"/>
          <w:numId w:val="3"/>
        </w:numPr>
      </w:pPr>
      <w:r>
        <w:t>Update UDRP/URS to exclude IGO Complainants from the usual requirement to submit to mutual jurisdiction in proceedings brought by a registrant in which the registrant challenges the outcome of a UDRP/URS proceeding in which the complainant prevails.</w:t>
      </w:r>
    </w:p>
    <w:p w14:paraId="1520536D" w14:textId="77777777" w:rsidR="00175DDD" w:rsidRDefault="00000000">
      <w:pPr>
        <w:numPr>
          <w:ilvl w:val="0"/>
          <w:numId w:val="3"/>
        </w:numPr>
      </w:pPr>
      <w:r>
        <w:t>Update UDRP/URS to enable a new appeal-like mechanism (binding arbitration) that the registrant (respondent in UDRP/URS proceeding) may opt to pursue if an IGO Complainant prevails in the UDRP or URS proceeding.</w:t>
      </w:r>
    </w:p>
    <w:p w14:paraId="142D3F10" w14:textId="77777777" w:rsidR="00175DDD" w:rsidRDefault="00000000">
      <w:pPr>
        <w:numPr>
          <w:ilvl w:val="0"/>
          <w:numId w:val="3"/>
        </w:numPr>
      </w:pPr>
      <w:r>
        <w:t>Update UDRP/URS to require notice to IGO Complainants/Respondents of this new arbitral path.</w:t>
      </w:r>
    </w:p>
    <w:p w14:paraId="26D900B6" w14:textId="77777777" w:rsidR="00175DDD" w:rsidRDefault="00175DDD"/>
    <w:p w14:paraId="6DFD0CEC" w14:textId="77777777" w:rsidR="00175DDD" w:rsidRDefault="00000000">
      <w:r>
        <w:t xml:space="preserve">The Final Report contains implementation guidance for arbitral </w:t>
      </w:r>
      <w:proofErr w:type="gramStart"/>
      <w:r>
        <w:t>principles</w:t>
      </w:r>
      <w:proofErr w:type="gramEnd"/>
      <w:r>
        <w:t xml:space="preserve"> but the policy recommendations are minimal in terms of specifics about the arbitral procedure, leaving questions about who the providers should be, what, if any, specific rules should apply, etc. There is one policy recommendation concerning choice of law in the new arbitral proceeding.</w:t>
      </w:r>
    </w:p>
    <w:p w14:paraId="1FE5AC87" w14:textId="77777777" w:rsidR="00175DDD" w:rsidRDefault="00175DDD">
      <w:pPr>
        <w:rPr>
          <w:b/>
        </w:rPr>
      </w:pPr>
    </w:p>
    <w:p w14:paraId="49187502" w14:textId="77777777" w:rsidR="00175DDD" w:rsidRDefault="00000000">
      <w:pPr>
        <w:rPr>
          <w:b/>
        </w:rPr>
      </w:pPr>
      <w:r>
        <w:rPr>
          <w:b/>
        </w:rPr>
        <w:t>Steps Taken to Date</w:t>
      </w:r>
    </w:p>
    <w:p w14:paraId="4A4DAFE2" w14:textId="77777777" w:rsidR="00175DDD" w:rsidRDefault="00000000">
      <w:pPr>
        <w:numPr>
          <w:ilvl w:val="0"/>
          <w:numId w:val="1"/>
        </w:numPr>
      </w:pPr>
      <w:r>
        <w:t>Reviewed policy recommendations and UDRP/URS process flows to identify areas where language/processes will likely need to be updated to accommodate the new arbitral path.</w:t>
      </w:r>
    </w:p>
    <w:p w14:paraId="216148FF" w14:textId="77777777" w:rsidR="00175DDD" w:rsidRDefault="00175DDD">
      <w:pPr>
        <w:ind w:left="720"/>
      </w:pPr>
    </w:p>
    <w:p w14:paraId="2C3A1496" w14:textId="77777777" w:rsidR="00175DDD" w:rsidRDefault="00000000">
      <w:pPr>
        <w:numPr>
          <w:ilvl w:val="0"/>
          <w:numId w:val="1"/>
        </w:numPr>
      </w:pPr>
      <w:r>
        <w:t>Drafted redlines for UDRP, URS, and associated rules to incorporate specific recommendations from the Final Report.</w:t>
      </w:r>
    </w:p>
    <w:p w14:paraId="4B348FF0" w14:textId="77777777" w:rsidR="00175DDD" w:rsidRDefault="00175DDD">
      <w:pPr>
        <w:ind w:left="720"/>
      </w:pPr>
    </w:p>
    <w:p w14:paraId="3A82D509" w14:textId="77777777" w:rsidR="00175DDD" w:rsidRDefault="00000000">
      <w:pPr>
        <w:numPr>
          <w:ilvl w:val="0"/>
          <w:numId w:val="1"/>
        </w:numPr>
      </w:pPr>
      <w:r>
        <w:t xml:space="preserve">Identified open questions and issues for IRT feedback. </w:t>
      </w:r>
    </w:p>
    <w:p w14:paraId="483394DC" w14:textId="77777777" w:rsidR="00175DDD" w:rsidRDefault="00175DDD">
      <w:pPr>
        <w:ind w:left="720"/>
      </w:pPr>
    </w:p>
    <w:p w14:paraId="7DE2868C" w14:textId="77777777" w:rsidR="00175DDD" w:rsidRDefault="00175DDD">
      <w:pPr>
        <w:rPr>
          <w:b/>
        </w:rPr>
      </w:pPr>
    </w:p>
    <w:p w14:paraId="7650A5C3" w14:textId="77777777" w:rsidR="00175DDD" w:rsidRDefault="00000000">
      <w:pPr>
        <w:rPr>
          <w:b/>
        </w:rPr>
      </w:pPr>
      <w:r>
        <w:rPr>
          <w:b/>
        </w:rPr>
        <w:t>Next Steps</w:t>
      </w:r>
    </w:p>
    <w:p w14:paraId="0EF42241" w14:textId="77777777" w:rsidR="00175DDD" w:rsidRDefault="00000000">
      <w:pPr>
        <w:numPr>
          <w:ilvl w:val="0"/>
          <w:numId w:val="2"/>
        </w:numPr>
      </w:pPr>
      <w:r>
        <w:t>ICANN to consult with current approved UDRP and URS providers to confirm their ability to administer this new arbitral proceeding.</w:t>
      </w:r>
    </w:p>
    <w:p w14:paraId="46D2C731" w14:textId="77777777" w:rsidR="00175DDD" w:rsidRDefault="00000000">
      <w:pPr>
        <w:numPr>
          <w:ilvl w:val="0"/>
          <w:numId w:val="2"/>
        </w:numPr>
      </w:pPr>
      <w:r>
        <w:t>IRT to provide feedback on ICANN questions (see issues list at end of this doc) and draft redlines.</w:t>
      </w:r>
    </w:p>
    <w:p w14:paraId="1F3089C1" w14:textId="77777777" w:rsidR="00175DDD" w:rsidRDefault="00000000">
      <w:pPr>
        <w:numPr>
          <w:ilvl w:val="0"/>
          <w:numId w:val="2"/>
        </w:numPr>
      </w:pPr>
      <w:r>
        <w:t>Informed by IRT feedback, ICANN will finalize redlines to reflect implementation approach (choice of provider) and share with IRT for input.</w:t>
      </w:r>
    </w:p>
    <w:p w14:paraId="24217A9F" w14:textId="77777777" w:rsidR="00175DDD" w:rsidRDefault="00175DDD"/>
    <w:p w14:paraId="3369E082" w14:textId="77777777" w:rsidR="00175DDD" w:rsidRDefault="00175DDD"/>
    <w:p w14:paraId="7FD69E49" w14:textId="77777777" w:rsidR="00175DDD" w:rsidRDefault="00000000">
      <w:hyperlink r:id="rId9">
        <w:r>
          <w:rPr>
            <w:b/>
            <w:color w:val="1155CC"/>
            <w:sz w:val="24"/>
            <w:szCs w:val="24"/>
            <w:u w:val="single"/>
          </w:rPr>
          <w:t>Recommendations from Final Report of the Expedited Policy Development Process (EPDP) on Specific Curative Rights Protection for International Governmental Organizations (IGOs</w:t>
        </w:r>
      </w:hyperlink>
      <w:hyperlink r:id="rId10">
        <w:r>
          <w:rPr>
            <w:rFonts w:ascii="Cambria" w:eastAsia="Cambria" w:hAnsi="Cambria" w:cs="Cambria"/>
            <w:b/>
            <w:color w:val="1155CC"/>
            <w:u w:val="single"/>
          </w:rPr>
          <w:t>)</w:t>
        </w:r>
      </w:hyperlink>
    </w:p>
    <w:p w14:paraId="67834629" w14:textId="77777777" w:rsidR="00175DDD" w:rsidRDefault="00175DDD">
      <w:pPr>
        <w:widowControl w:val="0"/>
        <w:spacing w:before="264"/>
        <w:rPr>
          <w:rFonts w:ascii="Calibri" w:eastAsia="Calibri" w:hAnsi="Calibri" w:cs="Calibri"/>
        </w:rPr>
      </w:pPr>
    </w:p>
    <w:tbl>
      <w:tblPr>
        <w:tblStyle w:val="a"/>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3825"/>
      </w:tblGrid>
      <w:tr w:rsidR="00175DDD" w14:paraId="45183867" w14:textId="77777777">
        <w:tc>
          <w:tcPr>
            <w:tcW w:w="5775" w:type="dxa"/>
            <w:shd w:val="clear" w:color="auto" w:fill="auto"/>
            <w:tcMar>
              <w:top w:w="100" w:type="dxa"/>
              <w:left w:w="100" w:type="dxa"/>
              <w:bottom w:w="100" w:type="dxa"/>
              <w:right w:w="100" w:type="dxa"/>
            </w:tcMar>
          </w:tcPr>
          <w:p w14:paraId="32278576" w14:textId="77777777" w:rsidR="00175DDD" w:rsidRDefault="00000000">
            <w:pPr>
              <w:widowControl w:val="0"/>
              <w:spacing w:line="240" w:lineRule="auto"/>
              <w:rPr>
                <w:b/>
              </w:rPr>
            </w:pPr>
            <w:r>
              <w:rPr>
                <w:b/>
              </w:rPr>
              <w:t xml:space="preserve">Recommendation </w:t>
            </w:r>
          </w:p>
        </w:tc>
        <w:tc>
          <w:tcPr>
            <w:tcW w:w="3825" w:type="dxa"/>
            <w:shd w:val="clear" w:color="auto" w:fill="auto"/>
            <w:tcMar>
              <w:top w:w="100" w:type="dxa"/>
              <w:left w:w="100" w:type="dxa"/>
              <w:bottom w:w="100" w:type="dxa"/>
              <w:right w:w="100" w:type="dxa"/>
            </w:tcMar>
          </w:tcPr>
          <w:p w14:paraId="3137CF4B" w14:textId="77777777" w:rsidR="00175DDD" w:rsidRDefault="00000000">
            <w:pPr>
              <w:widowControl w:val="0"/>
              <w:spacing w:line="240" w:lineRule="auto"/>
              <w:rPr>
                <w:b/>
              </w:rPr>
            </w:pPr>
            <w:r>
              <w:rPr>
                <w:b/>
              </w:rPr>
              <w:t>Draft implementing language</w:t>
            </w:r>
          </w:p>
        </w:tc>
      </w:tr>
      <w:tr w:rsidR="00175DDD" w14:paraId="5DEF0573" w14:textId="77777777">
        <w:tc>
          <w:tcPr>
            <w:tcW w:w="5775" w:type="dxa"/>
            <w:shd w:val="clear" w:color="auto" w:fill="auto"/>
            <w:tcMar>
              <w:top w:w="100" w:type="dxa"/>
              <w:left w:w="100" w:type="dxa"/>
              <w:bottom w:w="100" w:type="dxa"/>
              <w:right w:w="100" w:type="dxa"/>
            </w:tcMar>
          </w:tcPr>
          <w:p w14:paraId="4D389E2F" w14:textId="77777777" w:rsidR="00175DDD" w:rsidRDefault="00000000">
            <w:pPr>
              <w:widowControl w:val="0"/>
              <w:spacing w:line="240" w:lineRule="auto"/>
            </w:pPr>
            <w:r>
              <w:t>1 (</w:t>
            </w:r>
            <w:proofErr w:type="spellStart"/>
            <w:r>
              <w:t>i</w:t>
            </w:r>
            <w:proofErr w:type="spellEnd"/>
            <w:r>
              <w:t>): Add description [provided in rec] of “IGO Complainant” to UDRP and URS rules</w:t>
            </w:r>
          </w:p>
        </w:tc>
        <w:tc>
          <w:tcPr>
            <w:tcW w:w="3825" w:type="dxa"/>
            <w:shd w:val="clear" w:color="auto" w:fill="auto"/>
            <w:tcMar>
              <w:top w:w="100" w:type="dxa"/>
              <w:left w:w="100" w:type="dxa"/>
              <w:bottom w:w="100" w:type="dxa"/>
              <w:right w:w="100" w:type="dxa"/>
            </w:tcMar>
          </w:tcPr>
          <w:p w14:paraId="101957F4" w14:textId="77777777" w:rsidR="00175DDD" w:rsidRDefault="00000000">
            <w:pPr>
              <w:widowControl w:val="0"/>
              <w:spacing w:line="240" w:lineRule="auto"/>
            </w:pPr>
            <w:r>
              <w:t>UDRP Rules: See draft updates to UDRP Rules, Paragraph 1 (definitions)</w:t>
            </w:r>
          </w:p>
          <w:p w14:paraId="374FEE2E" w14:textId="77777777" w:rsidR="00175DDD" w:rsidRDefault="00175DDD">
            <w:pPr>
              <w:widowControl w:val="0"/>
              <w:spacing w:line="240" w:lineRule="auto"/>
            </w:pPr>
          </w:p>
          <w:p w14:paraId="10711994" w14:textId="77777777" w:rsidR="00175DDD" w:rsidRDefault="00000000">
            <w:pPr>
              <w:widowControl w:val="0"/>
              <w:spacing w:line="240" w:lineRule="auto"/>
            </w:pPr>
            <w:r>
              <w:t>URS Rules: See draft updates to URS Rules, Paragraph 1 (definitions)</w:t>
            </w:r>
          </w:p>
        </w:tc>
      </w:tr>
      <w:tr w:rsidR="00175DDD" w14:paraId="71C2D5A8" w14:textId="77777777">
        <w:tc>
          <w:tcPr>
            <w:tcW w:w="5775" w:type="dxa"/>
            <w:shd w:val="clear" w:color="auto" w:fill="auto"/>
            <w:tcMar>
              <w:top w:w="100" w:type="dxa"/>
              <w:left w:w="100" w:type="dxa"/>
              <w:bottom w:w="100" w:type="dxa"/>
              <w:right w:w="100" w:type="dxa"/>
            </w:tcMar>
          </w:tcPr>
          <w:p w14:paraId="35B0FFF1" w14:textId="77777777" w:rsidR="00175DDD" w:rsidRDefault="00000000">
            <w:pPr>
              <w:widowControl w:val="0"/>
              <w:spacing w:line="240" w:lineRule="auto"/>
            </w:pPr>
            <w:r>
              <w:t xml:space="preserve">1 (ii): Add the following explanatory text to UDRP Rules Section 3(b)(viii), URS Section 1.2.6 and URS Rules Section 3(b)(v): </w:t>
            </w:r>
          </w:p>
          <w:p w14:paraId="6257A15B" w14:textId="77777777" w:rsidR="00175DDD" w:rsidRDefault="00175DDD">
            <w:pPr>
              <w:widowControl w:val="0"/>
              <w:spacing w:line="240" w:lineRule="auto"/>
            </w:pPr>
          </w:p>
          <w:p w14:paraId="56D613F9" w14:textId="77777777" w:rsidR="00175DDD" w:rsidRDefault="00000000">
            <w:pPr>
              <w:widowControl w:val="0"/>
              <w:spacing w:line="240" w:lineRule="auto"/>
            </w:pPr>
            <w:r>
              <w:t xml:space="preserve">“Where the Complainant is an IGO Complainant, it may show rights in a mark by demonstrating that the identifier which forms the basis for the complaint is used by the IGO Complainant to conduct public activities in accordance with its stated mission (as may be reflected in its treaty, charter, or governing document). Such use shall not be a token use.” </w:t>
            </w:r>
          </w:p>
        </w:tc>
        <w:tc>
          <w:tcPr>
            <w:tcW w:w="3825" w:type="dxa"/>
            <w:shd w:val="clear" w:color="auto" w:fill="auto"/>
            <w:tcMar>
              <w:top w:w="100" w:type="dxa"/>
              <w:left w:w="100" w:type="dxa"/>
              <w:bottom w:w="100" w:type="dxa"/>
              <w:right w:w="100" w:type="dxa"/>
            </w:tcMar>
          </w:tcPr>
          <w:p w14:paraId="6DC91138" w14:textId="77777777" w:rsidR="00175DDD" w:rsidRDefault="00000000">
            <w:pPr>
              <w:widowControl w:val="0"/>
              <w:spacing w:line="240" w:lineRule="auto"/>
            </w:pPr>
            <w:r>
              <w:t>UDRP Rules: See draft updates to 3(b)(viii)</w:t>
            </w:r>
          </w:p>
          <w:p w14:paraId="55A68269" w14:textId="77777777" w:rsidR="00175DDD" w:rsidRDefault="00175DDD">
            <w:pPr>
              <w:widowControl w:val="0"/>
              <w:spacing w:line="240" w:lineRule="auto"/>
            </w:pPr>
          </w:p>
          <w:p w14:paraId="6FE5D3BA" w14:textId="77777777" w:rsidR="00175DDD" w:rsidRDefault="00000000">
            <w:pPr>
              <w:widowControl w:val="0"/>
              <w:spacing w:line="240" w:lineRule="auto"/>
            </w:pPr>
            <w:r>
              <w:t>URS: See new URS Section 1.2.6.4</w:t>
            </w:r>
          </w:p>
          <w:p w14:paraId="5EF881C0" w14:textId="77777777" w:rsidR="00175DDD" w:rsidRDefault="00175DDD">
            <w:pPr>
              <w:widowControl w:val="0"/>
              <w:spacing w:line="240" w:lineRule="auto"/>
            </w:pPr>
          </w:p>
          <w:p w14:paraId="7E969443" w14:textId="77777777" w:rsidR="00175DDD" w:rsidRDefault="00000000">
            <w:pPr>
              <w:widowControl w:val="0"/>
              <w:spacing w:line="240" w:lineRule="auto"/>
            </w:pPr>
            <w:r>
              <w:t>URS Rules: See edits to URS Rules 3(b)(v)</w:t>
            </w:r>
          </w:p>
        </w:tc>
      </w:tr>
    </w:tbl>
    <w:p w14:paraId="5A8B8FE1" w14:textId="77777777" w:rsidR="00175DDD" w:rsidRDefault="00175DDD">
      <w:pPr>
        <w:widowControl w:val="0"/>
        <w:spacing w:before="264"/>
      </w:pPr>
    </w:p>
    <w:p w14:paraId="371BA2B3" w14:textId="77777777" w:rsidR="00175DDD" w:rsidRDefault="00175DDD">
      <w:pPr>
        <w:widowControl w:val="0"/>
        <w:spacing w:before="264"/>
        <w:rPr>
          <w:rFonts w:ascii="Calibri" w:eastAsia="Calibri" w:hAnsi="Calibri" w:cs="Calibri"/>
        </w:rPr>
      </w:pPr>
    </w:p>
    <w:tbl>
      <w:tblPr>
        <w:tblStyle w:val="a0"/>
        <w:tblW w:w="96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05"/>
        <w:gridCol w:w="3825"/>
      </w:tblGrid>
      <w:tr w:rsidR="00175DDD" w14:paraId="4D1C6401" w14:textId="77777777">
        <w:tc>
          <w:tcPr>
            <w:tcW w:w="5805" w:type="dxa"/>
            <w:shd w:val="clear" w:color="auto" w:fill="auto"/>
            <w:tcMar>
              <w:top w:w="100" w:type="dxa"/>
              <w:left w:w="100" w:type="dxa"/>
              <w:bottom w:w="100" w:type="dxa"/>
              <w:right w:w="100" w:type="dxa"/>
            </w:tcMar>
          </w:tcPr>
          <w:p w14:paraId="3A3D7F73" w14:textId="77777777" w:rsidR="00175DDD" w:rsidRDefault="00000000">
            <w:pPr>
              <w:widowControl w:val="0"/>
              <w:spacing w:line="240" w:lineRule="auto"/>
              <w:rPr>
                <w:b/>
              </w:rPr>
            </w:pPr>
            <w:r>
              <w:rPr>
                <w:b/>
              </w:rPr>
              <w:t xml:space="preserve">Recommendation </w:t>
            </w:r>
          </w:p>
        </w:tc>
        <w:tc>
          <w:tcPr>
            <w:tcW w:w="3825" w:type="dxa"/>
            <w:shd w:val="clear" w:color="auto" w:fill="auto"/>
            <w:tcMar>
              <w:top w:w="100" w:type="dxa"/>
              <w:left w:w="100" w:type="dxa"/>
              <w:bottom w:w="100" w:type="dxa"/>
              <w:right w:w="100" w:type="dxa"/>
            </w:tcMar>
          </w:tcPr>
          <w:p w14:paraId="644F311F" w14:textId="77777777" w:rsidR="00175DDD" w:rsidRDefault="00000000">
            <w:pPr>
              <w:widowControl w:val="0"/>
              <w:spacing w:line="240" w:lineRule="auto"/>
              <w:rPr>
                <w:b/>
              </w:rPr>
            </w:pPr>
            <w:r>
              <w:rPr>
                <w:b/>
              </w:rPr>
              <w:t>Draft implementing language (or issues noted)</w:t>
            </w:r>
          </w:p>
        </w:tc>
      </w:tr>
      <w:tr w:rsidR="00175DDD" w14:paraId="138DC01B" w14:textId="77777777">
        <w:tc>
          <w:tcPr>
            <w:tcW w:w="5805" w:type="dxa"/>
            <w:shd w:val="clear" w:color="auto" w:fill="auto"/>
            <w:tcMar>
              <w:top w:w="100" w:type="dxa"/>
              <w:left w:w="100" w:type="dxa"/>
              <w:bottom w:w="100" w:type="dxa"/>
              <w:right w:w="100" w:type="dxa"/>
            </w:tcMar>
          </w:tcPr>
          <w:p w14:paraId="553549DC" w14:textId="77777777" w:rsidR="00175DDD" w:rsidRDefault="00000000">
            <w:pPr>
              <w:widowControl w:val="0"/>
              <w:spacing w:line="240" w:lineRule="auto"/>
            </w:pPr>
            <w:r>
              <w:t xml:space="preserve">2 (a): The EPDP team recommends that an IGO Complainant (as defined under Recommendation #1) be exempt from the requirement under Section 3(b)(xii) of the UDRP Rules and Section 3(b)(ix) of the URS Rules. </w:t>
            </w:r>
          </w:p>
        </w:tc>
        <w:tc>
          <w:tcPr>
            <w:tcW w:w="3825" w:type="dxa"/>
            <w:shd w:val="clear" w:color="auto" w:fill="auto"/>
            <w:tcMar>
              <w:top w:w="100" w:type="dxa"/>
              <w:left w:w="100" w:type="dxa"/>
              <w:bottom w:w="100" w:type="dxa"/>
              <w:right w:w="100" w:type="dxa"/>
            </w:tcMar>
          </w:tcPr>
          <w:p w14:paraId="785F7268" w14:textId="77777777" w:rsidR="00175DDD" w:rsidRDefault="00000000">
            <w:pPr>
              <w:widowControl w:val="0"/>
              <w:spacing w:line="240" w:lineRule="auto"/>
            </w:pPr>
            <w:r>
              <w:t>UDRP Rules: See draft updates to UDRP Rules paragraph 3(b)(xii)</w:t>
            </w:r>
          </w:p>
          <w:p w14:paraId="00B4F8CB" w14:textId="77777777" w:rsidR="00175DDD" w:rsidRDefault="00175DDD">
            <w:pPr>
              <w:widowControl w:val="0"/>
              <w:spacing w:line="240" w:lineRule="auto"/>
            </w:pPr>
          </w:p>
          <w:p w14:paraId="39B944B6" w14:textId="77777777" w:rsidR="00175DDD" w:rsidRDefault="00000000">
            <w:pPr>
              <w:widowControl w:val="0"/>
              <w:spacing w:line="240" w:lineRule="auto"/>
            </w:pPr>
            <w:r>
              <w:t>URS Rules: see draft updates to URS Rules section 3(b)(ix)</w:t>
            </w:r>
          </w:p>
        </w:tc>
      </w:tr>
      <w:tr w:rsidR="00175DDD" w14:paraId="472519A0" w14:textId="77777777">
        <w:tc>
          <w:tcPr>
            <w:tcW w:w="5805" w:type="dxa"/>
            <w:shd w:val="clear" w:color="auto" w:fill="auto"/>
            <w:tcMar>
              <w:top w:w="100" w:type="dxa"/>
              <w:left w:w="100" w:type="dxa"/>
              <w:bottom w:w="100" w:type="dxa"/>
              <w:right w:w="100" w:type="dxa"/>
            </w:tcMar>
          </w:tcPr>
          <w:p w14:paraId="400F7D69" w14:textId="11EE9F5E" w:rsidR="00175DDD" w:rsidRDefault="00000000">
            <w:pPr>
              <w:widowControl w:val="0"/>
              <w:spacing w:line="240" w:lineRule="auto"/>
            </w:pPr>
            <w:r>
              <w:t xml:space="preserve">2 (b): The EPDP team recommends that, when forwarding a complaint filed by an IGO Complainant to the respondent (pursuant to Paragraph 2(a) of the UDRP or Paragraph 4.2 of the URS, as applicable), the relevant UDRP or URS provider must also include a notice informing the </w:t>
            </w:r>
            <w:r w:rsidR="00060622">
              <w:t>respondent [</w:t>
            </w:r>
            <w:r>
              <w:t xml:space="preserve">:] </w:t>
            </w:r>
          </w:p>
          <w:p w14:paraId="2D4B086D" w14:textId="77777777" w:rsidR="00175DDD" w:rsidRDefault="00175DDD">
            <w:pPr>
              <w:widowControl w:val="0"/>
              <w:spacing w:line="240" w:lineRule="auto"/>
            </w:pPr>
          </w:p>
          <w:p w14:paraId="328F0AED" w14:textId="77777777" w:rsidR="00175DDD" w:rsidRDefault="00000000">
            <w:pPr>
              <w:widowControl w:val="0"/>
              <w:spacing w:line="240" w:lineRule="auto"/>
            </w:pPr>
            <w:r>
              <w:t>(</w:t>
            </w:r>
            <w:proofErr w:type="spellStart"/>
            <w:r>
              <w:t>i</w:t>
            </w:r>
            <w:proofErr w:type="spellEnd"/>
            <w:r>
              <w:t xml:space="preserve">) of its right to challenge a UDRP decision canceling or transferring the domain name, or a URS Determination rendered in favor of an IGO Complainant, by filing a claim in </w:t>
            </w:r>
            <w:proofErr w:type="gramStart"/>
            <w:r>
              <w:t>court;</w:t>
            </w:r>
            <w:proofErr w:type="gramEnd"/>
            <w:r>
              <w:t xml:space="preserve"> </w:t>
            </w:r>
          </w:p>
          <w:p w14:paraId="34A2EAF5" w14:textId="77777777" w:rsidR="00175DDD" w:rsidRDefault="00175DDD">
            <w:pPr>
              <w:widowControl w:val="0"/>
              <w:spacing w:line="240" w:lineRule="auto"/>
            </w:pPr>
          </w:p>
          <w:p w14:paraId="691C9012" w14:textId="77777777" w:rsidR="00175DDD" w:rsidRDefault="00000000">
            <w:pPr>
              <w:widowControl w:val="0"/>
              <w:spacing w:line="240" w:lineRule="auto"/>
            </w:pPr>
            <w:r>
              <w:t xml:space="preserve">(ii) that, in the event the respondent chooses to initiate court proceedings, the IGO Complainant may assert its privileges and immunities with the result that the court may decline to hear the merits of the case </w:t>
            </w:r>
            <w:proofErr w:type="gramStart"/>
            <w:r>
              <w:t>on the basis of</w:t>
            </w:r>
            <w:proofErr w:type="gramEnd"/>
            <w:r>
              <w:t xml:space="preserve"> IGO privileges and immunities; and </w:t>
            </w:r>
          </w:p>
          <w:p w14:paraId="07CFDEEE" w14:textId="77777777" w:rsidR="00175DDD" w:rsidRDefault="00175DDD">
            <w:pPr>
              <w:widowControl w:val="0"/>
              <w:spacing w:line="240" w:lineRule="auto"/>
            </w:pPr>
          </w:p>
          <w:p w14:paraId="4CA80283" w14:textId="77777777" w:rsidR="00175DDD" w:rsidRDefault="00000000">
            <w:pPr>
              <w:widowControl w:val="0"/>
              <w:spacing w:line="240" w:lineRule="auto"/>
            </w:pPr>
            <w:r>
              <w:t xml:space="preserve">(iii) that the respondent has the option to agree to binding arbitration to settle the dispute at any time, including in lieu of initiating court proceedings or, if it files a claim in court, where the court has declined to hear the merits of the case. </w:t>
            </w:r>
          </w:p>
        </w:tc>
        <w:tc>
          <w:tcPr>
            <w:tcW w:w="3825" w:type="dxa"/>
            <w:shd w:val="clear" w:color="auto" w:fill="auto"/>
            <w:tcMar>
              <w:top w:w="100" w:type="dxa"/>
              <w:left w:w="100" w:type="dxa"/>
              <w:bottom w:w="100" w:type="dxa"/>
              <w:right w:w="100" w:type="dxa"/>
            </w:tcMar>
          </w:tcPr>
          <w:p w14:paraId="64754251" w14:textId="77777777" w:rsidR="00175DDD" w:rsidRDefault="00000000">
            <w:pPr>
              <w:widowControl w:val="0"/>
              <w:spacing w:line="240" w:lineRule="auto"/>
              <w:rPr>
                <w:color w:val="FF0000"/>
              </w:rPr>
            </w:pPr>
            <w:r>
              <w:lastRenderedPageBreak/>
              <w:t>UDRP Rules: See updates proposed at paragraph 4(c)(</w:t>
            </w:r>
            <w:proofErr w:type="spellStart"/>
            <w:r>
              <w:t>i</w:t>
            </w:r>
            <w:proofErr w:type="spellEnd"/>
            <w:r>
              <w:t>)</w:t>
            </w:r>
          </w:p>
          <w:p w14:paraId="017DF865" w14:textId="77777777" w:rsidR="00175DDD" w:rsidRDefault="00175DDD">
            <w:pPr>
              <w:widowControl w:val="0"/>
              <w:spacing w:line="240" w:lineRule="auto"/>
              <w:rPr>
                <w:color w:val="FF0000"/>
              </w:rPr>
            </w:pPr>
          </w:p>
          <w:p w14:paraId="58AEDB6F" w14:textId="77777777" w:rsidR="00175DDD" w:rsidRDefault="00000000">
            <w:pPr>
              <w:widowControl w:val="0"/>
              <w:spacing w:line="240" w:lineRule="auto"/>
            </w:pPr>
            <w:r>
              <w:rPr>
                <w:color w:val="434343"/>
              </w:rPr>
              <w:t>URS Rules: Language implementing this recommendation has been added to</w:t>
            </w:r>
            <w:r>
              <w:rPr>
                <w:color w:val="FF0000"/>
              </w:rPr>
              <w:t xml:space="preserve"> </w:t>
            </w:r>
            <w:r>
              <w:t>URS Rules at 4(d).</w:t>
            </w:r>
          </w:p>
        </w:tc>
      </w:tr>
    </w:tbl>
    <w:p w14:paraId="7554EE6E" w14:textId="77777777" w:rsidR="00175DDD" w:rsidRDefault="00175DDD">
      <w:pPr>
        <w:widowControl w:val="0"/>
        <w:spacing w:before="264"/>
      </w:pPr>
    </w:p>
    <w:p w14:paraId="564BF3F6" w14:textId="77777777" w:rsidR="00175DDD" w:rsidRDefault="00175DDD">
      <w:pPr>
        <w:widowControl w:val="0"/>
        <w:spacing w:before="264"/>
        <w:rPr>
          <w:rFonts w:ascii="Calibri" w:eastAsia="Calibri" w:hAnsi="Calibri" w:cs="Calibri"/>
        </w:rPr>
      </w:pPr>
    </w:p>
    <w:tbl>
      <w:tblPr>
        <w:tblStyle w:val="a1"/>
        <w:tblW w:w="95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55"/>
        <w:gridCol w:w="3930"/>
      </w:tblGrid>
      <w:tr w:rsidR="00175DDD" w14:paraId="28E5B52E" w14:textId="77777777">
        <w:tc>
          <w:tcPr>
            <w:tcW w:w="5655" w:type="dxa"/>
            <w:shd w:val="clear" w:color="auto" w:fill="auto"/>
            <w:tcMar>
              <w:top w:w="100" w:type="dxa"/>
              <w:left w:w="100" w:type="dxa"/>
              <w:bottom w:w="100" w:type="dxa"/>
              <w:right w:w="100" w:type="dxa"/>
            </w:tcMar>
          </w:tcPr>
          <w:p w14:paraId="3ADB03E7" w14:textId="77777777" w:rsidR="00175DDD" w:rsidRDefault="00000000">
            <w:pPr>
              <w:widowControl w:val="0"/>
              <w:spacing w:line="240" w:lineRule="auto"/>
              <w:rPr>
                <w:b/>
              </w:rPr>
            </w:pPr>
            <w:r>
              <w:rPr>
                <w:b/>
              </w:rPr>
              <w:t xml:space="preserve">Recommendation </w:t>
            </w:r>
          </w:p>
        </w:tc>
        <w:tc>
          <w:tcPr>
            <w:tcW w:w="3930" w:type="dxa"/>
            <w:shd w:val="clear" w:color="auto" w:fill="auto"/>
            <w:tcMar>
              <w:top w:w="100" w:type="dxa"/>
              <w:left w:w="100" w:type="dxa"/>
              <w:bottom w:w="100" w:type="dxa"/>
              <w:right w:w="100" w:type="dxa"/>
            </w:tcMar>
          </w:tcPr>
          <w:p w14:paraId="7F317F18" w14:textId="77777777" w:rsidR="00175DDD" w:rsidRDefault="00000000">
            <w:pPr>
              <w:widowControl w:val="0"/>
              <w:spacing w:line="240" w:lineRule="auto"/>
              <w:rPr>
                <w:b/>
              </w:rPr>
            </w:pPr>
            <w:r>
              <w:rPr>
                <w:b/>
              </w:rPr>
              <w:t>Draft implementing language</w:t>
            </w:r>
          </w:p>
        </w:tc>
      </w:tr>
      <w:tr w:rsidR="00175DDD" w14:paraId="29219048" w14:textId="77777777">
        <w:tc>
          <w:tcPr>
            <w:tcW w:w="5655" w:type="dxa"/>
            <w:shd w:val="clear" w:color="auto" w:fill="auto"/>
            <w:tcMar>
              <w:top w:w="100" w:type="dxa"/>
              <w:left w:w="100" w:type="dxa"/>
              <w:bottom w:w="100" w:type="dxa"/>
              <w:right w:w="100" w:type="dxa"/>
            </w:tcMar>
          </w:tcPr>
          <w:p w14:paraId="0F646A20" w14:textId="77777777" w:rsidR="00175DDD" w:rsidRDefault="00000000">
            <w:pPr>
              <w:widowControl w:val="0"/>
              <w:spacing w:line="240" w:lineRule="auto"/>
            </w:pPr>
            <w:r>
              <w:t>3 (</w:t>
            </w:r>
            <w:proofErr w:type="spellStart"/>
            <w:r>
              <w:t>i</w:t>
            </w:r>
            <w:proofErr w:type="spellEnd"/>
            <w:r>
              <w:t xml:space="preserve">): </w:t>
            </w:r>
          </w:p>
          <w:p w14:paraId="1A47FAE2" w14:textId="77777777" w:rsidR="00175DDD" w:rsidRDefault="00175DDD">
            <w:pPr>
              <w:widowControl w:val="0"/>
              <w:spacing w:line="240" w:lineRule="auto"/>
            </w:pPr>
          </w:p>
          <w:p w14:paraId="56707EDA" w14:textId="77777777" w:rsidR="00175DDD" w:rsidRDefault="00000000">
            <w:pPr>
              <w:widowControl w:val="0"/>
              <w:spacing w:line="240" w:lineRule="auto"/>
            </w:pPr>
            <w:r>
              <w:t xml:space="preserve">The EPDP team recommends that the following provisions be added to the UDRP to accommodate the possibility of binding arbitration to review an initial panel decision issued under the UDRP: </w:t>
            </w:r>
            <w:proofErr w:type="spellStart"/>
            <w:r>
              <w:t>i</w:t>
            </w:r>
            <w:proofErr w:type="spellEnd"/>
            <w:r>
              <w:t xml:space="preserve">. When submitting its complaint, an IGO Complainant shall indicate that it agrees, if the registrant also agrees, to have the final determination of the outcome of the UDRP proceeding settled through binding arbitration. </w:t>
            </w:r>
          </w:p>
        </w:tc>
        <w:tc>
          <w:tcPr>
            <w:tcW w:w="3930" w:type="dxa"/>
            <w:shd w:val="clear" w:color="auto" w:fill="auto"/>
            <w:tcMar>
              <w:top w:w="100" w:type="dxa"/>
              <w:left w:w="100" w:type="dxa"/>
              <w:bottom w:w="100" w:type="dxa"/>
              <w:right w:w="100" w:type="dxa"/>
            </w:tcMar>
          </w:tcPr>
          <w:p w14:paraId="34BF475D" w14:textId="77777777" w:rsidR="00175DDD" w:rsidRDefault="00000000">
            <w:pPr>
              <w:widowControl w:val="0"/>
              <w:spacing w:line="240" w:lineRule="auto"/>
            </w:pPr>
            <w:r>
              <w:t>UDRP Rules: See</w:t>
            </w:r>
            <w:hyperlink r:id="rId11">
              <w:r>
                <w:rPr>
                  <w:color w:val="1155CC"/>
                  <w:u w:val="single"/>
                </w:rPr>
                <w:t xml:space="preserve"> </w:t>
              </w:r>
            </w:hyperlink>
            <w:r>
              <w:t>draft update to language at 3(b)(xii)</w:t>
            </w:r>
          </w:p>
        </w:tc>
      </w:tr>
      <w:tr w:rsidR="00175DDD" w14:paraId="2087F6F8" w14:textId="77777777">
        <w:tc>
          <w:tcPr>
            <w:tcW w:w="5655" w:type="dxa"/>
            <w:shd w:val="clear" w:color="auto" w:fill="auto"/>
            <w:tcMar>
              <w:top w:w="100" w:type="dxa"/>
              <w:left w:w="100" w:type="dxa"/>
              <w:bottom w:w="100" w:type="dxa"/>
              <w:right w:w="100" w:type="dxa"/>
            </w:tcMar>
          </w:tcPr>
          <w:p w14:paraId="07A8D74D" w14:textId="77777777" w:rsidR="00175DDD" w:rsidRDefault="00000000">
            <w:pPr>
              <w:widowControl w:val="0"/>
              <w:spacing w:line="240" w:lineRule="auto"/>
            </w:pPr>
            <w:r>
              <w:t xml:space="preserve">3 (ii) In communicating a UDRP panel decision to the parties where the complainant is an IGO Complainant, the UDRP provider shall provide both parties with information regarding the applicable arbitral rules. </w:t>
            </w:r>
          </w:p>
        </w:tc>
        <w:tc>
          <w:tcPr>
            <w:tcW w:w="3930" w:type="dxa"/>
            <w:shd w:val="clear" w:color="auto" w:fill="auto"/>
            <w:tcMar>
              <w:top w:w="100" w:type="dxa"/>
              <w:left w:w="100" w:type="dxa"/>
              <w:bottom w:w="100" w:type="dxa"/>
              <w:right w:w="100" w:type="dxa"/>
            </w:tcMar>
          </w:tcPr>
          <w:p w14:paraId="735860D6" w14:textId="77777777" w:rsidR="00175DDD" w:rsidRDefault="00000000">
            <w:pPr>
              <w:widowControl w:val="0"/>
              <w:spacing w:line="240" w:lineRule="auto"/>
            </w:pPr>
            <w:r>
              <w:t>See draft updates to UDRP Rules at 16(a)</w:t>
            </w:r>
          </w:p>
        </w:tc>
      </w:tr>
      <w:tr w:rsidR="00175DDD" w14:paraId="4D4902E9" w14:textId="77777777">
        <w:tc>
          <w:tcPr>
            <w:tcW w:w="5655" w:type="dxa"/>
            <w:shd w:val="clear" w:color="auto" w:fill="auto"/>
            <w:tcMar>
              <w:top w:w="100" w:type="dxa"/>
              <w:left w:w="100" w:type="dxa"/>
              <w:bottom w:w="100" w:type="dxa"/>
              <w:right w:w="100" w:type="dxa"/>
            </w:tcMar>
          </w:tcPr>
          <w:p w14:paraId="1B1A39EC" w14:textId="77777777" w:rsidR="00175DDD" w:rsidRDefault="00000000">
            <w:pPr>
              <w:widowControl w:val="0"/>
              <w:spacing w:line="240" w:lineRule="auto"/>
            </w:pPr>
            <w:r>
              <w:t>3 (iii): In accordance with Paragraph 4(k) of the UDRP, the relevant registrar shall wait ten (10) business days (as observed in the location of its principal office) before implementing a UDRP panel decision rendered in the IGO Complainant’s favor. The registrar shall stay implementation if, within that period, it receives official documentation that the registrant has either initiated court proceedings in its location or in the location of the registrar’s principal office or has submitted a request for or notice of arbitration.</w:t>
            </w:r>
          </w:p>
        </w:tc>
        <w:tc>
          <w:tcPr>
            <w:tcW w:w="3930" w:type="dxa"/>
            <w:shd w:val="clear" w:color="auto" w:fill="auto"/>
            <w:tcMar>
              <w:top w:w="100" w:type="dxa"/>
              <w:left w:w="100" w:type="dxa"/>
              <w:bottom w:w="100" w:type="dxa"/>
              <w:right w:w="100" w:type="dxa"/>
            </w:tcMar>
          </w:tcPr>
          <w:p w14:paraId="582CE48E" w14:textId="77777777" w:rsidR="00175DDD" w:rsidRDefault="00000000">
            <w:pPr>
              <w:widowControl w:val="0"/>
              <w:spacing w:line="240" w:lineRule="auto"/>
            </w:pPr>
            <w:r>
              <w:t>See draft update to UDRP at 4(k)</w:t>
            </w:r>
          </w:p>
        </w:tc>
      </w:tr>
      <w:tr w:rsidR="00175DDD" w14:paraId="63204213" w14:textId="77777777">
        <w:tc>
          <w:tcPr>
            <w:tcW w:w="5655" w:type="dxa"/>
            <w:shd w:val="clear" w:color="auto" w:fill="auto"/>
            <w:tcMar>
              <w:top w:w="100" w:type="dxa"/>
              <w:left w:w="100" w:type="dxa"/>
              <w:bottom w:w="100" w:type="dxa"/>
              <w:right w:w="100" w:type="dxa"/>
            </w:tcMar>
          </w:tcPr>
          <w:p w14:paraId="050190FF" w14:textId="77777777" w:rsidR="00175DDD" w:rsidRDefault="00000000">
            <w:pPr>
              <w:widowControl w:val="0"/>
              <w:spacing w:line="240" w:lineRule="auto"/>
            </w:pPr>
            <w:r>
              <w:t xml:space="preserve">3 (iv): Where the relevant registrar has received a request for or notice of arbitration, it shall stay or continue to stay, as applicable, implementation of the UDRP panel decision until it receives official documentation concerning the outcome of an arbitration </w:t>
            </w:r>
            <w:r>
              <w:lastRenderedPageBreak/>
              <w:t>or other satisfactory evidence of a settlement or other final resolution of the dispute.</w:t>
            </w:r>
          </w:p>
        </w:tc>
        <w:tc>
          <w:tcPr>
            <w:tcW w:w="3930" w:type="dxa"/>
            <w:shd w:val="clear" w:color="auto" w:fill="auto"/>
            <w:tcMar>
              <w:top w:w="100" w:type="dxa"/>
              <w:left w:w="100" w:type="dxa"/>
              <w:bottom w:w="100" w:type="dxa"/>
              <w:right w:w="100" w:type="dxa"/>
            </w:tcMar>
          </w:tcPr>
          <w:p w14:paraId="28242CC7" w14:textId="77777777" w:rsidR="00175DDD" w:rsidRDefault="00000000">
            <w:pPr>
              <w:widowControl w:val="0"/>
              <w:spacing w:line="240" w:lineRule="auto"/>
            </w:pPr>
            <w:r>
              <w:lastRenderedPageBreak/>
              <w:t>See draft updates to UDRP rules at 18(c)(</w:t>
            </w:r>
            <w:proofErr w:type="spellStart"/>
            <w:r>
              <w:t>i</w:t>
            </w:r>
            <w:proofErr w:type="spellEnd"/>
            <w:r>
              <w:t>) and UDRP Rules at 4(b)</w:t>
            </w:r>
          </w:p>
          <w:p w14:paraId="0ED6933B" w14:textId="77777777" w:rsidR="00175DDD" w:rsidRDefault="00175DDD">
            <w:pPr>
              <w:widowControl w:val="0"/>
              <w:spacing w:line="240" w:lineRule="auto"/>
            </w:pPr>
          </w:p>
          <w:p w14:paraId="58DAF61B" w14:textId="77777777" w:rsidR="00175DDD" w:rsidRDefault="00000000">
            <w:pPr>
              <w:widowControl w:val="0"/>
              <w:spacing w:line="240" w:lineRule="auto"/>
            </w:pPr>
            <w:r>
              <w:t>See also draft update to UDRP at 4(k)</w:t>
            </w:r>
          </w:p>
        </w:tc>
      </w:tr>
      <w:tr w:rsidR="00175DDD" w14:paraId="045900A7" w14:textId="77777777">
        <w:tc>
          <w:tcPr>
            <w:tcW w:w="5655" w:type="dxa"/>
            <w:shd w:val="clear" w:color="auto" w:fill="auto"/>
            <w:tcMar>
              <w:top w:w="100" w:type="dxa"/>
              <w:left w:w="100" w:type="dxa"/>
              <w:bottom w:w="100" w:type="dxa"/>
              <w:right w:w="100" w:type="dxa"/>
            </w:tcMar>
          </w:tcPr>
          <w:p w14:paraId="6793ABB1" w14:textId="77777777" w:rsidR="00175DDD" w:rsidRDefault="00000000">
            <w:pPr>
              <w:widowControl w:val="0"/>
              <w:spacing w:line="240" w:lineRule="auto"/>
            </w:pPr>
            <w:r>
              <w:t xml:space="preserve">3 (v): Where the registrant initiates court proceedings and the court declines to hear the merits of the case on the basis of IGO privileges and immunities, the registrant may submit the dispute to binding arbitration within ten (10) business days from the court order declining to hear the merits of the case, by submitting a request for or notice of arbitration to the competent arbitral institution with a copy to the relevant registrar and UDRP provider. Where the registrant does not submit a request for or notice of arbitration to the competent arbitral institution (with a copy to the registrar, UDRP provider and the IGO Complainant) within ten (10) business days from the court order declining to hear the merits of the case on the basis of IGO privileges and immunities, the original UDRP decision will be implemented by the registrar. </w:t>
            </w:r>
          </w:p>
        </w:tc>
        <w:tc>
          <w:tcPr>
            <w:tcW w:w="3930" w:type="dxa"/>
            <w:shd w:val="clear" w:color="auto" w:fill="auto"/>
            <w:tcMar>
              <w:top w:w="100" w:type="dxa"/>
              <w:left w:w="100" w:type="dxa"/>
              <w:bottom w:w="100" w:type="dxa"/>
              <w:right w:w="100" w:type="dxa"/>
            </w:tcMar>
          </w:tcPr>
          <w:p w14:paraId="272E8882" w14:textId="77777777" w:rsidR="00175DDD" w:rsidRDefault="00000000">
            <w:pPr>
              <w:widowControl w:val="0"/>
              <w:spacing w:line="240" w:lineRule="auto"/>
            </w:pPr>
            <w:r>
              <w:t xml:space="preserve">See draft update to UDRP Rules at 18(c)(ii) </w:t>
            </w:r>
          </w:p>
          <w:p w14:paraId="3F37A996" w14:textId="77777777" w:rsidR="00175DDD" w:rsidRDefault="00175DDD">
            <w:pPr>
              <w:widowControl w:val="0"/>
              <w:spacing w:line="240" w:lineRule="auto"/>
            </w:pPr>
          </w:p>
          <w:p w14:paraId="5571A879" w14:textId="77777777" w:rsidR="00175DDD" w:rsidRDefault="00175DDD">
            <w:pPr>
              <w:widowControl w:val="0"/>
              <w:spacing w:line="240" w:lineRule="auto"/>
            </w:pPr>
          </w:p>
        </w:tc>
      </w:tr>
      <w:tr w:rsidR="00175DDD" w14:paraId="426F4ECB" w14:textId="77777777">
        <w:tc>
          <w:tcPr>
            <w:tcW w:w="5655" w:type="dxa"/>
            <w:shd w:val="clear" w:color="auto" w:fill="auto"/>
            <w:tcMar>
              <w:top w:w="100" w:type="dxa"/>
              <w:left w:w="100" w:type="dxa"/>
              <w:bottom w:w="100" w:type="dxa"/>
              <w:right w:w="100" w:type="dxa"/>
            </w:tcMar>
          </w:tcPr>
          <w:p w14:paraId="657AC036" w14:textId="77777777" w:rsidR="00175DDD" w:rsidRDefault="00000000">
            <w:pPr>
              <w:widowControl w:val="0"/>
              <w:spacing w:line="240" w:lineRule="auto"/>
            </w:pPr>
            <w:r>
              <w:t>3 (vi): Where a registrant decides to submit the dispute to binding arbitration, it shall notify the relevant registrar prior to initiating the arbitration proceeding with the arbitral tribunal.</w:t>
            </w:r>
          </w:p>
        </w:tc>
        <w:tc>
          <w:tcPr>
            <w:tcW w:w="3930" w:type="dxa"/>
            <w:shd w:val="clear" w:color="auto" w:fill="auto"/>
            <w:tcMar>
              <w:top w:w="100" w:type="dxa"/>
              <w:left w:w="100" w:type="dxa"/>
              <w:bottom w:w="100" w:type="dxa"/>
              <w:right w:w="100" w:type="dxa"/>
            </w:tcMar>
          </w:tcPr>
          <w:p w14:paraId="312CC4A4" w14:textId="77777777" w:rsidR="00175DDD" w:rsidRDefault="00000000">
            <w:pPr>
              <w:widowControl w:val="0"/>
              <w:spacing w:line="240" w:lineRule="auto"/>
            </w:pPr>
            <w:r>
              <w:t>See draft update to UDRP Rules at 3(c)(</w:t>
            </w:r>
            <w:proofErr w:type="spellStart"/>
            <w:r>
              <w:t>i</w:t>
            </w:r>
            <w:proofErr w:type="spellEnd"/>
            <w:r>
              <w:t>)</w:t>
            </w:r>
          </w:p>
          <w:p w14:paraId="1D808612" w14:textId="77777777" w:rsidR="00175DDD" w:rsidRDefault="00175DDD">
            <w:pPr>
              <w:widowControl w:val="0"/>
              <w:spacing w:line="240" w:lineRule="auto"/>
            </w:pPr>
          </w:p>
          <w:p w14:paraId="66A426BF" w14:textId="77777777" w:rsidR="00175DDD" w:rsidRDefault="00175DDD">
            <w:pPr>
              <w:widowControl w:val="0"/>
              <w:spacing w:line="240" w:lineRule="auto"/>
              <w:rPr>
                <w:color w:val="FF0000"/>
              </w:rPr>
            </w:pPr>
          </w:p>
        </w:tc>
      </w:tr>
      <w:tr w:rsidR="00175DDD" w14:paraId="4A76C31F" w14:textId="77777777">
        <w:tc>
          <w:tcPr>
            <w:tcW w:w="5655" w:type="dxa"/>
            <w:shd w:val="clear" w:color="auto" w:fill="auto"/>
            <w:tcMar>
              <w:top w:w="100" w:type="dxa"/>
              <w:left w:w="100" w:type="dxa"/>
              <w:bottom w:w="100" w:type="dxa"/>
              <w:right w:w="100" w:type="dxa"/>
            </w:tcMar>
          </w:tcPr>
          <w:p w14:paraId="432EA0AE" w14:textId="77777777" w:rsidR="00175DDD" w:rsidRDefault="00000000">
            <w:pPr>
              <w:widowControl w:val="0"/>
              <w:spacing w:line="240" w:lineRule="auto"/>
            </w:pPr>
            <w:r>
              <w:t>3 (vii): The arbitral institution to whom the registrant submits a request for or notice of arbitration shall notify the IGO Complainant of the registrant’s decision to initiate arbitration</w:t>
            </w:r>
          </w:p>
        </w:tc>
        <w:tc>
          <w:tcPr>
            <w:tcW w:w="3930" w:type="dxa"/>
            <w:shd w:val="clear" w:color="auto" w:fill="auto"/>
            <w:tcMar>
              <w:top w:w="100" w:type="dxa"/>
              <w:left w:w="100" w:type="dxa"/>
              <w:bottom w:w="100" w:type="dxa"/>
              <w:right w:w="100" w:type="dxa"/>
            </w:tcMar>
          </w:tcPr>
          <w:p w14:paraId="6ED7125E" w14:textId="77777777" w:rsidR="00175DDD" w:rsidRDefault="00000000">
            <w:pPr>
              <w:widowControl w:val="0"/>
              <w:spacing w:line="240" w:lineRule="auto"/>
            </w:pPr>
            <w:r>
              <w:t>See draft update to UDRP Rules at 18(c)(iii)(a)</w:t>
            </w:r>
          </w:p>
          <w:p w14:paraId="4BE89436" w14:textId="77777777" w:rsidR="00175DDD" w:rsidRDefault="00175DDD">
            <w:pPr>
              <w:widowControl w:val="0"/>
              <w:spacing w:line="240" w:lineRule="auto"/>
              <w:rPr>
                <w:color w:val="FF0000"/>
              </w:rPr>
            </w:pPr>
          </w:p>
          <w:p w14:paraId="348AC365" w14:textId="77777777" w:rsidR="00175DDD" w:rsidRDefault="00175DDD">
            <w:pPr>
              <w:widowControl w:val="0"/>
              <w:spacing w:line="240" w:lineRule="auto"/>
              <w:rPr>
                <w:color w:val="FF0000"/>
              </w:rPr>
            </w:pPr>
          </w:p>
        </w:tc>
      </w:tr>
    </w:tbl>
    <w:p w14:paraId="49285666" w14:textId="77777777" w:rsidR="00175DDD" w:rsidRDefault="00175DDD">
      <w:pPr>
        <w:widowControl w:val="0"/>
        <w:spacing w:before="264"/>
        <w:rPr>
          <w:rFonts w:ascii="Calibri" w:eastAsia="Calibri" w:hAnsi="Calibri" w:cs="Calibri"/>
        </w:rPr>
      </w:pPr>
    </w:p>
    <w:tbl>
      <w:tblPr>
        <w:tblStyle w:val="a2"/>
        <w:tblW w:w="96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25"/>
        <w:gridCol w:w="4005"/>
      </w:tblGrid>
      <w:tr w:rsidR="00175DDD" w14:paraId="03DA7AEC" w14:textId="77777777">
        <w:tc>
          <w:tcPr>
            <w:tcW w:w="5625" w:type="dxa"/>
            <w:shd w:val="clear" w:color="auto" w:fill="auto"/>
            <w:tcMar>
              <w:top w:w="100" w:type="dxa"/>
              <w:left w:w="100" w:type="dxa"/>
              <w:bottom w:w="100" w:type="dxa"/>
              <w:right w:w="100" w:type="dxa"/>
            </w:tcMar>
          </w:tcPr>
          <w:p w14:paraId="2B87749A" w14:textId="77777777" w:rsidR="00175DDD" w:rsidRDefault="00000000">
            <w:pPr>
              <w:widowControl w:val="0"/>
              <w:spacing w:line="240" w:lineRule="auto"/>
              <w:rPr>
                <w:b/>
              </w:rPr>
            </w:pPr>
            <w:r>
              <w:rPr>
                <w:b/>
              </w:rPr>
              <w:t xml:space="preserve">Recommendation </w:t>
            </w:r>
          </w:p>
        </w:tc>
        <w:tc>
          <w:tcPr>
            <w:tcW w:w="4005" w:type="dxa"/>
            <w:shd w:val="clear" w:color="auto" w:fill="auto"/>
            <w:tcMar>
              <w:top w:w="100" w:type="dxa"/>
              <w:left w:w="100" w:type="dxa"/>
              <w:bottom w:w="100" w:type="dxa"/>
              <w:right w:w="100" w:type="dxa"/>
            </w:tcMar>
          </w:tcPr>
          <w:p w14:paraId="069100DB" w14:textId="77777777" w:rsidR="00175DDD" w:rsidRDefault="00000000">
            <w:pPr>
              <w:widowControl w:val="0"/>
              <w:spacing w:line="240" w:lineRule="auto"/>
              <w:rPr>
                <w:b/>
              </w:rPr>
            </w:pPr>
            <w:r>
              <w:rPr>
                <w:b/>
              </w:rPr>
              <w:t>Draft implementing language</w:t>
            </w:r>
          </w:p>
        </w:tc>
      </w:tr>
      <w:tr w:rsidR="00175DDD" w14:paraId="6BB9679E" w14:textId="77777777">
        <w:tc>
          <w:tcPr>
            <w:tcW w:w="5625" w:type="dxa"/>
            <w:shd w:val="clear" w:color="auto" w:fill="auto"/>
            <w:tcMar>
              <w:top w:w="100" w:type="dxa"/>
              <w:left w:w="100" w:type="dxa"/>
              <w:bottom w:w="100" w:type="dxa"/>
              <w:right w:w="100" w:type="dxa"/>
            </w:tcMar>
          </w:tcPr>
          <w:p w14:paraId="6FAA6D66" w14:textId="77777777" w:rsidR="00175DDD" w:rsidRDefault="00000000">
            <w:pPr>
              <w:widowControl w:val="0"/>
              <w:spacing w:line="240" w:lineRule="auto"/>
            </w:pPr>
            <w:r>
              <w:t>4 (</w:t>
            </w:r>
            <w:proofErr w:type="spellStart"/>
            <w:r>
              <w:t>i</w:t>
            </w:r>
            <w:proofErr w:type="spellEnd"/>
            <w:r>
              <w:t xml:space="preserve">): The EPDP team recommends that the following provisions be added to the URS to accommodate the possibility of binding arbitration to review a Determination made under the URS: </w:t>
            </w:r>
          </w:p>
          <w:p w14:paraId="7833CEB3" w14:textId="77777777" w:rsidR="00175DDD" w:rsidRDefault="00175DDD">
            <w:pPr>
              <w:widowControl w:val="0"/>
              <w:spacing w:line="240" w:lineRule="auto"/>
            </w:pPr>
          </w:p>
          <w:p w14:paraId="768D9166" w14:textId="77777777" w:rsidR="00175DDD" w:rsidRDefault="00000000">
            <w:pPr>
              <w:widowControl w:val="0"/>
              <w:spacing w:line="240" w:lineRule="auto"/>
            </w:pPr>
            <w:proofErr w:type="spellStart"/>
            <w:r>
              <w:t>i</w:t>
            </w:r>
            <w:proofErr w:type="spellEnd"/>
            <w:r>
              <w:t xml:space="preserve">. When submitting its complaint, an IGO Complainant shall indicate that it agrees, if the registrant also agrees, to have the final determination of the outcome of the URS proceeding settled through binding arbitration. </w:t>
            </w:r>
          </w:p>
        </w:tc>
        <w:tc>
          <w:tcPr>
            <w:tcW w:w="4005" w:type="dxa"/>
            <w:shd w:val="clear" w:color="auto" w:fill="auto"/>
            <w:tcMar>
              <w:top w:w="100" w:type="dxa"/>
              <w:left w:w="100" w:type="dxa"/>
              <w:bottom w:w="100" w:type="dxa"/>
              <w:right w:w="100" w:type="dxa"/>
            </w:tcMar>
          </w:tcPr>
          <w:p w14:paraId="300FF74F" w14:textId="77777777" w:rsidR="00175DDD" w:rsidRDefault="00000000">
            <w:pPr>
              <w:widowControl w:val="0"/>
              <w:spacing w:line="240" w:lineRule="auto"/>
            </w:pPr>
            <w:r>
              <w:t>See draft updates to URS at 1.2.9</w:t>
            </w:r>
          </w:p>
          <w:p w14:paraId="6F8F51E9" w14:textId="77777777" w:rsidR="00175DDD" w:rsidRDefault="00175DDD">
            <w:pPr>
              <w:widowControl w:val="0"/>
              <w:spacing w:line="240" w:lineRule="auto"/>
            </w:pPr>
          </w:p>
          <w:p w14:paraId="68464B08" w14:textId="77777777" w:rsidR="00175DDD" w:rsidRDefault="00000000">
            <w:pPr>
              <w:widowControl w:val="0"/>
              <w:spacing w:line="240" w:lineRule="auto"/>
            </w:pPr>
            <w:r>
              <w:t>See draft updates to URS rules at 3(</w:t>
            </w:r>
            <w:proofErr w:type="spellStart"/>
            <w:r>
              <w:t>i</w:t>
            </w:r>
            <w:proofErr w:type="spellEnd"/>
            <w:r>
              <w:t>))</w:t>
            </w:r>
          </w:p>
        </w:tc>
      </w:tr>
      <w:tr w:rsidR="00175DDD" w14:paraId="5AF29206" w14:textId="77777777">
        <w:tc>
          <w:tcPr>
            <w:tcW w:w="5625" w:type="dxa"/>
            <w:shd w:val="clear" w:color="auto" w:fill="auto"/>
            <w:tcMar>
              <w:top w:w="100" w:type="dxa"/>
              <w:left w:w="100" w:type="dxa"/>
              <w:bottom w:w="100" w:type="dxa"/>
              <w:right w:w="100" w:type="dxa"/>
            </w:tcMar>
          </w:tcPr>
          <w:p w14:paraId="42C8FFF3" w14:textId="77777777" w:rsidR="00175DDD" w:rsidRDefault="00000000">
            <w:pPr>
              <w:widowControl w:val="0"/>
              <w:spacing w:line="240" w:lineRule="auto"/>
            </w:pPr>
            <w:r>
              <w:t xml:space="preserve">4 (ii): In communicating a URS Determination to the parties where the complainant is an IGO Complainant, the URS provider shall provide both parties with information regarding the applicable arbitral rules. </w:t>
            </w:r>
          </w:p>
        </w:tc>
        <w:tc>
          <w:tcPr>
            <w:tcW w:w="4005" w:type="dxa"/>
            <w:shd w:val="clear" w:color="auto" w:fill="auto"/>
            <w:tcMar>
              <w:top w:w="100" w:type="dxa"/>
              <w:left w:w="100" w:type="dxa"/>
              <w:bottom w:w="100" w:type="dxa"/>
              <w:right w:w="100" w:type="dxa"/>
            </w:tcMar>
          </w:tcPr>
          <w:p w14:paraId="340FE82B" w14:textId="77777777" w:rsidR="00175DDD" w:rsidRDefault="00000000">
            <w:pPr>
              <w:widowControl w:val="0"/>
              <w:spacing w:line="240" w:lineRule="auto"/>
            </w:pPr>
            <w:r>
              <w:t>See draft updates to URS at 10.6</w:t>
            </w:r>
          </w:p>
          <w:p w14:paraId="614A79C2" w14:textId="77777777" w:rsidR="00175DDD" w:rsidRDefault="00175DDD">
            <w:pPr>
              <w:widowControl w:val="0"/>
              <w:spacing w:line="240" w:lineRule="auto"/>
            </w:pPr>
          </w:p>
          <w:p w14:paraId="012DF3E7" w14:textId="77777777" w:rsidR="00175DDD" w:rsidRDefault="00000000">
            <w:pPr>
              <w:widowControl w:val="0"/>
              <w:spacing w:line="240" w:lineRule="auto"/>
              <w:rPr>
                <w:color w:val="FF0000"/>
              </w:rPr>
            </w:pPr>
            <w:r>
              <w:t>See draft updates to URS rules at 15(g)</w:t>
            </w:r>
          </w:p>
        </w:tc>
      </w:tr>
      <w:tr w:rsidR="00175DDD" w14:paraId="65476AE9" w14:textId="77777777">
        <w:tc>
          <w:tcPr>
            <w:tcW w:w="5625" w:type="dxa"/>
            <w:shd w:val="clear" w:color="auto" w:fill="auto"/>
            <w:tcMar>
              <w:top w:w="100" w:type="dxa"/>
              <w:left w:w="100" w:type="dxa"/>
              <w:bottom w:w="100" w:type="dxa"/>
              <w:right w:w="100" w:type="dxa"/>
            </w:tcMar>
          </w:tcPr>
          <w:p w14:paraId="26D8D75C" w14:textId="77777777" w:rsidR="00175DDD" w:rsidRDefault="00000000">
            <w:pPr>
              <w:widowControl w:val="0"/>
              <w:spacing w:line="240" w:lineRule="auto"/>
            </w:pPr>
            <w:r>
              <w:t xml:space="preserve">4 (iii): Where the registrant initiates court proceedings </w:t>
            </w:r>
            <w:r>
              <w:lastRenderedPageBreak/>
              <w:t>and the court declines to hear the merits of the case on the basis of IGO privileges and immunities, the registrant may submit the dispute to binding arbitration within ten (10) business days from the date of the court order declining to hear the merits of the case, by submitting a request for or notice of arbitration to the competent arbitral institution, with a copy to the URS provider. The relevant domain name(s) will remain suspended throughout the pendency of any such arbitration proceeding.</w:t>
            </w:r>
          </w:p>
        </w:tc>
        <w:tc>
          <w:tcPr>
            <w:tcW w:w="4005" w:type="dxa"/>
            <w:shd w:val="clear" w:color="auto" w:fill="auto"/>
            <w:tcMar>
              <w:top w:w="100" w:type="dxa"/>
              <w:left w:w="100" w:type="dxa"/>
              <w:bottom w:w="100" w:type="dxa"/>
              <w:right w:w="100" w:type="dxa"/>
            </w:tcMar>
          </w:tcPr>
          <w:p w14:paraId="67CAA7EE" w14:textId="77777777" w:rsidR="00175DDD" w:rsidRDefault="00000000">
            <w:pPr>
              <w:widowControl w:val="0"/>
              <w:spacing w:line="240" w:lineRule="auto"/>
            </w:pPr>
            <w:r>
              <w:lastRenderedPageBreak/>
              <w:t>See draft updates to URS at 13.2</w:t>
            </w:r>
          </w:p>
          <w:p w14:paraId="6499488D" w14:textId="77777777" w:rsidR="00175DDD" w:rsidRDefault="00175DDD">
            <w:pPr>
              <w:widowControl w:val="0"/>
              <w:spacing w:line="240" w:lineRule="auto"/>
            </w:pPr>
          </w:p>
          <w:p w14:paraId="6781230F" w14:textId="77777777" w:rsidR="00175DDD" w:rsidRDefault="00000000">
            <w:pPr>
              <w:widowControl w:val="0"/>
              <w:spacing w:line="240" w:lineRule="auto"/>
            </w:pPr>
            <w:r>
              <w:t>See draft</w:t>
            </w:r>
            <w:r>
              <w:rPr>
                <w:color w:val="FF0000"/>
              </w:rPr>
              <w:t xml:space="preserve"> </w:t>
            </w:r>
            <w:r>
              <w:t>updates to URS Rules at 17 (c)</w:t>
            </w:r>
          </w:p>
          <w:p w14:paraId="602AEE7C" w14:textId="77777777" w:rsidR="00175DDD" w:rsidRDefault="00175DDD">
            <w:pPr>
              <w:widowControl w:val="0"/>
              <w:spacing w:line="240" w:lineRule="auto"/>
              <w:rPr>
                <w:color w:val="FF0000"/>
              </w:rPr>
            </w:pPr>
          </w:p>
          <w:p w14:paraId="6A0BE46F" w14:textId="77777777" w:rsidR="00175DDD" w:rsidRDefault="00175DDD">
            <w:pPr>
              <w:widowControl w:val="0"/>
              <w:spacing w:line="240" w:lineRule="auto"/>
            </w:pPr>
          </w:p>
        </w:tc>
      </w:tr>
      <w:tr w:rsidR="00175DDD" w14:paraId="2662DC67" w14:textId="77777777">
        <w:tc>
          <w:tcPr>
            <w:tcW w:w="5625" w:type="dxa"/>
            <w:shd w:val="clear" w:color="auto" w:fill="auto"/>
            <w:tcMar>
              <w:top w:w="100" w:type="dxa"/>
              <w:left w:w="100" w:type="dxa"/>
              <w:bottom w:w="100" w:type="dxa"/>
              <w:right w:w="100" w:type="dxa"/>
            </w:tcMar>
          </w:tcPr>
          <w:p w14:paraId="7FDD5EC2" w14:textId="77777777" w:rsidR="00175DDD" w:rsidRDefault="00000000">
            <w:pPr>
              <w:widowControl w:val="0"/>
              <w:spacing w:line="240" w:lineRule="auto"/>
            </w:pPr>
            <w:r>
              <w:lastRenderedPageBreak/>
              <w:t>4 (iv): Where the registrant files an appeal under URS Section 12 and does not prevail in the appeal, it may submit the dispute to binding arbitration within ten (10) business days from the date of the appeal panel’s decision, by submitting a request for or notice of arbitration to the arbitral institution, with a copy to the URS provider and the IGO Complainant. The relevant domain name(s) will remain suspended throughout the pendency of any such arbitration proceeding.</w:t>
            </w:r>
          </w:p>
        </w:tc>
        <w:tc>
          <w:tcPr>
            <w:tcW w:w="4005" w:type="dxa"/>
            <w:shd w:val="clear" w:color="auto" w:fill="auto"/>
            <w:tcMar>
              <w:top w:w="100" w:type="dxa"/>
              <w:left w:w="100" w:type="dxa"/>
              <w:bottom w:w="100" w:type="dxa"/>
              <w:right w:w="100" w:type="dxa"/>
            </w:tcMar>
          </w:tcPr>
          <w:p w14:paraId="6A892AD1" w14:textId="77777777" w:rsidR="00175DDD" w:rsidRDefault="00000000">
            <w:pPr>
              <w:widowControl w:val="0"/>
              <w:spacing w:line="240" w:lineRule="auto"/>
            </w:pPr>
            <w:r>
              <w:t>See draft updates to URS at 13.3</w:t>
            </w:r>
          </w:p>
          <w:p w14:paraId="2B3C74CF" w14:textId="77777777" w:rsidR="00175DDD" w:rsidRDefault="00175DDD">
            <w:pPr>
              <w:widowControl w:val="0"/>
              <w:spacing w:line="240" w:lineRule="auto"/>
            </w:pPr>
          </w:p>
          <w:p w14:paraId="4959FDB8" w14:textId="77777777" w:rsidR="00175DDD" w:rsidRDefault="00000000">
            <w:pPr>
              <w:widowControl w:val="0"/>
              <w:spacing w:line="240" w:lineRule="auto"/>
            </w:pPr>
            <w:r>
              <w:t xml:space="preserve">See draft updates to URS Rules at 17 (d) </w:t>
            </w:r>
          </w:p>
          <w:p w14:paraId="1C67517D" w14:textId="77777777" w:rsidR="00175DDD" w:rsidRDefault="00175DDD">
            <w:pPr>
              <w:widowControl w:val="0"/>
              <w:spacing w:line="240" w:lineRule="auto"/>
            </w:pPr>
          </w:p>
          <w:p w14:paraId="42ADF37D" w14:textId="77777777" w:rsidR="00175DDD" w:rsidRDefault="00175DDD">
            <w:pPr>
              <w:widowControl w:val="0"/>
              <w:spacing w:line="240" w:lineRule="auto"/>
            </w:pPr>
          </w:p>
        </w:tc>
      </w:tr>
      <w:tr w:rsidR="00175DDD" w14:paraId="04ED6212" w14:textId="77777777">
        <w:tc>
          <w:tcPr>
            <w:tcW w:w="5625" w:type="dxa"/>
            <w:shd w:val="clear" w:color="auto" w:fill="auto"/>
            <w:tcMar>
              <w:top w:w="100" w:type="dxa"/>
              <w:left w:w="100" w:type="dxa"/>
              <w:bottom w:w="100" w:type="dxa"/>
              <w:right w:w="100" w:type="dxa"/>
            </w:tcMar>
          </w:tcPr>
          <w:p w14:paraId="39AE14AA" w14:textId="77777777" w:rsidR="00175DDD" w:rsidRDefault="00000000">
            <w:pPr>
              <w:widowControl w:val="0"/>
              <w:spacing w:line="240" w:lineRule="auto"/>
            </w:pPr>
            <w:r>
              <w:t xml:space="preserve">4 (v): Where a registrant decides to submit the dispute to binding arbitration, it shall notify the relevant URS provider prior to initiating the arbitration proceeding with the competent arbitral tribunal. </w:t>
            </w:r>
          </w:p>
        </w:tc>
        <w:tc>
          <w:tcPr>
            <w:tcW w:w="4005" w:type="dxa"/>
            <w:shd w:val="clear" w:color="auto" w:fill="auto"/>
            <w:tcMar>
              <w:top w:w="100" w:type="dxa"/>
              <w:left w:w="100" w:type="dxa"/>
              <w:bottom w:w="100" w:type="dxa"/>
              <w:right w:w="100" w:type="dxa"/>
            </w:tcMar>
          </w:tcPr>
          <w:p w14:paraId="665B8EE7" w14:textId="77777777" w:rsidR="00175DDD" w:rsidRDefault="00000000">
            <w:pPr>
              <w:widowControl w:val="0"/>
              <w:spacing w:line="240" w:lineRule="auto"/>
            </w:pPr>
            <w:r>
              <w:t>See draft updates to URS at 13.4</w:t>
            </w:r>
          </w:p>
          <w:p w14:paraId="61862941" w14:textId="77777777" w:rsidR="00175DDD" w:rsidRDefault="00175DDD">
            <w:pPr>
              <w:widowControl w:val="0"/>
              <w:spacing w:line="240" w:lineRule="auto"/>
            </w:pPr>
          </w:p>
          <w:p w14:paraId="72E98DAF" w14:textId="77777777" w:rsidR="00175DDD" w:rsidRDefault="00000000">
            <w:pPr>
              <w:widowControl w:val="0"/>
              <w:spacing w:line="240" w:lineRule="auto"/>
            </w:pPr>
            <w:r>
              <w:t>See draft updates to URS Rules at 17 (e)</w:t>
            </w:r>
          </w:p>
        </w:tc>
      </w:tr>
      <w:tr w:rsidR="00175DDD" w14:paraId="46A9F30B" w14:textId="77777777">
        <w:tc>
          <w:tcPr>
            <w:tcW w:w="5625" w:type="dxa"/>
            <w:shd w:val="clear" w:color="auto" w:fill="auto"/>
            <w:tcMar>
              <w:top w:w="100" w:type="dxa"/>
              <w:left w:w="100" w:type="dxa"/>
              <w:bottom w:w="100" w:type="dxa"/>
              <w:right w:w="100" w:type="dxa"/>
            </w:tcMar>
          </w:tcPr>
          <w:p w14:paraId="21D80ACF" w14:textId="77777777" w:rsidR="00175DDD" w:rsidRDefault="00000000">
            <w:pPr>
              <w:widowControl w:val="0"/>
              <w:spacing w:line="240" w:lineRule="auto"/>
            </w:pPr>
            <w:r>
              <w:t>4 (vi): The arbitral provider to whom the registrant submits a request for or notice of arbitration shall notify the IGO Complainant of the registrant’s decision to initiate arbitration.</w:t>
            </w:r>
          </w:p>
        </w:tc>
        <w:tc>
          <w:tcPr>
            <w:tcW w:w="4005" w:type="dxa"/>
            <w:shd w:val="clear" w:color="auto" w:fill="auto"/>
            <w:tcMar>
              <w:top w:w="100" w:type="dxa"/>
              <w:left w:w="100" w:type="dxa"/>
              <w:bottom w:w="100" w:type="dxa"/>
              <w:right w:w="100" w:type="dxa"/>
            </w:tcMar>
          </w:tcPr>
          <w:p w14:paraId="78235880" w14:textId="77777777" w:rsidR="00175DDD" w:rsidRDefault="00000000">
            <w:pPr>
              <w:widowControl w:val="0"/>
              <w:spacing w:line="240" w:lineRule="auto"/>
            </w:pPr>
            <w:r>
              <w:t>See draft updates to URS at 13.4</w:t>
            </w:r>
          </w:p>
          <w:p w14:paraId="7F071444" w14:textId="77777777" w:rsidR="00175DDD" w:rsidRDefault="00175DDD">
            <w:pPr>
              <w:widowControl w:val="0"/>
              <w:spacing w:line="240" w:lineRule="auto"/>
            </w:pPr>
          </w:p>
          <w:p w14:paraId="4DA178F3" w14:textId="77777777" w:rsidR="00175DDD" w:rsidRDefault="00000000">
            <w:pPr>
              <w:widowControl w:val="0"/>
              <w:spacing w:line="240" w:lineRule="auto"/>
            </w:pPr>
            <w:r>
              <w:t>See draft updates to URS Rules at 17 (e)</w:t>
            </w:r>
          </w:p>
        </w:tc>
      </w:tr>
    </w:tbl>
    <w:p w14:paraId="00DDD500" w14:textId="77777777" w:rsidR="00175DDD" w:rsidRDefault="00175DDD">
      <w:pPr>
        <w:widowControl w:val="0"/>
        <w:spacing w:before="264"/>
      </w:pPr>
    </w:p>
    <w:p w14:paraId="594118F8" w14:textId="77777777" w:rsidR="00175DDD" w:rsidRDefault="00175DDD">
      <w:pPr>
        <w:widowControl w:val="0"/>
        <w:spacing w:before="264"/>
      </w:pPr>
    </w:p>
    <w:tbl>
      <w:tblPr>
        <w:tblStyle w:val="a3"/>
        <w:tblW w:w="96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55"/>
        <w:gridCol w:w="4035"/>
      </w:tblGrid>
      <w:tr w:rsidR="00175DDD" w14:paraId="4C9A8A5D" w14:textId="77777777">
        <w:tc>
          <w:tcPr>
            <w:tcW w:w="5655" w:type="dxa"/>
            <w:shd w:val="clear" w:color="auto" w:fill="auto"/>
            <w:tcMar>
              <w:top w:w="100" w:type="dxa"/>
              <w:left w:w="100" w:type="dxa"/>
              <w:bottom w:w="100" w:type="dxa"/>
              <w:right w:w="100" w:type="dxa"/>
            </w:tcMar>
          </w:tcPr>
          <w:p w14:paraId="3167D63C" w14:textId="77777777" w:rsidR="00175DDD" w:rsidRDefault="00000000">
            <w:pPr>
              <w:widowControl w:val="0"/>
              <w:spacing w:line="240" w:lineRule="auto"/>
              <w:rPr>
                <w:b/>
              </w:rPr>
            </w:pPr>
            <w:r>
              <w:rPr>
                <w:b/>
              </w:rPr>
              <w:t xml:space="preserve">Recommendation </w:t>
            </w:r>
          </w:p>
        </w:tc>
        <w:tc>
          <w:tcPr>
            <w:tcW w:w="4035" w:type="dxa"/>
            <w:shd w:val="clear" w:color="auto" w:fill="auto"/>
            <w:tcMar>
              <w:top w:w="100" w:type="dxa"/>
              <w:left w:w="100" w:type="dxa"/>
              <w:bottom w:w="100" w:type="dxa"/>
              <w:right w:w="100" w:type="dxa"/>
            </w:tcMar>
          </w:tcPr>
          <w:p w14:paraId="77928F90" w14:textId="77777777" w:rsidR="00175DDD" w:rsidRDefault="00000000">
            <w:pPr>
              <w:widowControl w:val="0"/>
              <w:spacing w:line="240" w:lineRule="auto"/>
              <w:rPr>
                <w:b/>
              </w:rPr>
            </w:pPr>
            <w:r>
              <w:rPr>
                <w:b/>
              </w:rPr>
              <w:t>Draft implementing language</w:t>
            </w:r>
          </w:p>
        </w:tc>
      </w:tr>
      <w:tr w:rsidR="00175DDD" w14:paraId="1AB21FFF" w14:textId="77777777">
        <w:tc>
          <w:tcPr>
            <w:tcW w:w="5655" w:type="dxa"/>
            <w:shd w:val="clear" w:color="auto" w:fill="auto"/>
            <w:tcMar>
              <w:top w:w="100" w:type="dxa"/>
              <w:left w:w="100" w:type="dxa"/>
              <w:bottom w:w="100" w:type="dxa"/>
              <w:right w:w="100" w:type="dxa"/>
            </w:tcMar>
          </w:tcPr>
          <w:p w14:paraId="5FBADFC9" w14:textId="77777777" w:rsidR="00175DDD" w:rsidRDefault="00000000">
            <w:pPr>
              <w:widowControl w:val="0"/>
              <w:spacing w:line="240" w:lineRule="auto"/>
            </w:pPr>
            <w:r>
              <w:t xml:space="preserve">5. Arbitration will be conducted in accordance with the law as mutually agreed by the parties. Where the parties cannot reach mutual agreement, the IGO Complainant shall elect either the law of the relevant registrar’s principal office or the domain name holder's address as shown for the registration of the disputed domain name in the relevant registrar's </w:t>
            </w:r>
            <w:proofErr w:type="spellStart"/>
            <w:r>
              <w:t>Whois</w:t>
            </w:r>
            <w:proofErr w:type="spellEnd"/>
            <w:r>
              <w:t xml:space="preserve"> database at the time the complaint was submitted to the UDRP or URS provider. Where the parties cannot reach mutual agreement in a case where the domain name was registered through a privacy or proxy service and the underlying registrant’s identity is disclosed as part of the UDRP or URS proceeding, the IGO Complainant shall elect either the law of the relevant registrar’s principal </w:t>
            </w:r>
            <w:r>
              <w:lastRenderedPageBreak/>
              <w:t xml:space="preserve">office or the law in the location of the underlying registrant. In all cases, where neither law provides for a suitable cause of action, the arbitral tribunal shall </w:t>
            </w:r>
            <w:proofErr w:type="gramStart"/>
            <w:r>
              <w:t>make a determination</w:t>
            </w:r>
            <w:proofErr w:type="gramEnd"/>
            <w:r>
              <w:t xml:space="preserve"> as to the law to be applied in accordance with the applicable arbitral rules.</w:t>
            </w:r>
          </w:p>
        </w:tc>
        <w:tc>
          <w:tcPr>
            <w:tcW w:w="4035" w:type="dxa"/>
            <w:shd w:val="clear" w:color="auto" w:fill="auto"/>
            <w:tcMar>
              <w:top w:w="100" w:type="dxa"/>
              <w:left w:w="100" w:type="dxa"/>
              <w:bottom w:w="100" w:type="dxa"/>
              <w:right w:w="100" w:type="dxa"/>
            </w:tcMar>
          </w:tcPr>
          <w:p w14:paraId="1F27FF3C" w14:textId="77777777" w:rsidR="00175DDD" w:rsidRDefault="00000000">
            <w:pPr>
              <w:widowControl w:val="0"/>
              <w:spacing w:line="240" w:lineRule="auto"/>
            </w:pPr>
            <w:r>
              <w:lastRenderedPageBreak/>
              <w:t>See draft updates to UDRP Rules at 18(c)(iii)(b)</w:t>
            </w:r>
          </w:p>
          <w:p w14:paraId="5C7752C6" w14:textId="77777777" w:rsidR="00175DDD" w:rsidRDefault="00175DDD">
            <w:pPr>
              <w:widowControl w:val="0"/>
              <w:spacing w:line="240" w:lineRule="auto"/>
            </w:pPr>
          </w:p>
          <w:p w14:paraId="68AF55B0" w14:textId="77777777" w:rsidR="00175DDD" w:rsidRDefault="00000000">
            <w:pPr>
              <w:widowControl w:val="0"/>
              <w:spacing w:line="240" w:lineRule="auto"/>
            </w:pPr>
            <w:r>
              <w:t>URS: See draft updates to URS at 13.2.3.2</w:t>
            </w:r>
          </w:p>
          <w:p w14:paraId="29772006" w14:textId="77777777" w:rsidR="00175DDD" w:rsidRDefault="00175DDD">
            <w:pPr>
              <w:widowControl w:val="0"/>
              <w:spacing w:line="240" w:lineRule="auto"/>
            </w:pPr>
          </w:p>
          <w:p w14:paraId="5A144CE9" w14:textId="77777777" w:rsidR="00175DDD" w:rsidRDefault="00000000">
            <w:pPr>
              <w:widowControl w:val="0"/>
              <w:spacing w:line="240" w:lineRule="auto"/>
            </w:pPr>
            <w:r>
              <w:t>URS Rules: See draft updates to URS Rules at 17 (g)</w:t>
            </w:r>
          </w:p>
          <w:p w14:paraId="57D77277" w14:textId="77777777" w:rsidR="00175DDD" w:rsidRDefault="00175DDD">
            <w:pPr>
              <w:widowControl w:val="0"/>
              <w:spacing w:line="240" w:lineRule="auto"/>
            </w:pPr>
          </w:p>
          <w:p w14:paraId="7F4F27AD" w14:textId="77777777" w:rsidR="00175DDD" w:rsidRDefault="00175DDD">
            <w:pPr>
              <w:widowControl w:val="0"/>
              <w:spacing w:line="240" w:lineRule="auto"/>
            </w:pPr>
          </w:p>
        </w:tc>
      </w:tr>
    </w:tbl>
    <w:p w14:paraId="3E822EC3" w14:textId="77777777" w:rsidR="00175DDD" w:rsidRDefault="00175DDD">
      <w:pPr>
        <w:spacing w:before="240" w:after="240"/>
      </w:pPr>
    </w:p>
    <w:p w14:paraId="2348C05D" w14:textId="77777777" w:rsidR="00175DDD" w:rsidRDefault="00000000">
      <w:pPr>
        <w:pStyle w:val="Heading3"/>
        <w:spacing w:before="0" w:after="0" w:line="240" w:lineRule="auto"/>
        <w:rPr>
          <w:color w:val="000000"/>
          <w:sz w:val="32"/>
          <w:szCs w:val="32"/>
          <w:u w:val="single"/>
        </w:rPr>
      </w:pPr>
      <w:bookmarkStart w:id="0" w:name="_3gmap692z9n3" w:colFirst="0" w:colLast="0"/>
      <w:bookmarkEnd w:id="0"/>
      <w:r>
        <w:rPr>
          <w:color w:val="000000"/>
          <w:sz w:val="32"/>
          <w:szCs w:val="32"/>
          <w:u w:val="single"/>
        </w:rPr>
        <w:t>Additional Issues for IRT feedback</w:t>
      </w:r>
    </w:p>
    <w:p w14:paraId="39087B3D" w14:textId="77777777" w:rsidR="00175DDD" w:rsidRDefault="00175DDD">
      <w:pPr>
        <w:pStyle w:val="Heading3"/>
        <w:spacing w:before="0" w:after="0" w:line="240" w:lineRule="auto"/>
        <w:rPr>
          <w:color w:val="000000"/>
          <w:sz w:val="24"/>
          <w:szCs w:val="24"/>
        </w:rPr>
      </w:pPr>
      <w:bookmarkStart w:id="1" w:name="_uvf5lkwqmby6" w:colFirst="0" w:colLast="0"/>
      <w:bookmarkEnd w:id="1"/>
    </w:p>
    <w:p w14:paraId="156CA9A1" w14:textId="77777777" w:rsidR="00175DDD" w:rsidRDefault="00175DDD"/>
    <w:tbl>
      <w:tblPr>
        <w:tblStyle w:val="a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5760"/>
        <w:gridCol w:w="3120"/>
      </w:tblGrid>
      <w:tr w:rsidR="00175DDD" w14:paraId="4D62B018" w14:textId="77777777">
        <w:tc>
          <w:tcPr>
            <w:tcW w:w="480" w:type="dxa"/>
            <w:shd w:val="clear" w:color="auto" w:fill="auto"/>
            <w:tcMar>
              <w:top w:w="100" w:type="dxa"/>
              <w:left w:w="100" w:type="dxa"/>
              <w:bottom w:w="100" w:type="dxa"/>
              <w:right w:w="100" w:type="dxa"/>
            </w:tcMar>
          </w:tcPr>
          <w:p w14:paraId="04B4507F" w14:textId="77777777" w:rsidR="00175DDD" w:rsidRDefault="00175DDD">
            <w:pPr>
              <w:widowControl w:val="0"/>
              <w:pBdr>
                <w:top w:val="nil"/>
                <w:left w:val="nil"/>
                <w:bottom w:val="nil"/>
                <w:right w:val="nil"/>
                <w:between w:val="nil"/>
              </w:pBdr>
              <w:spacing w:line="240" w:lineRule="auto"/>
              <w:rPr>
                <w:b/>
              </w:rPr>
            </w:pPr>
          </w:p>
        </w:tc>
        <w:tc>
          <w:tcPr>
            <w:tcW w:w="5760" w:type="dxa"/>
            <w:shd w:val="clear" w:color="auto" w:fill="auto"/>
            <w:tcMar>
              <w:top w:w="100" w:type="dxa"/>
              <w:left w:w="100" w:type="dxa"/>
              <w:bottom w:w="100" w:type="dxa"/>
              <w:right w:w="100" w:type="dxa"/>
            </w:tcMar>
          </w:tcPr>
          <w:p w14:paraId="1480C4CC" w14:textId="77777777" w:rsidR="00175DDD" w:rsidRDefault="00000000">
            <w:pPr>
              <w:widowControl w:val="0"/>
              <w:pBdr>
                <w:top w:val="nil"/>
                <w:left w:val="nil"/>
                <w:bottom w:val="nil"/>
                <w:right w:val="nil"/>
                <w:between w:val="nil"/>
              </w:pBdr>
              <w:spacing w:line="240" w:lineRule="auto"/>
              <w:rPr>
                <w:b/>
              </w:rPr>
            </w:pPr>
            <w:r>
              <w:rPr>
                <w:b/>
              </w:rPr>
              <w:t>Issue</w:t>
            </w:r>
          </w:p>
        </w:tc>
        <w:tc>
          <w:tcPr>
            <w:tcW w:w="3120" w:type="dxa"/>
            <w:shd w:val="clear" w:color="auto" w:fill="auto"/>
            <w:tcMar>
              <w:top w:w="100" w:type="dxa"/>
              <w:left w:w="100" w:type="dxa"/>
              <w:bottom w:w="100" w:type="dxa"/>
              <w:right w:w="100" w:type="dxa"/>
            </w:tcMar>
          </w:tcPr>
          <w:p w14:paraId="2B0A837A" w14:textId="77777777" w:rsidR="00175DDD" w:rsidRDefault="00000000">
            <w:pPr>
              <w:widowControl w:val="0"/>
              <w:pBdr>
                <w:top w:val="nil"/>
                <w:left w:val="nil"/>
                <w:bottom w:val="nil"/>
                <w:right w:val="nil"/>
                <w:between w:val="nil"/>
              </w:pBdr>
              <w:spacing w:line="240" w:lineRule="auto"/>
            </w:pPr>
            <w:r>
              <w:t>Notes to IRT:</w:t>
            </w:r>
          </w:p>
        </w:tc>
      </w:tr>
      <w:tr w:rsidR="00175DDD" w14:paraId="0E96ED48" w14:textId="77777777">
        <w:tc>
          <w:tcPr>
            <w:tcW w:w="480" w:type="dxa"/>
            <w:shd w:val="clear" w:color="auto" w:fill="auto"/>
            <w:tcMar>
              <w:top w:w="100" w:type="dxa"/>
              <w:left w:w="100" w:type="dxa"/>
              <w:bottom w:w="100" w:type="dxa"/>
              <w:right w:w="100" w:type="dxa"/>
            </w:tcMar>
          </w:tcPr>
          <w:p w14:paraId="5E0A5B37" w14:textId="77777777" w:rsidR="00175DDD" w:rsidRDefault="00000000">
            <w:pPr>
              <w:widowControl w:val="0"/>
              <w:spacing w:line="240" w:lineRule="auto"/>
            </w:pPr>
            <w:r>
              <w:t>1</w:t>
            </w:r>
          </w:p>
        </w:tc>
        <w:tc>
          <w:tcPr>
            <w:tcW w:w="5760" w:type="dxa"/>
            <w:shd w:val="clear" w:color="auto" w:fill="auto"/>
            <w:tcMar>
              <w:top w:w="100" w:type="dxa"/>
              <w:left w:w="100" w:type="dxa"/>
              <w:bottom w:w="100" w:type="dxa"/>
              <w:right w:w="100" w:type="dxa"/>
            </w:tcMar>
          </w:tcPr>
          <w:p w14:paraId="4E5A264B" w14:textId="77777777" w:rsidR="00175DDD" w:rsidRDefault="00000000">
            <w:pPr>
              <w:widowControl w:val="0"/>
              <w:spacing w:line="240" w:lineRule="auto"/>
            </w:pPr>
            <w:r>
              <w:t>Selection of arbitral providers: Recommended path forward (for IRT feedback): Build out arbitration process as an appeal path at the institution that administered the UDRP/URS dispute.</w:t>
            </w:r>
          </w:p>
          <w:p w14:paraId="737BF8DD" w14:textId="77777777" w:rsidR="00175DDD" w:rsidRDefault="00175DDD">
            <w:pPr>
              <w:widowControl w:val="0"/>
              <w:spacing w:line="240" w:lineRule="auto"/>
            </w:pPr>
          </w:p>
          <w:p w14:paraId="76072C85" w14:textId="77777777" w:rsidR="00175DDD" w:rsidRDefault="00000000">
            <w:pPr>
              <w:widowControl w:val="0"/>
              <w:spacing w:line="240" w:lineRule="auto"/>
            </w:pPr>
            <w:r>
              <w:t>Would need to confirm that each provider has processes in place to manage this. Could have small set of baseline rules (e.g. choice of law Rec 5, publication of decisions, others? Rules re. timing, for example?)</w:t>
            </w:r>
          </w:p>
        </w:tc>
        <w:tc>
          <w:tcPr>
            <w:tcW w:w="3120" w:type="dxa"/>
            <w:shd w:val="clear" w:color="auto" w:fill="auto"/>
            <w:tcMar>
              <w:top w:w="100" w:type="dxa"/>
              <w:left w:w="100" w:type="dxa"/>
              <w:bottom w:w="100" w:type="dxa"/>
              <w:right w:w="100" w:type="dxa"/>
            </w:tcMar>
          </w:tcPr>
          <w:p w14:paraId="0C43DC49" w14:textId="77777777" w:rsidR="00175DDD" w:rsidRDefault="00000000">
            <w:pPr>
              <w:widowControl w:val="0"/>
              <w:pBdr>
                <w:top w:val="nil"/>
                <w:left w:val="nil"/>
                <w:bottom w:val="nil"/>
                <w:right w:val="nil"/>
                <w:between w:val="nil"/>
              </w:pBdr>
              <w:spacing w:line="240" w:lineRule="auto"/>
            </w:pPr>
            <w:r>
              <w:t xml:space="preserve">For efficiency in the process flow, communication, publication of decisions, </w:t>
            </w:r>
            <w:proofErr w:type="spellStart"/>
            <w:r>
              <w:t>etc</w:t>
            </w:r>
            <w:proofErr w:type="spellEnd"/>
            <w:r>
              <w:t>, and to ensure that the arbitral provider has the necessary expertise to administer these disputes, ICANN org proposes that this new arbitral challenge/appeal process should be administered by the URDP or URS provider that administered the original proceeding.</w:t>
            </w:r>
          </w:p>
          <w:p w14:paraId="22669AA3" w14:textId="77777777" w:rsidR="00175DDD" w:rsidRDefault="00175DDD">
            <w:pPr>
              <w:widowControl w:val="0"/>
              <w:pBdr>
                <w:top w:val="nil"/>
                <w:left w:val="nil"/>
                <w:bottom w:val="nil"/>
                <w:right w:val="nil"/>
                <w:between w:val="nil"/>
              </w:pBdr>
              <w:spacing w:line="240" w:lineRule="auto"/>
            </w:pPr>
          </w:p>
          <w:p w14:paraId="554728F1" w14:textId="77777777" w:rsidR="00175DDD" w:rsidRDefault="00000000">
            <w:pPr>
              <w:widowControl w:val="0"/>
              <w:pBdr>
                <w:top w:val="nil"/>
                <w:left w:val="nil"/>
                <w:bottom w:val="nil"/>
                <w:right w:val="nil"/>
                <w:between w:val="nil"/>
              </w:pBdr>
              <w:spacing w:line="240" w:lineRule="auto"/>
            </w:pPr>
            <w:r>
              <w:t>IRT feedback is requested on this matter.</w:t>
            </w:r>
          </w:p>
          <w:p w14:paraId="25FA9B91" w14:textId="77777777" w:rsidR="00175DDD" w:rsidRDefault="00175DDD">
            <w:pPr>
              <w:widowControl w:val="0"/>
              <w:pBdr>
                <w:top w:val="nil"/>
                <w:left w:val="nil"/>
                <w:bottom w:val="nil"/>
                <w:right w:val="nil"/>
                <w:between w:val="nil"/>
              </w:pBdr>
              <w:spacing w:line="240" w:lineRule="auto"/>
            </w:pPr>
          </w:p>
          <w:p w14:paraId="1A2EC060" w14:textId="77777777" w:rsidR="00175DDD" w:rsidRDefault="00000000">
            <w:pPr>
              <w:widowControl w:val="0"/>
              <w:pBdr>
                <w:top w:val="nil"/>
                <w:left w:val="nil"/>
                <w:bottom w:val="nil"/>
                <w:right w:val="nil"/>
                <w:between w:val="nil"/>
              </w:pBdr>
              <w:spacing w:line="240" w:lineRule="auto"/>
            </w:pPr>
            <w:r>
              <w:t>To implement this path, an additional round of redlines will be required to the relevant documents.</w:t>
            </w:r>
          </w:p>
        </w:tc>
      </w:tr>
      <w:tr w:rsidR="00175DDD" w14:paraId="68323B42" w14:textId="77777777">
        <w:tc>
          <w:tcPr>
            <w:tcW w:w="480" w:type="dxa"/>
            <w:shd w:val="clear" w:color="auto" w:fill="auto"/>
            <w:tcMar>
              <w:top w:w="100" w:type="dxa"/>
              <w:left w:w="100" w:type="dxa"/>
              <w:bottom w:w="100" w:type="dxa"/>
              <w:right w:w="100" w:type="dxa"/>
            </w:tcMar>
          </w:tcPr>
          <w:p w14:paraId="4F19A4CB" w14:textId="77777777" w:rsidR="00175DDD" w:rsidRDefault="00000000">
            <w:pPr>
              <w:widowControl w:val="0"/>
              <w:pBdr>
                <w:top w:val="nil"/>
                <w:left w:val="nil"/>
                <w:bottom w:val="nil"/>
                <w:right w:val="nil"/>
                <w:between w:val="nil"/>
              </w:pBdr>
              <w:spacing w:line="240" w:lineRule="auto"/>
            </w:pPr>
            <w:r>
              <w:t>2</w:t>
            </w:r>
          </w:p>
        </w:tc>
        <w:tc>
          <w:tcPr>
            <w:tcW w:w="5760" w:type="dxa"/>
            <w:shd w:val="clear" w:color="auto" w:fill="auto"/>
            <w:tcMar>
              <w:top w:w="100" w:type="dxa"/>
              <w:left w:w="100" w:type="dxa"/>
              <w:bottom w:w="100" w:type="dxa"/>
              <w:right w:w="100" w:type="dxa"/>
            </w:tcMar>
          </w:tcPr>
          <w:p w14:paraId="25D3DE15" w14:textId="77777777" w:rsidR="00175DDD" w:rsidRDefault="00000000">
            <w:pPr>
              <w:widowControl w:val="0"/>
              <w:pBdr>
                <w:top w:val="nil"/>
                <w:left w:val="nil"/>
                <w:bottom w:val="nil"/>
                <w:right w:val="nil"/>
                <w:between w:val="nil"/>
              </w:pBdr>
              <w:spacing w:line="240" w:lineRule="auto"/>
            </w:pPr>
            <w:r>
              <w:t xml:space="preserve">No policy recommendation concerning an arbitral provider’s communication or publication of decisions. </w:t>
            </w:r>
          </w:p>
        </w:tc>
        <w:tc>
          <w:tcPr>
            <w:tcW w:w="3120" w:type="dxa"/>
            <w:shd w:val="clear" w:color="auto" w:fill="auto"/>
            <w:tcMar>
              <w:top w:w="100" w:type="dxa"/>
              <w:left w:w="100" w:type="dxa"/>
              <w:bottom w:w="100" w:type="dxa"/>
              <w:right w:w="100" w:type="dxa"/>
            </w:tcMar>
          </w:tcPr>
          <w:p w14:paraId="4BFB9967" w14:textId="77777777" w:rsidR="00175DDD" w:rsidRDefault="00000000">
            <w:pPr>
              <w:widowControl w:val="0"/>
              <w:pBdr>
                <w:top w:val="nil"/>
                <w:left w:val="nil"/>
                <w:bottom w:val="nil"/>
                <w:right w:val="nil"/>
                <w:between w:val="nil"/>
              </w:pBdr>
              <w:spacing w:line="240" w:lineRule="auto"/>
            </w:pPr>
            <w:r>
              <w:t xml:space="preserve">The EPDP recommendations do not address the need for notification/publication of the decision. We propose to model notification/publication requirements on requirements for notice/publication of UDRP/URS decisions provided we follow the recommended implementation path of having UDRP/URS providers </w:t>
            </w:r>
            <w:r>
              <w:lastRenderedPageBreak/>
              <w:t xml:space="preserve">administer these new arbitral proceedings. </w:t>
            </w:r>
          </w:p>
          <w:p w14:paraId="0E38F317" w14:textId="77777777" w:rsidR="00175DDD" w:rsidRDefault="00175DDD">
            <w:pPr>
              <w:widowControl w:val="0"/>
              <w:pBdr>
                <w:top w:val="nil"/>
                <w:left w:val="nil"/>
                <w:bottom w:val="nil"/>
                <w:right w:val="nil"/>
                <w:between w:val="nil"/>
              </w:pBdr>
              <w:spacing w:line="240" w:lineRule="auto"/>
            </w:pPr>
          </w:p>
          <w:p w14:paraId="39D277B2" w14:textId="77777777" w:rsidR="00175DDD" w:rsidRDefault="00000000">
            <w:pPr>
              <w:widowControl w:val="0"/>
              <w:pBdr>
                <w:top w:val="nil"/>
                <w:left w:val="nil"/>
                <w:bottom w:val="nil"/>
                <w:right w:val="nil"/>
                <w:between w:val="nil"/>
              </w:pBdr>
              <w:spacing w:line="240" w:lineRule="auto"/>
              <w:rPr>
                <w:color w:val="FF0000"/>
              </w:rPr>
            </w:pPr>
            <w:r>
              <w:t>For example, see draft update to UDRP at Paragraph 4(j)</w:t>
            </w:r>
          </w:p>
          <w:p w14:paraId="5A46C64C" w14:textId="77777777" w:rsidR="00175DDD" w:rsidRDefault="00175DDD">
            <w:pPr>
              <w:widowControl w:val="0"/>
              <w:pBdr>
                <w:top w:val="nil"/>
                <w:left w:val="nil"/>
                <w:bottom w:val="nil"/>
                <w:right w:val="nil"/>
                <w:between w:val="nil"/>
              </w:pBdr>
              <w:spacing w:line="240" w:lineRule="auto"/>
            </w:pPr>
          </w:p>
        </w:tc>
      </w:tr>
      <w:tr w:rsidR="00175DDD" w14:paraId="44E01711" w14:textId="77777777">
        <w:tc>
          <w:tcPr>
            <w:tcW w:w="480" w:type="dxa"/>
            <w:shd w:val="clear" w:color="auto" w:fill="auto"/>
            <w:tcMar>
              <w:top w:w="100" w:type="dxa"/>
              <w:left w:w="100" w:type="dxa"/>
              <w:bottom w:w="100" w:type="dxa"/>
              <w:right w:w="100" w:type="dxa"/>
            </w:tcMar>
          </w:tcPr>
          <w:p w14:paraId="6A183129" w14:textId="77777777" w:rsidR="00175DDD" w:rsidRDefault="00000000">
            <w:pPr>
              <w:widowControl w:val="0"/>
              <w:pBdr>
                <w:top w:val="nil"/>
                <w:left w:val="nil"/>
                <w:bottom w:val="nil"/>
                <w:right w:val="nil"/>
                <w:between w:val="nil"/>
              </w:pBdr>
              <w:spacing w:line="240" w:lineRule="auto"/>
            </w:pPr>
            <w:r>
              <w:lastRenderedPageBreak/>
              <w:t>3</w:t>
            </w:r>
          </w:p>
        </w:tc>
        <w:tc>
          <w:tcPr>
            <w:tcW w:w="5760" w:type="dxa"/>
            <w:shd w:val="clear" w:color="auto" w:fill="auto"/>
            <w:tcMar>
              <w:top w:w="100" w:type="dxa"/>
              <w:left w:w="100" w:type="dxa"/>
              <w:bottom w:w="100" w:type="dxa"/>
              <w:right w:w="100" w:type="dxa"/>
            </w:tcMar>
          </w:tcPr>
          <w:p w14:paraId="3D22D819" w14:textId="77777777" w:rsidR="00175DDD" w:rsidRDefault="00000000">
            <w:pPr>
              <w:widowControl w:val="0"/>
              <w:pBdr>
                <w:top w:val="nil"/>
                <w:left w:val="nil"/>
                <w:bottom w:val="nil"/>
                <w:right w:val="nil"/>
                <w:between w:val="nil"/>
              </w:pBdr>
              <w:spacing w:line="240" w:lineRule="auto"/>
            </w:pPr>
            <w:r>
              <w:t>Terminology</w:t>
            </w:r>
          </w:p>
        </w:tc>
        <w:tc>
          <w:tcPr>
            <w:tcW w:w="3120" w:type="dxa"/>
            <w:shd w:val="clear" w:color="auto" w:fill="auto"/>
            <w:tcMar>
              <w:top w:w="100" w:type="dxa"/>
              <w:left w:w="100" w:type="dxa"/>
              <w:bottom w:w="100" w:type="dxa"/>
              <w:right w:w="100" w:type="dxa"/>
            </w:tcMar>
          </w:tcPr>
          <w:p w14:paraId="7CC907A0" w14:textId="77777777" w:rsidR="00175DDD" w:rsidRDefault="00000000">
            <w:pPr>
              <w:widowControl w:val="0"/>
              <w:pBdr>
                <w:top w:val="nil"/>
                <w:left w:val="nil"/>
                <w:bottom w:val="nil"/>
                <w:right w:val="nil"/>
                <w:between w:val="nil"/>
              </w:pBdr>
              <w:spacing w:line="240" w:lineRule="auto"/>
            </w:pPr>
            <w:r>
              <w:t>The recommendations use the word “arbitration</w:t>
            </w:r>
            <w:proofErr w:type="gramStart"/>
            <w:r>
              <w:t>”</w:t>
            </w:r>
            <w:proofErr w:type="gramEnd"/>
            <w:r>
              <w:t xml:space="preserve"> but this is really an appeal/challenge process. </w:t>
            </w:r>
          </w:p>
          <w:p w14:paraId="47368F71" w14:textId="77777777" w:rsidR="00175DDD" w:rsidRDefault="00175DDD">
            <w:pPr>
              <w:widowControl w:val="0"/>
              <w:pBdr>
                <w:top w:val="nil"/>
                <w:left w:val="nil"/>
                <w:bottom w:val="nil"/>
                <w:right w:val="nil"/>
                <w:between w:val="nil"/>
              </w:pBdr>
              <w:spacing w:line="240" w:lineRule="auto"/>
            </w:pPr>
          </w:p>
          <w:p w14:paraId="1329C7BB" w14:textId="77777777" w:rsidR="00175DDD" w:rsidRDefault="00000000">
            <w:pPr>
              <w:widowControl w:val="0"/>
              <w:pBdr>
                <w:top w:val="nil"/>
                <w:left w:val="nil"/>
                <w:bottom w:val="nil"/>
                <w:right w:val="nil"/>
                <w:between w:val="nil"/>
              </w:pBdr>
              <w:spacing w:line="240" w:lineRule="auto"/>
            </w:pPr>
            <w:r>
              <w:t xml:space="preserve">In our next round of reviews/redlines, upon alignment on “choice of provider” issue, ICANN org suggests that we take another look at what we are calling this new process path and ensure consistency in terminology across </w:t>
            </w:r>
            <w:proofErr w:type="gramStart"/>
            <w:r>
              <w:t>all of</w:t>
            </w:r>
            <w:proofErr w:type="gramEnd"/>
            <w:r>
              <w:t xml:space="preserve"> the updates to implement these policy recommendations.</w:t>
            </w:r>
          </w:p>
        </w:tc>
      </w:tr>
      <w:tr w:rsidR="00175DDD" w14:paraId="1704ACF6" w14:textId="77777777">
        <w:tc>
          <w:tcPr>
            <w:tcW w:w="480" w:type="dxa"/>
            <w:shd w:val="clear" w:color="auto" w:fill="auto"/>
            <w:tcMar>
              <w:top w:w="100" w:type="dxa"/>
              <w:left w:w="100" w:type="dxa"/>
              <w:bottom w:w="100" w:type="dxa"/>
              <w:right w:w="100" w:type="dxa"/>
            </w:tcMar>
          </w:tcPr>
          <w:p w14:paraId="63E1C19D" w14:textId="77777777" w:rsidR="00175DDD" w:rsidRDefault="00000000">
            <w:pPr>
              <w:widowControl w:val="0"/>
              <w:pBdr>
                <w:top w:val="nil"/>
                <w:left w:val="nil"/>
                <w:bottom w:val="nil"/>
                <w:right w:val="nil"/>
                <w:between w:val="nil"/>
              </w:pBdr>
              <w:spacing w:line="240" w:lineRule="auto"/>
            </w:pPr>
            <w:r>
              <w:t>3</w:t>
            </w:r>
          </w:p>
        </w:tc>
        <w:tc>
          <w:tcPr>
            <w:tcW w:w="5760" w:type="dxa"/>
            <w:shd w:val="clear" w:color="auto" w:fill="auto"/>
            <w:tcMar>
              <w:top w:w="100" w:type="dxa"/>
              <w:left w:w="100" w:type="dxa"/>
              <w:bottom w:w="100" w:type="dxa"/>
              <w:right w:w="100" w:type="dxa"/>
            </w:tcMar>
          </w:tcPr>
          <w:p w14:paraId="66CD8717" w14:textId="77777777" w:rsidR="00175DDD" w:rsidRDefault="00000000">
            <w:pPr>
              <w:widowControl w:val="0"/>
              <w:pBdr>
                <w:top w:val="nil"/>
                <w:left w:val="nil"/>
                <w:bottom w:val="nil"/>
                <w:right w:val="nil"/>
                <w:between w:val="nil"/>
              </w:pBdr>
              <w:spacing w:line="240" w:lineRule="auto"/>
            </w:pPr>
            <w:r>
              <w:t>Document errors identified</w:t>
            </w:r>
          </w:p>
        </w:tc>
        <w:tc>
          <w:tcPr>
            <w:tcW w:w="3120" w:type="dxa"/>
            <w:shd w:val="clear" w:color="auto" w:fill="auto"/>
            <w:tcMar>
              <w:top w:w="100" w:type="dxa"/>
              <w:left w:w="100" w:type="dxa"/>
              <w:bottom w:w="100" w:type="dxa"/>
              <w:right w:w="100" w:type="dxa"/>
            </w:tcMar>
          </w:tcPr>
          <w:p w14:paraId="75C45C23" w14:textId="77777777" w:rsidR="00175DDD" w:rsidRDefault="00000000">
            <w:pPr>
              <w:widowControl w:val="0"/>
              <w:pBdr>
                <w:top w:val="nil"/>
                <w:left w:val="nil"/>
                <w:bottom w:val="nil"/>
                <w:right w:val="nil"/>
                <w:between w:val="nil"/>
              </w:pBdr>
              <w:spacing w:line="240" w:lineRule="auto"/>
            </w:pPr>
            <w:proofErr w:type="gramStart"/>
            <w:r>
              <w:t>In the course of</w:t>
            </w:r>
            <w:proofErr w:type="gramEnd"/>
            <w:r>
              <w:t xml:space="preserve"> reviewing the UDRP, URS, and accompanying rules, some errors were identified that are not directly related to the implementation of the curative rights recommendations.</w:t>
            </w:r>
          </w:p>
          <w:p w14:paraId="090FA24E" w14:textId="77777777" w:rsidR="00175DDD" w:rsidRDefault="00175DDD">
            <w:pPr>
              <w:widowControl w:val="0"/>
              <w:pBdr>
                <w:top w:val="nil"/>
                <w:left w:val="nil"/>
                <w:bottom w:val="nil"/>
                <w:right w:val="nil"/>
                <w:between w:val="nil"/>
              </w:pBdr>
              <w:spacing w:line="240" w:lineRule="auto"/>
            </w:pPr>
          </w:p>
          <w:p w14:paraId="37D239EB" w14:textId="77777777" w:rsidR="00175DDD" w:rsidRDefault="00000000">
            <w:pPr>
              <w:widowControl w:val="0"/>
              <w:pBdr>
                <w:top w:val="nil"/>
                <w:left w:val="nil"/>
                <w:bottom w:val="nil"/>
                <w:right w:val="nil"/>
                <w:between w:val="nil"/>
              </w:pBdr>
              <w:spacing w:line="240" w:lineRule="auto"/>
            </w:pPr>
            <w:r>
              <w:t xml:space="preserve">For example, the section numbering in the URS has an error (marked in the redline doc). To correct this obvious error, ICANN org believes that the section numbering should be corrected in the updated version of the URS when it is finalized </w:t>
            </w:r>
            <w:proofErr w:type="gramStart"/>
            <w:r>
              <w:t>in the course of</w:t>
            </w:r>
            <w:proofErr w:type="gramEnd"/>
            <w:r>
              <w:t xml:space="preserve"> this implementation. A few other similar issues have been identified and have also been noted in the accompanying documents.</w:t>
            </w:r>
          </w:p>
        </w:tc>
      </w:tr>
    </w:tbl>
    <w:p w14:paraId="296C22E0" w14:textId="77777777" w:rsidR="00175DDD" w:rsidRDefault="00175DDD"/>
    <w:sectPr w:rsidR="00175DDD">
      <w:headerReference w:type="default" r:id="rId12"/>
      <w:footerReference w:type="default" r:id="rId13"/>
      <w:pgSz w:w="12240" w:h="15840"/>
      <w:pgMar w:top="1440" w:right="1440" w:bottom="12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AB869" w14:textId="77777777" w:rsidR="001008E2" w:rsidRDefault="001008E2">
      <w:pPr>
        <w:spacing w:line="240" w:lineRule="auto"/>
      </w:pPr>
      <w:r>
        <w:separator/>
      </w:r>
    </w:p>
  </w:endnote>
  <w:endnote w:type="continuationSeparator" w:id="0">
    <w:p w14:paraId="4A13DA30" w14:textId="77777777" w:rsidR="001008E2" w:rsidRDefault="001008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35A8" w14:textId="77777777" w:rsidR="00175DDD" w:rsidRDefault="00000000">
    <w:pPr>
      <w:jc w:val="right"/>
    </w:pPr>
    <w:r>
      <w:fldChar w:fldCharType="begin"/>
    </w:r>
    <w:r>
      <w:instrText>PAGE</w:instrText>
    </w:r>
    <w:r>
      <w:fldChar w:fldCharType="separate"/>
    </w:r>
    <w:r w:rsidR="0006062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CC34A" w14:textId="77777777" w:rsidR="001008E2" w:rsidRDefault="001008E2">
      <w:pPr>
        <w:spacing w:line="240" w:lineRule="auto"/>
      </w:pPr>
      <w:r>
        <w:separator/>
      </w:r>
    </w:p>
  </w:footnote>
  <w:footnote w:type="continuationSeparator" w:id="0">
    <w:p w14:paraId="2CA5A54F" w14:textId="77777777" w:rsidR="001008E2" w:rsidRDefault="001008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CF3C" w14:textId="77777777" w:rsidR="00175DDD" w:rsidRDefault="00000000">
    <w:pPr>
      <w:jc w:val="center"/>
    </w:pPr>
    <w:r>
      <w:t>Draft</w:t>
    </w:r>
  </w:p>
  <w:p w14:paraId="64E419D8" w14:textId="77777777" w:rsidR="00175DDD" w:rsidRDefault="00000000">
    <w:pPr>
      <w:jc w:val="center"/>
    </w:pPr>
    <w:r>
      <w:t>Privileged and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60C53"/>
    <w:multiLevelType w:val="multilevel"/>
    <w:tmpl w:val="FCDC4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ACA044B"/>
    <w:multiLevelType w:val="multilevel"/>
    <w:tmpl w:val="D2A8F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FA30971"/>
    <w:multiLevelType w:val="multilevel"/>
    <w:tmpl w:val="ACF83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29634154">
    <w:abstractNumId w:val="2"/>
  </w:num>
  <w:num w:numId="2" w16cid:durableId="1880631739">
    <w:abstractNumId w:val="1"/>
  </w:num>
  <w:num w:numId="3" w16cid:durableId="235477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DDD"/>
    <w:rsid w:val="00060622"/>
    <w:rsid w:val="001008E2"/>
    <w:rsid w:val="00175DDD"/>
    <w:rsid w:val="003919D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41292B5B"/>
  <w15:docId w15:val="{57E011E8-F580-C140-B1B9-80C5BA17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nso.icann.org/sites/default/files/file/field-file-attach/epdp-specific-crp-igo-final-report-02apr22-en.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nso.icann.org/sites/default/files/file/field-file-attach/epdp-specific-crp-igo-final-report-02apr22-en.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C8ijSEeTgLkQ6LLWcTjyS0hRd02doyZVEsv11tcUPbY/edit?disco=AAABnRDQm7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nso.icann.org/sites/default/files/file/field-file-attach/epdp-specific-crp-igo-final-report-02apr22-en.pdf" TargetMode="External"/><Relationship Id="rId4" Type="http://schemas.openxmlformats.org/officeDocument/2006/relationships/webSettings" Target="webSettings.xml"/><Relationship Id="rId9" Type="http://schemas.openxmlformats.org/officeDocument/2006/relationships/hyperlink" Target="https://gnso.icann.org/sites/default/files/file/field-file-attach/epdp-specific-crp-igo-final-report-02apr22-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2220</Words>
  <Characters>12660</Characters>
  <Application>Microsoft Office Word</Application>
  <DocSecurity>0</DocSecurity>
  <Lines>105</Lines>
  <Paragraphs>29</Paragraphs>
  <ScaleCrop>false</ScaleCrop>
  <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Eakin</cp:lastModifiedBy>
  <cp:revision>2</cp:revision>
  <dcterms:created xsi:type="dcterms:W3CDTF">2025-08-01T08:50:00Z</dcterms:created>
  <dcterms:modified xsi:type="dcterms:W3CDTF">2025-08-01T08:51:00Z</dcterms:modified>
</cp:coreProperties>
</file>