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D2707" w:rsidRDefault="00000000">
      <w:pPr>
        <w:pStyle w:val="Title"/>
      </w:pPr>
      <w:bookmarkStart w:id="0" w:name="_ehqucr7cxlva" w:colFirst="0" w:colLast="0"/>
      <w:bookmarkEnd w:id="0"/>
      <w:r>
        <w:rPr>
          <w:sz w:val="36"/>
          <w:szCs w:val="36"/>
        </w:rPr>
        <w:t>Draft Implementation Approach: EPDP on Specific Curative Rights Protections for International Governmental Organizations (IGOs) Recommendation 1</w:t>
      </w:r>
    </w:p>
    <w:p w14:paraId="00000002" w14:textId="77777777" w:rsidR="00DD2707" w:rsidRDefault="00000000">
      <w:pPr>
        <w:pStyle w:val="Heading2"/>
        <w:rPr>
          <w:b/>
          <w:sz w:val="28"/>
          <w:szCs w:val="28"/>
        </w:rPr>
      </w:pPr>
      <w:bookmarkStart w:id="1" w:name="_bztfawpv27qy" w:colFirst="0" w:colLast="0"/>
      <w:bookmarkEnd w:id="1"/>
      <w:r>
        <w:rPr>
          <w:b/>
          <w:sz w:val="28"/>
          <w:szCs w:val="28"/>
        </w:rPr>
        <w:t>ICANN org Proposed Implementation Approach</w:t>
      </w:r>
    </w:p>
    <w:p w14:paraId="00000003" w14:textId="77777777" w:rsidR="00DD2707" w:rsidRDefault="00000000">
      <w:pPr>
        <w:rPr>
          <w:sz w:val="24"/>
          <w:szCs w:val="24"/>
        </w:rPr>
      </w:pPr>
      <w:r>
        <w:rPr>
          <w:sz w:val="24"/>
          <w:szCs w:val="24"/>
        </w:rPr>
        <w:t>The EPDP Recommendation 1 recommends specific modifications to both the UDRP Rules and URS Rules to include a description of an IGO Complainant and how IGO Complainants may prove unregistered rights that are functionally equivalent to a trademark as required to demonstrate standing to file UDRP and URS proceedings.</w:t>
      </w:r>
    </w:p>
    <w:p w14:paraId="00000004" w14:textId="77777777" w:rsidR="00DD2707" w:rsidRDefault="00DD2707">
      <w:pPr>
        <w:rPr>
          <w:sz w:val="24"/>
          <w:szCs w:val="24"/>
        </w:rPr>
      </w:pPr>
    </w:p>
    <w:p w14:paraId="00000005" w14:textId="77777777" w:rsidR="00DD2707" w:rsidRDefault="00000000">
      <w:pPr>
        <w:rPr>
          <w:sz w:val="24"/>
          <w:szCs w:val="24"/>
        </w:rPr>
      </w:pPr>
      <w:r>
        <w:rPr>
          <w:sz w:val="24"/>
          <w:szCs w:val="24"/>
        </w:rPr>
        <w:t xml:space="preserve">ICANN org will update the relevant sections of the UDRP and URS Rules to reflect the exact wording agreed by the Working Group. However, because this recommendation and PDP Recommendation 2 overlap (as PDP Recommendation 2 also addresses IGO standing to file a complaint), ICANN org proposes to also incorporate the provisions of EPDP Recommendation 1 into the recommended policy guidance document that will implement PDP Recommendation 2. </w:t>
      </w:r>
    </w:p>
    <w:p w14:paraId="00000006" w14:textId="77777777" w:rsidR="00DD2707" w:rsidRDefault="00000000">
      <w:pPr>
        <w:pStyle w:val="Heading2"/>
        <w:rPr>
          <w:b/>
          <w:sz w:val="28"/>
          <w:szCs w:val="28"/>
        </w:rPr>
      </w:pPr>
      <w:bookmarkStart w:id="2" w:name="_cahs92bhqbvc" w:colFirst="0" w:colLast="0"/>
      <w:bookmarkEnd w:id="2"/>
      <w:r>
        <w:rPr>
          <w:b/>
          <w:sz w:val="28"/>
          <w:szCs w:val="28"/>
        </w:rPr>
        <w:t>Recommendation Text</w:t>
      </w:r>
    </w:p>
    <w:p w14:paraId="00000007" w14:textId="77777777" w:rsidR="00DD2707" w:rsidRDefault="00DD2707">
      <w:pPr>
        <w:rPr>
          <w:sz w:val="24"/>
          <w:szCs w:val="24"/>
        </w:rPr>
      </w:pPr>
    </w:p>
    <w:p w14:paraId="00000008" w14:textId="77777777" w:rsidR="00DD2707" w:rsidRDefault="00000000">
      <w:pPr>
        <w:numPr>
          <w:ilvl w:val="0"/>
          <w:numId w:val="3"/>
        </w:numPr>
        <w:ind w:left="360"/>
        <w:rPr>
          <w:b/>
          <w:sz w:val="24"/>
          <w:szCs w:val="24"/>
        </w:rPr>
      </w:pPr>
      <w:r>
        <w:rPr>
          <w:b/>
          <w:sz w:val="24"/>
          <w:szCs w:val="24"/>
        </w:rPr>
        <w:t xml:space="preserve">Definition of “IGO Complainant” </w:t>
      </w:r>
    </w:p>
    <w:p w14:paraId="00000009" w14:textId="77777777" w:rsidR="00DD2707" w:rsidRDefault="00DD2707">
      <w:pPr>
        <w:rPr>
          <w:b/>
          <w:sz w:val="24"/>
          <w:szCs w:val="24"/>
        </w:rPr>
      </w:pPr>
    </w:p>
    <w:p w14:paraId="0000000A" w14:textId="77777777" w:rsidR="00DD2707" w:rsidRDefault="00000000">
      <w:pPr>
        <w:rPr>
          <w:sz w:val="24"/>
          <w:szCs w:val="24"/>
        </w:rPr>
      </w:pPr>
      <w:r>
        <w:rPr>
          <w:sz w:val="24"/>
          <w:szCs w:val="24"/>
        </w:rPr>
        <w:t xml:space="preserve">The EPDP team recommends that the UDRP Rules and URS Rules be modified in the following two ways: </w:t>
      </w:r>
    </w:p>
    <w:p w14:paraId="0000000B" w14:textId="77777777" w:rsidR="00DD2707" w:rsidRDefault="00DD2707">
      <w:pPr>
        <w:rPr>
          <w:b/>
          <w:sz w:val="24"/>
          <w:szCs w:val="24"/>
        </w:rPr>
      </w:pPr>
    </w:p>
    <w:p w14:paraId="0000000C" w14:textId="77777777" w:rsidR="00DD2707" w:rsidRDefault="00000000">
      <w:pPr>
        <w:rPr>
          <w:sz w:val="24"/>
          <w:szCs w:val="24"/>
        </w:rPr>
      </w:pPr>
      <w:r>
        <w:rPr>
          <w:b/>
          <w:sz w:val="24"/>
          <w:szCs w:val="24"/>
        </w:rPr>
        <w:t>i</w:t>
      </w:r>
      <w:r>
        <w:rPr>
          <w:sz w:val="24"/>
          <w:szCs w:val="24"/>
        </w:rPr>
        <w:t>. Add a description of “IGO Complainant” to section 1 (i.e., the definitions section of both sets of Rules):</w:t>
      </w:r>
    </w:p>
    <w:p w14:paraId="0000000D" w14:textId="77777777" w:rsidR="00DD2707" w:rsidRDefault="00DD2707">
      <w:pPr>
        <w:rPr>
          <w:b/>
          <w:sz w:val="24"/>
          <w:szCs w:val="24"/>
        </w:rPr>
      </w:pPr>
    </w:p>
    <w:p w14:paraId="0000000E" w14:textId="77777777" w:rsidR="00DD2707" w:rsidRDefault="00000000">
      <w:pPr>
        <w:rPr>
          <w:sz w:val="24"/>
          <w:szCs w:val="24"/>
        </w:rPr>
      </w:pPr>
      <w:r>
        <w:rPr>
          <w:sz w:val="24"/>
          <w:szCs w:val="24"/>
        </w:rPr>
        <w:t xml:space="preserve"> “‘IGO Complainant’ refers to: </w:t>
      </w:r>
    </w:p>
    <w:p w14:paraId="0000000F" w14:textId="77777777" w:rsidR="00DD2707" w:rsidRDefault="00000000">
      <w:pPr>
        <w:rPr>
          <w:sz w:val="24"/>
          <w:szCs w:val="24"/>
        </w:rPr>
      </w:pPr>
      <w:r>
        <w:rPr>
          <w:sz w:val="24"/>
          <w:szCs w:val="24"/>
        </w:rPr>
        <w:t xml:space="preserve">(i) an international organization established by a treaty, and which possesses international legal personality; or </w:t>
      </w:r>
    </w:p>
    <w:p w14:paraId="00000010" w14:textId="77777777" w:rsidR="00DD2707" w:rsidRDefault="00000000">
      <w:pPr>
        <w:rPr>
          <w:sz w:val="24"/>
          <w:szCs w:val="24"/>
        </w:rPr>
      </w:pPr>
      <w:r>
        <w:rPr>
          <w:sz w:val="24"/>
          <w:szCs w:val="24"/>
        </w:rPr>
        <w:t xml:space="preserve">(ii) an ‘Intergovernmental organization’ having received a standing invitation, which remains in effect, to participate as an observer in the sessions and the work of the United Nations General Assembly; or </w:t>
      </w:r>
    </w:p>
    <w:p w14:paraId="00000011" w14:textId="77777777" w:rsidR="00DD2707" w:rsidRDefault="00000000">
      <w:pPr>
        <w:rPr>
          <w:sz w:val="24"/>
          <w:szCs w:val="24"/>
        </w:rPr>
      </w:pPr>
      <w:r>
        <w:rPr>
          <w:sz w:val="24"/>
          <w:szCs w:val="24"/>
        </w:rPr>
        <w:t xml:space="preserve">(iii) a Specialized Agency or distinct entity, organ or program of the United </w:t>
      </w:r>
      <w:proofErr w:type="gramStart"/>
      <w:r>
        <w:rPr>
          <w:sz w:val="24"/>
          <w:szCs w:val="24"/>
        </w:rPr>
        <w:t>Nations .</w:t>
      </w:r>
      <w:proofErr w:type="gramEnd"/>
      <w:r>
        <w:rPr>
          <w:sz w:val="24"/>
          <w:szCs w:val="24"/>
        </w:rPr>
        <w:t xml:space="preserve">” </w:t>
      </w:r>
    </w:p>
    <w:p w14:paraId="00000012" w14:textId="77777777" w:rsidR="00DD2707" w:rsidRDefault="00DD2707">
      <w:pPr>
        <w:rPr>
          <w:b/>
          <w:sz w:val="24"/>
          <w:szCs w:val="24"/>
        </w:rPr>
      </w:pPr>
    </w:p>
    <w:p w14:paraId="00000013" w14:textId="77777777" w:rsidR="00DD2707" w:rsidRDefault="00000000">
      <w:pPr>
        <w:rPr>
          <w:sz w:val="24"/>
          <w:szCs w:val="24"/>
        </w:rPr>
      </w:pPr>
      <w:r>
        <w:rPr>
          <w:b/>
          <w:sz w:val="24"/>
          <w:szCs w:val="24"/>
        </w:rPr>
        <w:t xml:space="preserve">ii. </w:t>
      </w:r>
      <w:r>
        <w:rPr>
          <w:sz w:val="24"/>
          <w:szCs w:val="24"/>
        </w:rPr>
        <w:t xml:space="preserve">Add the following explanatory text to UDRP Rules Section 3(b)(viii), URS Section 1.2.6 and URS Rules Section 3(b)(v): </w:t>
      </w:r>
    </w:p>
    <w:p w14:paraId="00000014" w14:textId="77777777" w:rsidR="00DD2707" w:rsidRDefault="00000000">
      <w:pPr>
        <w:rPr>
          <w:sz w:val="24"/>
          <w:szCs w:val="24"/>
        </w:rPr>
      </w:pPr>
      <w:r>
        <w:rPr>
          <w:sz w:val="24"/>
          <w:szCs w:val="24"/>
        </w:rPr>
        <w:lastRenderedPageBreak/>
        <w:t xml:space="preserve">“Where the Complainant is an IGO Complainant, it may show rights in a mark by demonstrating that the identifier which forms the basis for the complaint is used by the IGO Complainant to conduct public activities in accordance with its stated mission (as may be reflected in its treaty, charter, or governing document). Such use shall not be a token use.” </w:t>
      </w:r>
    </w:p>
    <w:p w14:paraId="00000015" w14:textId="77777777" w:rsidR="00DD2707" w:rsidRDefault="00DD2707">
      <w:pPr>
        <w:rPr>
          <w:sz w:val="24"/>
          <w:szCs w:val="24"/>
        </w:rPr>
      </w:pPr>
    </w:p>
    <w:p w14:paraId="00000016" w14:textId="77777777" w:rsidR="00DD2707" w:rsidRDefault="00000000">
      <w:pPr>
        <w:rPr>
          <w:sz w:val="24"/>
          <w:szCs w:val="24"/>
        </w:rPr>
      </w:pPr>
      <w:r>
        <w:rPr>
          <w:b/>
          <w:sz w:val="24"/>
          <w:szCs w:val="24"/>
        </w:rPr>
        <w:t>Consensus Level</w:t>
      </w:r>
      <w:r>
        <w:rPr>
          <w:sz w:val="24"/>
          <w:szCs w:val="24"/>
        </w:rPr>
        <w:t>: Full</w:t>
      </w:r>
    </w:p>
    <w:p w14:paraId="00000017" w14:textId="77777777" w:rsidR="00DD2707" w:rsidRDefault="00000000">
      <w:pPr>
        <w:pStyle w:val="Heading2"/>
        <w:rPr>
          <w:b/>
          <w:sz w:val="28"/>
          <w:szCs w:val="28"/>
        </w:rPr>
      </w:pPr>
      <w:bookmarkStart w:id="3" w:name="_9861f5n3vr44" w:colFirst="0" w:colLast="0"/>
      <w:bookmarkEnd w:id="3"/>
      <w:r>
        <w:rPr>
          <w:b/>
          <w:sz w:val="28"/>
          <w:szCs w:val="28"/>
        </w:rPr>
        <w:t>Policy Context</w:t>
      </w:r>
    </w:p>
    <w:p w14:paraId="00000018" w14:textId="77777777" w:rsidR="00DD2707" w:rsidRDefault="00DD2707"/>
    <w:p w14:paraId="00000019" w14:textId="77777777" w:rsidR="00DD2707" w:rsidRDefault="00000000">
      <w:pPr>
        <w:numPr>
          <w:ilvl w:val="0"/>
          <w:numId w:val="1"/>
        </w:numPr>
        <w:rPr>
          <w:sz w:val="24"/>
          <w:szCs w:val="24"/>
        </w:rPr>
      </w:pPr>
      <w:r>
        <w:rPr>
          <w:sz w:val="24"/>
          <w:szCs w:val="24"/>
        </w:rPr>
        <w:t xml:space="preserve">In the absence of a single recognized authoritative source for determining whether an organization is an IGO, the EPDP WG opted to provide a definition of an IGO Complainant, </w:t>
      </w:r>
      <w:proofErr w:type="gramStart"/>
      <w:r>
        <w:rPr>
          <w:sz w:val="24"/>
          <w:szCs w:val="24"/>
        </w:rPr>
        <w:t>in order to</w:t>
      </w:r>
      <w:proofErr w:type="gramEnd"/>
      <w:r>
        <w:rPr>
          <w:sz w:val="24"/>
          <w:szCs w:val="24"/>
        </w:rPr>
        <w:t xml:space="preserve"> ensure that its recommendations would apply only to organizations able to demonstrable factual evidence of IGO status. </w:t>
      </w:r>
    </w:p>
    <w:p w14:paraId="0000001A" w14:textId="77777777" w:rsidR="00DD2707" w:rsidRDefault="00DD2707">
      <w:pPr>
        <w:rPr>
          <w:sz w:val="24"/>
          <w:szCs w:val="24"/>
        </w:rPr>
      </w:pPr>
    </w:p>
    <w:p w14:paraId="0000001B" w14:textId="77777777" w:rsidR="00DD2707" w:rsidRDefault="00000000">
      <w:pPr>
        <w:numPr>
          <w:ilvl w:val="0"/>
          <w:numId w:val="2"/>
        </w:numPr>
        <w:rPr>
          <w:sz w:val="24"/>
          <w:szCs w:val="24"/>
        </w:rPr>
      </w:pPr>
      <w:r>
        <w:rPr>
          <w:sz w:val="24"/>
          <w:szCs w:val="24"/>
        </w:rPr>
        <w:t>The WG devoted considerable time to arrive at its definition of an “IGO Complainant</w:t>
      </w:r>
      <w:proofErr w:type="gramStart"/>
      <w:r>
        <w:rPr>
          <w:sz w:val="24"/>
          <w:szCs w:val="24"/>
        </w:rPr>
        <w:t>”, and</w:t>
      </w:r>
      <w:proofErr w:type="gramEnd"/>
      <w:r>
        <w:rPr>
          <w:sz w:val="24"/>
          <w:szCs w:val="24"/>
        </w:rPr>
        <w:t xml:space="preserve"> drew upon a variety of sources </w:t>
      </w:r>
      <w:proofErr w:type="gramStart"/>
      <w:r>
        <w:rPr>
          <w:sz w:val="24"/>
          <w:szCs w:val="24"/>
        </w:rPr>
        <w:t>in the course of</w:t>
      </w:r>
      <w:proofErr w:type="gramEnd"/>
      <w:r>
        <w:rPr>
          <w:sz w:val="24"/>
          <w:szCs w:val="24"/>
        </w:rPr>
        <w:t xml:space="preserve"> its research, including the United Nations system and documentation, relevant elements of international treaties, and GAC Advice.</w:t>
      </w:r>
    </w:p>
    <w:p w14:paraId="0000001C" w14:textId="77777777" w:rsidR="00DD2707" w:rsidRDefault="00DD2707">
      <w:pPr>
        <w:ind w:left="720"/>
        <w:rPr>
          <w:sz w:val="24"/>
          <w:szCs w:val="24"/>
        </w:rPr>
      </w:pPr>
    </w:p>
    <w:p w14:paraId="0000001D" w14:textId="77777777" w:rsidR="00DD2707" w:rsidRDefault="00000000">
      <w:pPr>
        <w:numPr>
          <w:ilvl w:val="0"/>
          <w:numId w:val="2"/>
        </w:numPr>
        <w:rPr>
          <w:sz w:val="24"/>
          <w:szCs w:val="24"/>
        </w:rPr>
      </w:pPr>
      <w:r>
        <w:rPr>
          <w:sz w:val="24"/>
          <w:szCs w:val="24"/>
        </w:rPr>
        <w:t>Given the WG’s continued support of the standing requirement for complainants to possess rights in the mark which is the subject of the UDRP/URS complaint, the recommendation provides broad criteria for how complainants can meet this requirement through the demonstration of prior use, which if satisfied would prove unregistered rights that are functionally equivalent to a trade or service mark.</w:t>
      </w:r>
    </w:p>
    <w:p w14:paraId="0000001E" w14:textId="77777777" w:rsidR="00DD2707" w:rsidRDefault="00000000">
      <w:pPr>
        <w:ind w:left="720"/>
        <w:rPr>
          <w:sz w:val="24"/>
          <w:szCs w:val="24"/>
        </w:rPr>
      </w:pPr>
      <w:r>
        <w:rPr>
          <w:sz w:val="24"/>
          <w:szCs w:val="24"/>
        </w:rPr>
        <w:t xml:space="preserve"> </w:t>
      </w:r>
    </w:p>
    <w:p w14:paraId="0000001F" w14:textId="77777777" w:rsidR="00DD2707" w:rsidRDefault="00DD2707">
      <w:pPr>
        <w:rPr>
          <w:sz w:val="24"/>
          <w:szCs w:val="24"/>
        </w:rPr>
      </w:pPr>
    </w:p>
    <w:p w14:paraId="00000020" w14:textId="77777777" w:rsidR="00DD2707" w:rsidRDefault="00000000">
      <w:pPr>
        <w:rPr>
          <w:b/>
          <w:sz w:val="28"/>
          <w:szCs w:val="28"/>
        </w:rPr>
      </w:pPr>
      <w:r>
        <w:rPr>
          <w:b/>
          <w:sz w:val="28"/>
          <w:szCs w:val="28"/>
        </w:rPr>
        <w:t>Implementation Considerations</w:t>
      </w:r>
    </w:p>
    <w:p w14:paraId="00000021" w14:textId="77777777" w:rsidR="00DD2707" w:rsidRDefault="00DD2707">
      <w:pPr>
        <w:rPr>
          <w:b/>
          <w:sz w:val="28"/>
          <w:szCs w:val="28"/>
        </w:rPr>
      </w:pPr>
    </w:p>
    <w:p w14:paraId="00000022" w14:textId="77777777" w:rsidR="00DD2707" w:rsidRDefault="00000000">
      <w:pPr>
        <w:numPr>
          <w:ilvl w:val="0"/>
          <w:numId w:val="2"/>
        </w:numPr>
        <w:rPr>
          <w:sz w:val="24"/>
          <w:szCs w:val="24"/>
        </w:rPr>
      </w:pPr>
      <w:r>
        <w:rPr>
          <w:sz w:val="24"/>
          <w:szCs w:val="24"/>
        </w:rPr>
        <w:t xml:space="preserve">EPDP Recommendation 1 does not state how complainants that do not meet the conditions set out in Recommendation 1, Section 1 (i) to be recognized as an IGO Complainant should be addressed by the relevant UDRP panel or URS examiner. </w:t>
      </w:r>
    </w:p>
    <w:p w14:paraId="00000023" w14:textId="77777777" w:rsidR="00DD2707" w:rsidRDefault="00000000">
      <w:pPr>
        <w:numPr>
          <w:ilvl w:val="0"/>
          <w:numId w:val="2"/>
        </w:numPr>
        <w:rPr>
          <w:sz w:val="24"/>
          <w:szCs w:val="24"/>
        </w:rPr>
      </w:pPr>
      <w:r>
        <w:rPr>
          <w:sz w:val="24"/>
          <w:szCs w:val="24"/>
        </w:rPr>
        <w:t>Open questions include:</w:t>
      </w:r>
    </w:p>
    <w:p w14:paraId="00000024" w14:textId="77777777" w:rsidR="00DD2707" w:rsidRDefault="00000000">
      <w:pPr>
        <w:numPr>
          <w:ilvl w:val="1"/>
          <w:numId w:val="2"/>
        </w:numPr>
        <w:rPr>
          <w:sz w:val="24"/>
          <w:szCs w:val="24"/>
        </w:rPr>
      </w:pPr>
      <w:r>
        <w:rPr>
          <w:sz w:val="24"/>
          <w:szCs w:val="24"/>
        </w:rPr>
        <w:t xml:space="preserve">Is this definition exhaustive? </w:t>
      </w:r>
    </w:p>
    <w:p w14:paraId="00000025" w14:textId="77777777" w:rsidR="00DD2707" w:rsidRDefault="00000000">
      <w:pPr>
        <w:numPr>
          <w:ilvl w:val="1"/>
          <w:numId w:val="2"/>
        </w:numPr>
        <w:rPr>
          <w:sz w:val="24"/>
          <w:szCs w:val="24"/>
        </w:rPr>
      </w:pPr>
      <w:r>
        <w:rPr>
          <w:sz w:val="24"/>
          <w:szCs w:val="24"/>
        </w:rPr>
        <w:t xml:space="preserve">Can alternative evidence or arguments for IGO Complainant status be considered by a panel in place of the criteria stated in Recommendation 1, if presented by a complainant self-identifying as an IGO? </w:t>
      </w:r>
    </w:p>
    <w:p w14:paraId="00000026" w14:textId="77777777" w:rsidR="00DD2707" w:rsidRDefault="00000000">
      <w:pPr>
        <w:numPr>
          <w:ilvl w:val="1"/>
          <w:numId w:val="2"/>
        </w:numPr>
        <w:rPr>
          <w:sz w:val="24"/>
          <w:szCs w:val="24"/>
        </w:rPr>
      </w:pPr>
      <w:r>
        <w:rPr>
          <w:sz w:val="24"/>
          <w:szCs w:val="24"/>
        </w:rPr>
        <w:lastRenderedPageBreak/>
        <w:t>Should these questions be addressed by ICANN org as part of implementation, e.g. in the policy guidance document recommended by PDP Recommendation 2?</w:t>
      </w:r>
    </w:p>
    <w:p w14:paraId="00000027" w14:textId="77777777" w:rsidR="00DD2707" w:rsidRDefault="00DD2707">
      <w:pPr>
        <w:ind w:left="720"/>
        <w:rPr>
          <w:sz w:val="24"/>
          <w:szCs w:val="24"/>
        </w:rPr>
      </w:pPr>
    </w:p>
    <w:p w14:paraId="00000028" w14:textId="77777777" w:rsidR="00DD2707" w:rsidRDefault="00000000">
      <w:pPr>
        <w:numPr>
          <w:ilvl w:val="0"/>
          <w:numId w:val="2"/>
        </w:numPr>
        <w:rPr>
          <w:sz w:val="24"/>
          <w:szCs w:val="24"/>
        </w:rPr>
      </w:pPr>
      <w:r>
        <w:rPr>
          <w:sz w:val="24"/>
          <w:szCs w:val="24"/>
        </w:rPr>
        <w:t>Recommendation 1 states that evidence of prior use of the identifier by an IGO complainant “shall not be a token use,” but provides no further clarification or guidance on how such use should be assessed by a panel/examiner, or examples of what token use might constitute. Can the IRT advise further on this point?</w:t>
      </w:r>
    </w:p>
    <w:p w14:paraId="00000029" w14:textId="77777777" w:rsidR="00DD2707" w:rsidRDefault="00DD2707">
      <w:pPr>
        <w:ind w:left="720"/>
        <w:rPr>
          <w:sz w:val="24"/>
          <w:szCs w:val="24"/>
        </w:rPr>
      </w:pPr>
    </w:p>
    <w:p w14:paraId="0000002A" w14:textId="77777777" w:rsidR="00DD2707" w:rsidRDefault="00000000">
      <w:pPr>
        <w:numPr>
          <w:ilvl w:val="0"/>
          <w:numId w:val="2"/>
        </w:numPr>
        <w:rPr>
          <w:sz w:val="24"/>
          <w:szCs w:val="24"/>
        </w:rPr>
      </w:pPr>
      <w:r>
        <w:rPr>
          <w:sz w:val="24"/>
          <w:szCs w:val="24"/>
        </w:rPr>
        <w:t>ICANN org believes that the existence of EPDP Recommendation 1 impacts the implementation of PDP Recommendation 2, given that compliance with Article 6ter of the Paris Convention could be regarded as falling under the broader conditions for standing noted in 1(ii). Does the IRT agree with this reading?</w:t>
      </w:r>
      <w:r>
        <w:rPr>
          <w:sz w:val="24"/>
          <w:szCs w:val="24"/>
        </w:rPr>
        <w:br/>
      </w:r>
      <w:r>
        <w:rPr>
          <w:sz w:val="24"/>
          <w:szCs w:val="24"/>
        </w:rPr>
        <w:br/>
      </w:r>
    </w:p>
    <w:p w14:paraId="0000002B" w14:textId="77777777" w:rsidR="00DD2707" w:rsidRDefault="00000000">
      <w:pPr>
        <w:rPr>
          <w:b/>
          <w:sz w:val="28"/>
          <w:szCs w:val="28"/>
        </w:rPr>
      </w:pPr>
      <w:r>
        <w:rPr>
          <w:b/>
          <w:sz w:val="28"/>
          <w:szCs w:val="28"/>
        </w:rPr>
        <w:t>Next Steps</w:t>
      </w:r>
    </w:p>
    <w:p w14:paraId="0000002C" w14:textId="77777777" w:rsidR="00DD2707" w:rsidRDefault="00000000">
      <w:pPr>
        <w:rPr>
          <w:sz w:val="24"/>
          <w:szCs w:val="24"/>
        </w:rPr>
      </w:pPr>
      <w:r>
        <w:rPr>
          <w:sz w:val="24"/>
          <w:szCs w:val="24"/>
        </w:rPr>
        <w:t>ICANN org requests the IRT to agree:</w:t>
      </w:r>
      <w:r>
        <w:rPr>
          <w:sz w:val="24"/>
          <w:szCs w:val="24"/>
        </w:rPr>
        <w:br/>
      </w:r>
      <w:r>
        <w:rPr>
          <w:sz w:val="24"/>
          <w:szCs w:val="24"/>
        </w:rPr>
        <w:br/>
        <w:t xml:space="preserve">1) The relevant updated sections of the UDRP and URS </w:t>
      </w:r>
      <w:proofErr w:type="gramStart"/>
      <w:r>
        <w:rPr>
          <w:sz w:val="24"/>
          <w:szCs w:val="24"/>
        </w:rPr>
        <w:t>Rules;</w:t>
      </w:r>
      <w:proofErr w:type="gramEnd"/>
    </w:p>
    <w:p w14:paraId="0000002D" w14:textId="77777777" w:rsidR="00DD2707" w:rsidRDefault="00000000">
      <w:r>
        <w:rPr>
          <w:sz w:val="24"/>
          <w:szCs w:val="24"/>
        </w:rPr>
        <w:t>2) The interpretation of EPDP Recommendation 1 included in the draft Policy Guidance Document.</w:t>
      </w:r>
    </w:p>
    <w:p w14:paraId="0000002E" w14:textId="77777777" w:rsidR="00DD2707" w:rsidRDefault="00DD2707"/>
    <w:p w14:paraId="0000002F" w14:textId="77777777" w:rsidR="00DD2707" w:rsidRDefault="00DD2707">
      <w:pPr>
        <w:rPr>
          <w:sz w:val="24"/>
          <w:szCs w:val="24"/>
        </w:rPr>
      </w:pPr>
    </w:p>
    <w:p w14:paraId="00000030" w14:textId="77777777" w:rsidR="00DD2707" w:rsidRDefault="00DD2707"/>
    <w:sectPr w:rsidR="00DD2707">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A99DB" w14:textId="77777777" w:rsidR="0003710E" w:rsidRDefault="0003710E">
      <w:pPr>
        <w:spacing w:line="240" w:lineRule="auto"/>
      </w:pPr>
      <w:r>
        <w:separator/>
      </w:r>
    </w:p>
  </w:endnote>
  <w:endnote w:type="continuationSeparator" w:id="0">
    <w:p w14:paraId="33789D0E" w14:textId="77777777" w:rsidR="0003710E" w:rsidRDefault="000371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89FA3" w14:textId="77777777" w:rsidR="0003710E" w:rsidRDefault="0003710E">
      <w:pPr>
        <w:spacing w:line="240" w:lineRule="auto"/>
      </w:pPr>
      <w:r>
        <w:separator/>
      </w:r>
    </w:p>
  </w:footnote>
  <w:footnote w:type="continuationSeparator" w:id="0">
    <w:p w14:paraId="61983AE9" w14:textId="77777777" w:rsidR="0003710E" w:rsidRDefault="000371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1" w14:textId="77777777" w:rsidR="00DD2707" w:rsidRDefault="00000000">
    <w:pPr>
      <w:jc w:val="center"/>
    </w:pPr>
    <w:r>
      <w:t>Draft</w:t>
    </w:r>
  </w:p>
  <w:p w14:paraId="00000032" w14:textId="77777777" w:rsidR="00DD2707" w:rsidRDefault="00000000">
    <w:pPr>
      <w:jc w:val="center"/>
    </w:pPr>
    <w:r>
      <w:t>Privileged and Confidential</w:t>
    </w:r>
  </w:p>
  <w:p w14:paraId="00000033" w14:textId="77777777" w:rsidR="00DD2707" w:rsidRDefault="00DD27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269A"/>
    <w:multiLevelType w:val="multilevel"/>
    <w:tmpl w:val="3B0C9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E426260"/>
    <w:multiLevelType w:val="multilevel"/>
    <w:tmpl w:val="972625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E323F5C"/>
    <w:multiLevelType w:val="multilevel"/>
    <w:tmpl w:val="EC0668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72182330">
    <w:abstractNumId w:val="1"/>
  </w:num>
  <w:num w:numId="2" w16cid:durableId="1992712940">
    <w:abstractNumId w:val="0"/>
  </w:num>
  <w:num w:numId="3" w16cid:durableId="136799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707"/>
    <w:rsid w:val="0003710E"/>
    <w:rsid w:val="00A60386"/>
    <w:rsid w:val="00DD2707"/>
    <w:rsid w:val="00E81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1A2A2D53-AA2E-2741-AD70-A53AB36AE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695</Words>
  <Characters>3963</Characters>
  <Application>Microsoft Office Word</Application>
  <DocSecurity>0</DocSecurity>
  <Lines>33</Lines>
  <Paragraphs>9</Paragraphs>
  <ScaleCrop>false</ScaleCrop>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Renate De Wulf</cp:lastModifiedBy>
  <cp:revision>2</cp:revision>
  <dcterms:created xsi:type="dcterms:W3CDTF">2025-05-13T09:59:00Z</dcterms:created>
  <dcterms:modified xsi:type="dcterms:W3CDTF">2025-05-13T09:59:00Z</dcterms:modified>
</cp:coreProperties>
</file>