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E64EC" w:rsidRDefault="00000000">
      <w:pPr>
        <w:pStyle w:val="Title"/>
      </w:pPr>
      <w:bookmarkStart w:id="0" w:name="_c7fd251uhurn" w:colFirst="0" w:colLast="0"/>
      <w:bookmarkEnd w:id="0"/>
      <w:r>
        <w:rPr>
          <w:sz w:val="36"/>
          <w:szCs w:val="36"/>
        </w:rPr>
        <w:t>Draft Implementation Approach: IGO-INGO Curative Rights PDP Recommendation 3</w:t>
      </w:r>
    </w:p>
    <w:p w14:paraId="00000002" w14:textId="77777777" w:rsidR="006E64EC" w:rsidRDefault="00000000">
      <w:pPr>
        <w:pStyle w:val="Heading2"/>
        <w:rPr>
          <w:b/>
          <w:sz w:val="28"/>
          <w:szCs w:val="28"/>
        </w:rPr>
      </w:pPr>
      <w:bookmarkStart w:id="1" w:name="_bztfawpv27qy" w:colFirst="0" w:colLast="0"/>
      <w:bookmarkEnd w:id="1"/>
      <w:r>
        <w:rPr>
          <w:b/>
          <w:sz w:val="28"/>
          <w:szCs w:val="28"/>
        </w:rPr>
        <w:t>ICANN org Proposed Implementation Approach</w:t>
      </w:r>
    </w:p>
    <w:p w14:paraId="00000003" w14:textId="77777777" w:rsidR="006E64EC" w:rsidRDefault="006E64EC"/>
    <w:p w14:paraId="00000004" w14:textId="77777777" w:rsidR="006E64EC" w:rsidRDefault="00000000">
      <w:pPr>
        <w:rPr>
          <w:sz w:val="24"/>
          <w:szCs w:val="24"/>
        </w:rPr>
      </w:pPr>
      <w:r>
        <w:rPr>
          <w:sz w:val="24"/>
          <w:szCs w:val="24"/>
        </w:rPr>
        <w:t>PDP Recommendation 3 (set out below) stipulates that ICANN publish policy guidance on the various procedural filing options for UDRP and URS complaints available to IGOs, including the possibility to have a complaint filed on their behalf by an assignee, agent or licensee. PDP Recommendation 3 also stipulates that the policy guidance should also advise IGOs and INGOs to contact the registrar to attempt dispute resolution prior to filing a UDRP or URS complaint, and that the policy guidance should be circulated to the GAC for information and published along with the updated UDRP and URS procedures and rules.</w:t>
      </w:r>
      <w:r>
        <w:rPr>
          <w:sz w:val="24"/>
          <w:szCs w:val="24"/>
        </w:rPr>
        <w:br/>
      </w:r>
    </w:p>
    <w:p w14:paraId="00000005" w14:textId="77777777" w:rsidR="006E64EC" w:rsidRDefault="00000000">
      <w:pPr>
        <w:rPr>
          <w:sz w:val="24"/>
          <w:szCs w:val="24"/>
        </w:rPr>
      </w:pPr>
      <w:r>
        <w:rPr>
          <w:sz w:val="24"/>
          <w:szCs w:val="24"/>
        </w:rPr>
        <w:t>ICANN org notes that PDP Recommendation 2 also requests that ICANN publish policy guidance on related issues to IGO and INGO use of the UDRP and URS.</w:t>
      </w:r>
    </w:p>
    <w:p w14:paraId="00000006" w14:textId="77777777" w:rsidR="006E64EC" w:rsidRDefault="00000000">
      <w:pPr>
        <w:rPr>
          <w:sz w:val="24"/>
          <w:szCs w:val="24"/>
        </w:rPr>
      </w:pPr>
      <w:r>
        <w:rPr>
          <w:sz w:val="24"/>
          <w:szCs w:val="24"/>
        </w:rPr>
        <w:t>Accordingly, ICANN will issue a single policy guidance document containing the information noted in PDP Recommendation 3.. This document will be circulated to the GAC prior to publication. The recommended policy guidance is not Consensus Policy and imposes no requirements on UDRP/URS claimants, panelists, or contracted parties.</w:t>
      </w:r>
      <w:r>
        <w:rPr>
          <w:sz w:val="24"/>
          <w:szCs w:val="24"/>
        </w:rPr>
        <w:br/>
      </w:r>
    </w:p>
    <w:p w14:paraId="00000007" w14:textId="77777777" w:rsidR="006E64EC" w:rsidRDefault="00000000">
      <w:pPr>
        <w:rPr>
          <w:b/>
          <w:sz w:val="28"/>
          <w:szCs w:val="28"/>
        </w:rPr>
      </w:pPr>
      <w:r>
        <w:rPr>
          <w:b/>
          <w:sz w:val="28"/>
          <w:szCs w:val="28"/>
        </w:rPr>
        <w:t>Recommendation Text</w:t>
      </w:r>
    </w:p>
    <w:p w14:paraId="00000008" w14:textId="77777777" w:rsidR="006E64EC" w:rsidRDefault="006E64EC">
      <w:pPr>
        <w:rPr>
          <w:sz w:val="24"/>
          <w:szCs w:val="24"/>
        </w:rPr>
      </w:pPr>
    </w:p>
    <w:p w14:paraId="00000009" w14:textId="77777777" w:rsidR="006E64EC" w:rsidRDefault="00000000">
      <w:pPr>
        <w:rPr>
          <w:sz w:val="24"/>
          <w:szCs w:val="24"/>
        </w:rPr>
      </w:pPr>
      <w:r>
        <w:rPr>
          <w:b/>
          <w:sz w:val="24"/>
          <w:szCs w:val="24"/>
        </w:rPr>
        <w:t>3</w:t>
      </w:r>
      <w:r>
        <w:rPr>
          <w:sz w:val="24"/>
          <w:szCs w:val="24"/>
        </w:rPr>
        <w:t>. ICANN shall create and issue Policy Guidance: (a) outlining the various procedural filing options available to IGOs, e.g. they have the ability to elect to have a complaint filed under the UDRP and/or URS on their behalf by an assignee, agent or licensee; and (b) advising IGOs and INGOs to, in the first instance and prior to filing a UDRP or URS complaint, contact the registrar of record to address the harms for which they are seeking redress. In addition, ICANN shall ensure that this Policy Guidance document is brought to the notice of the Governmental Advisory Committee (GAC) for its and its members’ and observers’ information, and published along with the procedures and rules applicable to the UDRP and URS on the ICANN website.</w:t>
      </w:r>
    </w:p>
    <w:p w14:paraId="0000000A" w14:textId="77777777" w:rsidR="006E64EC" w:rsidRDefault="006E64EC">
      <w:pPr>
        <w:rPr>
          <w:sz w:val="24"/>
          <w:szCs w:val="24"/>
        </w:rPr>
      </w:pPr>
    </w:p>
    <w:p w14:paraId="0000000B" w14:textId="77777777" w:rsidR="006E64EC" w:rsidRDefault="00000000">
      <w:pPr>
        <w:rPr>
          <w:sz w:val="24"/>
          <w:szCs w:val="24"/>
        </w:rPr>
      </w:pPr>
      <w:r>
        <w:rPr>
          <w:b/>
          <w:sz w:val="24"/>
          <w:szCs w:val="24"/>
        </w:rPr>
        <w:t>Consensus Level</w:t>
      </w:r>
      <w:r>
        <w:rPr>
          <w:sz w:val="24"/>
          <w:szCs w:val="24"/>
        </w:rPr>
        <w:t>: Consensus</w:t>
      </w:r>
    </w:p>
    <w:p w14:paraId="0000000C" w14:textId="77777777" w:rsidR="006E64EC" w:rsidRDefault="006E64EC">
      <w:pPr>
        <w:pStyle w:val="Heading2"/>
        <w:rPr>
          <w:b/>
          <w:sz w:val="28"/>
          <w:szCs w:val="28"/>
        </w:rPr>
      </w:pPr>
      <w:bookmarkStart w:id="2" w:name="_z1jary7haczp" w:colFirst="0" w:colLast="0"/>
      <w:bookmarkEnd w:id="2"/>
    </w:p>
    <w:p w14:paraId="0000000D" w14:textId="77777777" w:rsidR="006E64EC" w:rsidRDefault="00000000">
      <w:pPr>
        <w:pStyle w:val="Heading2"/>
        <w:rPr>
          <w:b/>
          <w:sz w:val="28"/>
          <w:szCs w:val="28"/>
        </w:rPr>
      </w:pPr>
      <w:bookmarkStart w:id="3" w:name="_9861f5n3vr44" w:colFirst="0" w:colLast="0"/>
      <w:bookmarkEnd w:id="3"/>
      <w:r>
        <w:rPr>
          <w:b/>
          <w:sz w:val="28"/>
          <w:szCs w:val="28"/>
        </w:rPr>
        <w:t>Policy Context</w:t>
      </w:r>
    </w:p>
    <w:p w14:paraId="0000000E" w14:textId="77777777" w:rsidR="006E64EC" w:rsidRDefault="006E64EC">
      <w:pPr>
        <w:rPr>
          <w:sz w:val="24"/>
          <w:szCs w:val="24"/>
        </w:rPr>
      </w:pPr>
    </w:p>
    <w:p w14:paraId="0000000F" w14:textId="77777777" w:rsidR="006E64EC" w:rsidRDefault="00000000">
      <w:pPr>
        <w:numPr>
          <w:ilvl w:val="0"/>
          <w:numId w:val="1"/>
        </w:numPr>
        <w:rPr>
          <w:sz w:val="24"/>
          <w:szCs w:val="24"/>
        </w:rPr>
      </w:pPr>
      <w:r>
        <w:rPr>
          <w:sz w:val="24"/>
          <w:szCs w:val="24"/>
        </w:rPr>
        <w:t xml:space="preserve">Following the modification of the Working Group’s (WG’s) Preliminary Recommendation 2, the text of Recommendation 4 in the </w:t>
      </w:r>
      <w:hyperlink r:id="rId7">
        <w:r>
          <w:rPr>
            <w:color w:val="1155CC"/>
            <w:sz w:val="24"/>
            <w:szCs w:val="24"/>
            <w:u w:val="single"/>
          </w:rPr>
          <w:t>Initial Report</w:t>
        </w:r>
      </w:hyperlink>
      <w:r>
        <w:rPr>
          <w:sz w:val="24"/>
          <w:szCs w:val="24"/>
        </w:rPr>
        <w:t xml:space="preserve"> - which requested that guidance on filing options be issued as part of a broader recommendation concerned with the issue of mutual jurisdiction - was modified to become PDP Recommendation 3 in the Final Report.</w:t>
      </w:r>
      <w:r>
        <w:rPr>
          <w:sz w:val="24"/>
          <w:szCs w:val="24"/>
        </w:rPr>
        <w:br/>
      </w:r>
    </w:p>
    <w:p w14:paraId="00000010" w14:textId="77777777" w:rsidR="006E64EC" w:rsidRDefault="00000000">
      <w:pPr>
        <w:numPr>
          <w:ilvl w:val="0"/>
          <w:numId w:val="1"/>
        </w:numPr>
        <w:rPr>
          <w:sz w:val="24"/>
          <w:szCs w:val="24"/>
        </w:rPr>
      </w:pPr>
      <w:r>
        <w:rPr>
          <w:sz w:val="24"/>
          <w:szCs w:val="24"/>
        </w:rPr>
        <w:t>The WG wished to highlight various procedural filing options available to IGOs under the current UDRP and URS. The WG considered that an IGO’s ability to elect alternative procedural filing mechanisms would alleviate the challenge presented by the UDRP and URS requirement for a complainant to agree to mutual jurisdiction, thereby potentially preserving the IGO’s ability to claim immunity in any subsequent judicial proceedings.</w:t>
      </w:r>
    </w:p>
    <w:p w14:paraId="00000011" w14:textId="77777777" w:rsidR="006E64EC" w:rsidRDefault="006E64EC">
      <w:pPr>
        <w:ind w:left="720"/>
        <w:rPr>
          <w:sz w:val="24"/>
          <w:szCs w:val="24"/>
        </w:rPr>
      </w:pPr>
    </w:p>
    <w:p w14:paraId="00000012" w14:textId="77777777" w:rsidR="006E64EC" w:rsidRDefault="00000000">
      <w:pPr>
        <w:rPr>
          <w:b/>
          <w:sz w:val="28"/>
          <w:szCs w:val="28"/>
        </w:rPr>
      </w:pPr>
      <w:r>
        <w:rPr>
          <w:b/>
          <w:sz w:val="28"/>
          <w:szCs w:val="28"/>
        </w:rPr>
        <w:t>Implementation Considerations</w:t>
      </w:r>
    </w:p>
    <w:p w14:paraId="00000013" w14:textId="77777777" w:rsidR="006E64EC" w:rsidRDefault="006E64EC">
      <w:pPr>
        <w:ind w:left="720"/>
        <w:rPr>
          <w:b/>
          <w:sz w:val="28"/>
          <w:szCs w:val="28"/>
        </w:rPr>
      </w:pPr>
    </w:p>
    <w:p w14:paraId="00000014" w14:textId="77777777" w:rsidR="006E64EC" w:rsidRDefault="00000000">
      <w:pPr>
        <w:numPr>
          <w:ilvl w:val="0"/>
          <w:numId w:val="2"/>
        </w:numPr>
        <w:rPr>
          <w:sz w:val="24"/>
          <w:szCs w:val="24"/>
        </w:rPr>
      </w:pPr>
      <w:r>
        <w:rPr>
          <w:sz w:val="24"/>
          <w:szCs w:val="24"/>
        </w:rPr>
        <w:t>PDP Recommendation 3 requests that ICANN address filing options for IGOs, but also stipulates that ICANN should provide guidance to both IGO and</w:t>
      </w:r>
      <w:r>
        <w:rPr>
          <w:i/>
          <w:sz w:val="24"/>
          <w:szCs w:val="24"/>
        </w:rPr>
        <w:t xml:space="preserve"> </w:t>
      </w:r>
      <w:r>
        <w:rPr>
          <w:sz w:val="24"/>
          <w:szCs w:val="24"/>
        </w:rPr>
        <w:t>INGO complainants on resolving disputes before filing a UDRP or URS complaint.  Accordingly, ICANN org has framed the policy guidance as applicable to both types of complainants.</w:t>
      </w:r>
    </w:p>
    <w:p w14:paraId="00000015" w14:textId="77777777" w:rsidR="006E64EC" w:rsidRDefault="006E64EC">
      <w:pPr>
        <w:ind w:left="720"/>
        <w:rPr>
          <w:sz w:val="24"/>
          <w:szCs w:val="24"/>
        </w:rPr>
      </w:pPr>
    </w:p>
    <w:p w14:paraId="00000016" w14:textId="77777777" w:rsidR="006E64EC" w:rsidRDefault="00000000">
      <w:pPr>
        <w:numPr>
          <w:ilvl w:val="0"/>
          <w:numId w:val="2"/>
        </w:numPr>
        <w:rPr>
          <w:sz w:val="24"/>
          <w:szCs w:val="24"/>
        </w:rPr>
      </w:pPr>
      <w:r>
        <w:rPr>
          <w:sz w:val="24"/>
          <w:szCs w:val="24"/>
        </w:rPr>
        <w:t xml:space="preserve">The ability to file via a licensee, agent or assignee is not explicitly mentioned in the UDRP or URS Rules. However, PDP Recommendation 3 reflects the WG’s conclusion that complaints have been accepted previously on the basis of such arrangements and noted as a valid filing option in accompanying guidance by certain dispute resolution providers (DRPs). ICANN org has therefore included this possibility in the policy guidance. </w:t>
      </w:r>
    </w:p>
    <w:p w14:paraId="00000017" w14:textId="77777777" w:rsidR="006E64EC" w:rsidRDefault="006E64EC">
      <w:pPr>
        <w:ind w:left="720"/>
        <w:rPr>
          <w:sz w:val="24"/>
          <w:szCs w:val="24"/>
        </w:rPr>
      </w:pPr>
    </w:p>
    <w:p w14:paraId="00000018" w14:textId="77777777" w:rsidR="006E64EC" w:rsidRDefault="00000000">
      <w:pPr>
        <w:numPr>
          <w:ilvl w:val="0"/>
          <w:numId w:val="2"/>
        </w:numPr>
        <w:rPr>
          <w:sz w:val="24"/>
          <w:szCs w:val="24"/>
        </w:rPr>
      </w:pPr>
      <w:r>
        <w:rPr>
          <w:sz w:val="24"/>
          <w:szCs w:val="24"/>
        </w:rPr>
        <w:t xml:space="preserve">The WG obtained advice from an international legal expert on the question of IGO jurisdictional immunity in the context of the requirement to submit to mutual jurisdiction. In this regard, ICANN org has drafted policy guidance in response to PDP Recommendation 3, to provide prospective IGO complainants with information on some procedural filing options that may be available to them when  making the choice they believe is most appropriate to their circumstances. </w:t>
      </w:r>
    </w:p>
    <w:p w14:paraId="00000019" w14:textId="77777777" w:rsidR="006E64EC" w:rsidRDefault="00000000">
      <w:pPr>
        <w:numPr>
          <w:ilvl w:val="0"/>
          <w:numId w:val="2"/>
        </w:numPr>
        <w:rPr>
          <w:sz w:val="24"/>
          <w:szCs w:val="24"/>
        </w:rPr>
      </w:pPr>
      <w:r>
        <w:rPr>
          <w:sz w:val="24"/>
          <w:szCs w:val="24"/>
        </w:rPr>
        <w:lastRenderedPageBreak/>
        <w:t xml:space="preserve">ICANN org has made clear in the draft policy guidance that the document does not constitute legal advice, and that IGOs and INGOs that wish to initiate UDRP and URS proceedings should consult their own legal counsel for advice specific to their unique circumstances. </w:t>
      </w:r>
    </w:p>
    <w:p w14:paraId="0000001A" w14:textId="77777777" w:rsidR="006E64EC" w:rsidRDefault="006E64EC">
      <w:pPr>
        <w:rPr>
          <w:sz w:val="24"/>
          <w:szCs w:val="24"/>
        </w:rPr>
      </w:pPr>
    </w:p>
    <w:p w14:paraId="0000001B" w14:textId="77777777" w:rsidR="006E64EC" w:rsidRDefault="00000000">
      <w:pPr>
        <w:rPr>
          <w:b/>
          <w:sz w:val="28"/>
          <w:szCs w:val="28"/>
        </w:rPr>
      </w:pPr>
      <w:r>
        <w:rPr>
          <w:b/>
          <w:sz w:val="28"/>
          <w:szCs w:val="28"/>
        </w:rPr>
        <w:t>Next Steps</w:t>
      </w:r>
    </w:p>
    <w:p w14:paraId="0000001C" w14:textId="77777777" w:rsidR="006E64EC" w:rsidRDefault="00000000">
      <w:pPr>
        <w:rPr>
          <w:sz w:val="24"/>
          <w:szCs w:val="24"/>
        </w:rPr>
      </w:pPr>
      <w:r>
        <w:rPr>
          <w:sz w:val="24"/>
          <w:szCs w:val="24"/>
        </w:rPr>
        <w:t>ICANN org requests the IRT to:</w:t>
      </w:r>
      <w:r>
        <w:rPr>
          <w:sz w:val="24"/>
          <w:szCs w:val="24"/>
        </w:rPr>
        <w:br/>
      </w:r>
      <w:r>
        <w:rPr>
          <w:sz w:val="24"/>
          <w:szCs w:val="24"/>
        </w:rPr>
        <w:br/>
        <w:t>1) Review the draft Policy Guidance sections relating to PDP Recommendation 3;</w:t>
      </w:r>
    </w:p>
    <w:p w14:paraId="0000001D" w14:textId="77777777" w:rsidR="006E64EC" w:rsidRDefault="00000000">
      <w:pPr>
        <w:rPr>
          <w:sz w:val="24"/>
          <w:szCs w:val="24"/>
        </w:rPr>
      </w:pPr>
      <w:r>
        <w:rPr>
          <w:sz w:val="24"/>
          <w:szCs w:val="24"/>
        </w:rPr>
        <w:t>2) Review the Implementation Considerations noted above.</w:t>
      </w:r>
    </w:p>
    <w:p w14:paraId="0000001E" w14:textId="77777777" w:rsidR="006E64EC" w:rsidRDefault="006E64EC">
      <w:pPr>
        <w:pStyle w:val="Title"/>
      </w:pPr>
      <w:bookmarkStart w:id="4" w:name="_nmfm36knh6jh" w:colFirst="0" w:colLast="0"/>
      <w:bookmarkEnd w:id="4"/>
    </w:p>
    <w:p w14:paraId="0000001F" w14:textId="77777777" w:rsidR="006E64EC" w:rsidRDefault="006E64EC"/>
    <w:p w14:paraId="00000020" w14:textId="77777777" w:rsidR="006E64EC" w:rsidRDefault="006E64EC">
      <w:pPr>
        <w:rPr>
          <w:sz w:val="24"/>
          <w:szCs w:val="24"/>
        </w:rPr>
      </w:pPr>
    </w:p>
    <w:p w14:paraId="00000021" w14:textId="77777777" w:rsidR="006E64EC" w:rsidRDefault="006E64EC"/>
    <w:sectPr w:rsidR="006E64EC">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E3B6" w14:textId="77777777" w:rsidR="009B6A61" w:rsidRDefault="009B6A61">
      <w:pPr>
        <w:spacing w:line="240" w:lineRule="auto"/>
      </w:pPr>
      <w:r>
        <w:separator/>
      </w:r>
    </w:p>
  </w:endnote>
  <w:endnote w:type="continuationSeparator" w:id="0">
    <w:p w14:paraId="3A99F93A" w14:textId="77777777" w:rsidR="009B6A61" w:rsidRDefault="009B6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D7E7" w14:textId="77777777" w:rsidR="009B6A61" w:rsidRDefault="009B6A61">
      <w:pPr>
        <w:spacing w:line="240" w:lineRule="auto"/>
      </w:pPr>
      <w:r>
        <w:separator/>
      </w:r>
    </w:p>
  </w:footnote>
  <w:footnote w:type="continuationSeparator" w:id="0">
    <w:p w14:paraId="2A8D71C5" w14:textId="77777777" w:rsidR="009B6A61" w:rsidRDefault="009B6A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77777777" w:rsidR="006E64EC" w:rsidRDefault="00000000">
    <w:pPr>
      <w:jc w:val="center"/>
    </w:pPr>
    <w:r>
      <w:t>Draft</w:t>
    </w:r>
  </w:p>
  <w:p w14:paraId="00000023" w14:textId="77777777" w:rsidR="006E64EC" w:rsidRDefault="00000000">
    <w:pPr>
      <w:jc w:val="center"/>
    </w:pPr>
    <w:r>
      <w:t>Privileged and Confidential</w:t>
    </w:r>
  </w:p>
  <w:p w14:paraId="00000024" w14:textId="77777777" w:rsidR="006E64EC" w:rsidRDefault="006E64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343"/>
    <w:multiLevelType w:val="multilevel"/>
    <w:tmpl w:val="5D0E5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B754E1"/>
    <w:multiLevelType w:val="multilevel"/>
    <w:tmpl w:val="168A0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528618">
    <w:abstractNumId w:val="0"/>
  </w:num>
  <w:num w:numId="2" w16cid:durableId="1972395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EC"/>
    <w:rsid w:val="005A0033"/>
    <w:rsid w:val="006E64EC"/>
    <w:rsid w:val="009B6A61"/>
    <w:rsid w:val="00E8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1A2A2D53-AA2E-2741-AD70-A53AB36A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nso.icann.org/sites/default/files/file/field-file-attach/igo-ingo-crp-access-initial-19jan17-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Renate De Wulf</cp:lastModifiedBy>
  <cp:revision>2</cp:revision>
  <dcterms:created xsi:type="dcterms:W3CDTF">2025-05-13T10:00:00Z</dcterms:created>
  <dcterms:modified xsi:type="dcterms:W3CDTF">2025-05-13T10:00:00Z</dcterms:modified>
</cp:coreProperties>
</file>