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sz w:val="24"/>
          <w:szCs w:val="24"/>
          <w:u w:val="single"/>
        </w:rPr>
      </w:pPr>
      <w:bookmarkStart w:colFirst="0" w:colLast="0" w:name="_3cycbzm21d7v" w:id="0"/>
      <w:bookmarkEnd w:id="0"/>
      <w:r w:rsidDel="00000000" w:rsidR="00000000" w:rsidRPr="00000000">
        <w:rPr>
          <w:b w:val="1"/>
          <w:sz w:val="24"/>
          <w:szCs w:val="24"/>
          <w:u w:val="single"/>
          <w:rtl w:val="0"/>
        </w:rPr>
        <w:t xml:space="preserve">Draft IGO/INGO “ICANN Policy Guidance”</w:t>
      </w:r>
    </w:p>
    <w:p w:rsidR="00000000" w:rsidDel="00000000" w:rsidP="00000000" w:rsidRDefault="00000000" w:rsidRPr="00000000" w14:paraId="00000002">
      <w:pPr>
        <w:pStyle w:val="Title"/>
        <w:rPr>
          <w:sz w:val="32"/>
          <w:szCs w:val="32"/>
        </w:rPr>
      </w:pPr>
      <w:bookmarkStart w:colFirst="0" w:colLast="0" w:name="_z0y20yu5cclr" w:id="1"/>
      <w:bookmarkEnd w:id="1"/>
      <w:r w:rsidDel="00000000" w:rsidR="00000000" w:rsidRPr="00000000">
        <w:rPr>
          <w:rtl w:val="0"/>
        </w:rPr>
      </w:r>
    </w:p>
    <w:p w:rsidR="00000000" w:rsidDel="00000000" w:rsidP="00000000" w:rsidRDefault="00000000" w:rsidRPr="00000000" w14:paraId="00000003">
      <w:pPr>
        <w:pStyle w:val="Title"/>
        <w:rPr>
          <w:b w:val="1"/>
          <w:sz w:val="26"/>
          <w:szCs w:val="26"/>
        </w:rPr>
      </w:pPr>
      <w:bookmarkStart w:colFirst="0" w:colLast="0" w:name="_5bfkh3zhvo5u" w:id="2"/>
      <w:bookmarkEnd w:id="2"/>
      <w:r w:rsidDel="00000000" w:rsidR="00000000" w:rsidRPr="00000000">
        <w:rPr>
          <w:b w:val="1"/>
          <w:sz w:val="26"/>
          <w:szCs w:val="26"/>
          <w:rtl w:val="0"/>
        </w:rPr>
        <w:t xml:space="preserve">ICANN POLICY GUIDANCE ON IGO and INGO USAGE OF UDRP AND URS</w:t>
      </w:r>
    </w:p>
    <w:p w:rsidR="00000000" w:rsidDel="00000000" w:rsidP="00000000" w:rsidRDefault="00000000" w:rsidRPr="00000000" w14:paraId="00000004">
      <w:pPr>
        <w:rPr>
          <w:highlight w:val="yellow"/>
        </w:rPr>
      </w:pPr>
      <w:r w:rsidDel="00000000" w:rsidR="00000000" w:rsidRPr="00000000">
        <w:rPr>
          <w:rtl w:val="0"/>
        </w:rPr>
        <w:t xml:space="preserve">[insert publication date here]</w:t>
      </w:r>
      <w:r w:rsidDel="00000000" w:rsidR="00000000" w:rsidRPr="00000000">
        <w:rPr>
          <w:rtl w:val="0"/>
        </w:rPr>
      </w:r>
    </w:p>
    <w:p w:rsidR="00000000" w:rsidDel="00000000" w:rsidP="00000000" w:rsidRDefault="00000000" w:rsidRPr="00000000" w14:paraId="00000005">
      <w:pPr>
        <w:rPr>
          <w:b w:val="1"/>
          <w:sz w:val="24"/>
          <w:szCs w:val="24"/>
          <w:highlight w:val="yellow"/>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Background</w:t>
      </w:r>
      <w:r w:rsidDel="00000000" w:rsidR="00000000" w:rsidRPr="00000000">
        <w:rPr>
          <w:sz w:val="24"/>
          <w:szCs w:val="24"/>
          <w:rtl w:val="0"/>
        </w:rPr>
        <w:t xml:space="preserv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The Uniform Domain Name Dispute Resolution Policy (UDRP) and the Uniform Rapid Suspension System (URS) are administrative proceedings for trademark holders to use to resolve disputes involving gTLDs (and in the case of the UDRP, a number of ccTLDs). ICANN is not involved in UDRP and URS proceedings. These proceedings are initiated</w:t>
      </w:r>
      <w:r w:rsidDel="00000000" w:rsidR="00000000" w:rsidRPr="00000000">
        <w:rPr>
          <w:sz w:val="24"/>
          <w:szCs w:val="24"/>
          <w:rtl w:val="0"/>
        </w:rPr>
        <w:t xml:space="preserve"> by submitting a complaint</w:t>
      </w:r>
      <w:r w:rsidDel="00000000" w:rsidR="00000000" w:rsidRPr="00000000">
        <w:rPr>
          <w:sz w:val="24"/>
          <w:szCs w:val="24"/>
          <w:rtl w:val="0"/>
        </w:rPr>
        <w:t xml:space="preserve"> against a domain name registrant to an ICANN-approved Dispute Resolution Service Provider (see the following links for a list of ICANN-approved providers for the </w:t>
      </w:r>
      <w:hyperlink r:id="rId7">
        <w:r w:rsidDel="00000000" w:rsidR="00000000" w:rsidRPr="00000000">
          <w:rPr>
            <w:color w:val="1155cc"/>
            <w:sz w:val="24"/>
            <w:szCs w:val="24"/>
            <w:u w:val="single"/>
            <w:rtl w:val="0"/>
          </w:rPr>
          <w:t xml:space="preserve">UDRP</w:t>
        </w:r>
      </w:hyperlink>
      <w:r w:rsidDel="00000000" w:rsidR="00000000" w:rsidRPr="00000000">
        <w:rPr>
          <w:sz w:val="24"/>
          <w:szCs w:val="24"/>
          <w:rtl w:val="0"/>
        </w:rPr>
        <w:t xml:space="preserve"> and </w:t>
      </w:r>
      <w:hyperlink r:id="rId8">
        <w:r w:rsidDel="00000000" w:rsidR="00000000" w:rsidRPr="00000000">
          <w:rPr>
            <w:color w:val="1155cc"/>
            <w:sz w:val="24"/>
            <w:szCs w:val="24"/>
            <w:u w:val="single"/>
            <w:rtl w:val="0"/>
          </w:rPr>
          <w:t xml:space="preserve">URS</w:t>
        </w:r>
      </w:hyperlink>
      <w:r w:rsidDel="00000000" w:rsidR="00000000" w:rsidRPr="00000000">
        <w:rPr>
          <w:sz w:val="24"/>
          <w:szCs w:val="24"/>
          <w:rtl w:val="0"/>
        </w:rPr>
        <w:t xml:space="preserve">). The UDRP and URS offer faster and more cost-effective alternatives to formal court proceedings. Full details of the UDRP and URS Rules and procedures are available at: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4"/>
        </w:numPr>
        <w:ind w:left="720" w:hanging="360"/>
        <w:rPr>
          <w:sz w:val="24"/>
          <w:szCs w:val="24"/>
        </w:rPr>
      </w:pPr>
      <w:hyperlink r:id="rId9">
        <w:r w:rsidDel="00000000" w:rsidR="00000000" w:rsidRPr="00000000">
          <w:rPr>
            <w:color w:val="1155cc"/>
            <w:sz w:val="24"/>
            <w:szCs w:val="24"/>
            <w:u w:val="single"/>
            <w:rtl w:val="0"/>
          </w:rPr>
          <w:t xml:space="preserve">Uniform Domain-Name Dispute-Resolution Policy (UDRP)</w:t>
        </w:r>
      </w:hyperlink>
      <w:r w:rsidDel="00000000" w:rsidR="00000000" w:rsidRPr="00000000">
        <w:rPr>
          <w:rtl w:val="0"/>
        </w:rPr>
      </w:r>
    </w:p>
    <w:p w:rsidR="00000000" w:rsidDel="00000000" w:rsidP="00000000" w:rsidRDefault="00000000" w:rsidRPr="00000000" w14:paraId="0000000B">
      <w:pPr>
        <w:numPr>
          <w:ilvl w:val="0"/>
          <w:numId w:val="4"/>
        </w:numPr>
        <w:ind w:left="720" w:hanging="360"/>
        <w:rPr>
          <w:sz w:val="24"/>
          <w:szCs w:val="24"/>
        </w:rPr>
      </w:pPr>
      <w:hyperlink r:id="rId10">
        <w:r w:rsidDel="00000000" w:rsidR="00000000" w:rsidRPr="00000000">
          <w:rPr>
            <w:color w:val="1155cc"/>
            <w:sz w:val="24"/>
            <w:szCs w:val="24"/>
            <w:u w:val="single"/>
            <w:rtl w:val="0"/>
          </w:rPr>
          <w:t xml:space="preserve">Uniform Rapid Suspension (URS)</w:t>
        </w:r>
      </w:hyperlink>
      <w:r w:rsidDel="00000000" w:rsidR="00000000" w:rsidRPr="00000000">
        <w:rPr>
          <w:sz w:val="24"/>
          <w:szCs w:val="24"/>
          <w:rtl w:val="0"/>
        </w:rPr>
        <w:t xml:space="preserv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ICANN Generic Names Supporting Organization (GNSO) developed</w:t>
      </w:r>
      <w:r w:rsidDel="00000000" w:rsidR="00000000" w:rsidRPr="00000000">
        <w:rPr>
          <w:sz w:val="24"/>
          <w:szCs w:val="24"/>
          <w:rtl w:val="0"/>
        </w:rPr>
        <w:t xml:space="preserve"> two sets of consensus policy recommendations</w:t>
      </w:r>
      <w:r w:rsidDel="00000000" w:rsidR="00000000" w:rsidRPr="00000000">
        <w:rPr>
          <w:sz w:val="24"/>
          <w:szCs w:val="24"/>
          <w:rtl w:val="0"/>
        </w:rPr>
        <w:t xml:space="preserve"> related to the use of the UDRP and URS by International Governmental Organizations (IGOs) and International Non-Governmental Organizations (INGOs):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color w:val="1155cc"/>
          <w:sz w:val="24"/>
          <w:szCs w:val="24"/>
          <w:u w:val="single"/>
          <w:rtl w:val="0"/>
        </w:rPr>
        <w:t xml:space="preserve">The </w:t>
      </w:r>
      <w:hyperlink r:id="rId11">
        <w:r w:rsidDel="00000000" w:rsidR="00000000" w:rsidRPr="00000000">
          <w:rPr>
            <w:color w:val="1155cc"/>
            <w:sz w:val="24"/>
            <w:szCs w:val="24"/>
            <w:u w:val="single"/>
            <w:rtl w:val="0"/>
          </w:rPr>
          <w:t xml:space="preserve">IGO-INGO Access to Curative Rights Protection Mechanisms PDP</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color w:val="1155cc"/>
          <w:sz w:val="24"/>
          <w:szCs w:val="24"/>
          <w:u w:val="single"/>
          <w:rtl w:val="0"/>
        </w:rPr>
        <w:t xml:space="preserve">The </w:t>
      </w:r>
      <w:hyperlink r:id="rId12">
        <w:r w:rsidDel="00000000" w:rsidR="00000000" w:rsidRPr="00000000">
          <w:rPr>
            <w:color w:val="1155cc"/>
            <w:sz w:val="24"/>
            <w:szCs w:val="24"/>
            <w:u w:val="single"/>
            <w:rtl w:val="0"/>
          </w:rPr>
          <w:t xml:space="preserve">EPDP on Specific Curative Rights Protections for IGOs.</w:t>
        </w:r>
      </w:hyperlink>
      <w:r w:rsidDel="00000000" w:rsidR="00000000" w:rsidRPr="00000000">
        <w:rPr>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The ICANN Board </w:t>
      </w:r>
      <w:hyperlink r:id="rId13">
        <w:r w:rsidDel="00000000" w:rsidR="00000000" w:rsidRPr="00000000">
          <w:rPr>
            <w:color w:val="1155cc"/>
            <w:sz w:val="24"/>
            <w:szCs w:val="24"/>
            <w:u w:val="single"/>
            <w:rtl w:val="0"/>
          </w:rPr>
          <w:t xml:space="preserve">adopted and directed</w:t>
        </w:r>
      </w:hyperlink>
      <w:r w:rsidDel="00000000" w:rsidR="00000000" w:rsidRPr="00000000">
        <w:rPr>
          <w:sz w:val="24"/>
          <w:szCs w:val="24"/>
          <w:rtl w:val="0"/>
        </w:rPr>
        <w:t xml:space="preserve"> ICANN org to implement these consensus policy recommendations in April 2023. To this end, ICANN has implemented updates to the UDRP and URS, </w:t>
      </w:r>
      <w:r w:rsidDel="00000000" w:rsidR="00000000" w:rsidRPr="00000000">
        <w:rPr>
          <w:sz w:val="24"/>
          <w:szCs w:val="24"/>
          <w:rtl w:val="0"/>
        </w:rPr>
        <w:t xml:space="preserve">effective [XX 2026]. </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In addition to updates to the UDRP and URS, the GNSO recommended that ICANN publish policy guidance to clarify how an IGO may seek to demonstrate that it has the requisite standing to file a complaint under the UDRP or URS. </w: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sz w:val="24"/>
          <w:szCs w:val="24"/>
          <w:rtl w:val="0"/>
        </w:rPr>
        <w:t xml:space="preserve">Purpose</w:t>
      </w:r>
      <w:r w:rsidDel="00000000" w:rsidR="00000000" w:rsidRPr="00000000">
        <w:rPr>
          <w:sz w:val="24"/>
          <w:szCs w:val="24"/>
          <w:rtl w:val="0"/>
        </w:rPr>
        <w:t xml:space="preserve">:</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This document provides guidance on:</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numPr>
          <w:ilvl w:val="0"/>
          <w:numId w:val="3"/>
        </w:numPr>
        <w:ind w:left="720" w:hanging="360"/>
        <w:rPr>
          <w:sz w:val="24"/>
          <w:szCs w:val="24"/>
        </w:rPr>
      </w:pPr>
      <w:r w:rsidDel="00000000" w:rsidR="00000000" w:rsidRPr="00000000">
        <w:rPr>
          <w:sz w:val="24"/>
          <w:szCs w:val="24"/>
          <w:rtl w:val="0"/>
        </w:rPr>
        <w:t xml:space="preserve">The eligibility of IGOs and INGOs to file a complaint using the UDRP/URS; and</w:t>
      </w:r>
    </w:p>
    <w:p w:rsidR="00000000" w:rsidDel="00000000" w:rsidP="00000000" w:rsidRDefault="00000000" w:rsidRPr="00000000" w14:paraId="0000001F">
      <w:pPr>
        <w:numPr>
          <w:ilvl w:val="0"/>
          <w:numId w:val="3"/>
        </w:numPr>
        <w:ind w:left="720" w:hanging="360"/>
        <w:rPr>
          <w:sz w:val="24"/>
          <w:szCs w:val="24"/>
        </w:rPr>
      </w:pPr>
      <w:r w:rsidDel="00000000" w:rsidR="00000000" w:rsidRPr="00000000">
        <w:rPr>
          <w:sz w:val="24"/>
          <w:szCs w:val="24"/>
          <w:rtl w:val="0"/>
        </w:rPr>
        <w:t xml:space="preserve">How IGOs and INGOs can demonstrate standing under these procedures.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The ICANN community has recognized that IGOs and INGOs have various ways to file a UDRP or URS complaint and recommended that ICANN publish policy guidance related to potential filing options available to IGOs and INGOs. This GNSO recommended guidance aims to help these entities evaluate the option most appropriate to their circumstances.</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This document is issued by ICANN, at the recommendation of the GNSO and at the </w:t>
      </w:r>
      <w:r w:rsidDel="00000000" w:rsidR="00000000" w:rsidRPr="00000000">
        <w:rPr>
          <w:sz w:val="24"/>
          <w:szCs w:val="24"/>
          <w:rtl w:val="0"/>
        </w:rPr>
        <w:t xml:space="preserve">direction</w:t>
      </w:r>
      <w:r w:rsidDel="00000000" w:rsidR="00000000" w:rsidRPr="00000000">
        <w:rPr>
          <w:sz w:val="24"/>
          <w:szCs w:val="24"/>
          <w:rtl w:val="0"/>
        </w:rPr>
        <w:t xml:space="preserve"> of the</w:t>
      </w:r>
      <w:r w:rsidDel="00000000" w:rsidR="00000000" w:rsidRPr="00000000">
        <w:rPr>
          <w:sz w:val="24"/>
          <w:szCs w:val="24"/>
          <w:rtl w:val="0"/>
        </w:rPr>
        <w:t xml:space="preserve"> ICANN Board</w:t>
      </w:r>
      <w:r w:rsidDel="00000000" w:rsidR="00000000" w:rsidRPr="00000000">
        <w:rPr>
          <w:sz w:val="24"/>
          <w:szCs w:val="24"/>
          <w:rtl w:val="0"/>
        </w:rPr>
        <w:t xml:space="preserve">. </w:t>
      </w:r>
      <w:r w:rsidDel="00000000" w:rsidR="00000000" w:rsidRPr="00000000">
        <w:rPr>
          <w:sz w:val="24"/>
          <w:szCs w:val="24"/>
          <w:rtl w:val="0"/>
        </w:rPr>
        <w:t xml:space="preserve">ICANN is not involved in UDRP or URS proceedings and has no role in making or enforcing UDRP or URS decisions</w:t>
      </w:r>
      <w:r w:rsidDel="00000000" w:rsidR="00000000" w:rsidRPr="00000000">
        <w:rPr>
          <w:sz w:val="24"/>
          <w:szCs w:val="24"/>
          <w:rtl w:val="0"/>
        </w:rPr>
        <w:t xml:space="preserve">. This document is issued for guidance purposes only and imposes no requirements on UDRP/URS users or contracted parties. It does not constitute legal advice, and parties who wish to pursue UDRP or URS proceedings are advised to consult their counsel for legal advice that may be desired in relation to such proceedings.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numPr>
          <w:ilvl w:val="0"/>
          <w:numId w:val="5"/>
        </w:numPr>
        <w:ind w:left="270" w:hanging="360"/>
        <w:rPr>
          <w:b w:val="1"/>
          <w:sz w:val="28"/>
          <w:szCs w:val="28"/>
          <w:u w:val="none"/>
        </w:rPr>
      </w:pPr>
      <w:r w:rsidDel="00000000" w:rsidR="00000000" w:rsidRPr="00000000">
        <w:rPr>
          <w:b w:val="1"/>
          <w:sz w:val="28"/>
          <w:szCs w:val="28"/>
          <w:rtl w:val="0"/>
        </w:rPr>
        <w:t xml:space="preserve">IGO and INGO Standing to Use the UDRP and URS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sz w:val="24"/>
          <w:szCs w:val="24"/>
          <w:rtl w:val="0"/>
        </w:rPr>
        <w:t xml:space="preserve">1.1  IGOs</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The ICANN Board-adopted GNSO Recommendations on the use of the UDRP and URS by IGOs and INGOs confirm that when an IGO holds trademark rights in a particular domain name or identifier, the entity </w:t>
      </w:r>
      <w:r w:rsidDel="00000000" w:rsidR="00000000" w:rsidRPr="00000000">
        <w:rPr>
          <w:sz w:val="24"/>
          <w:szCs w:val="24"/>
          <w:rtl w:val="0"/>
        </w:rPr>
        <w:t xml:space="preserve">possesses the</w:t>
      </w:r>
      <w:r w:rsidDel="00000000" w:rsidR="00000000" w:rsidRPr="00000000">
        <w:rPr>
          <w:b w:val="1"/>
          <w:sz w:val="24"/>
          <w:szCs w:val="24"/>
          <w:rtl w:val="0"/>
        </w:rPr>
        <w:t xml:space="preserve"> </w:t>
      </w:r>
      <w:r w:rsidDel="00000000" w:rsidR="00000000" w:rsidRPr="00000000">
        <w:rPr>
          <w:sz w:val="24"/>
          <w:szCs w:val="24"/>
          <w:rtl w:val="0"/>
        </w:rPr>
        <w:t xml:space="preserve">same standing</w:t>
      </w:r>
      <w:r w:rsidDel="00000000" w:rsidR="00000000" w:rsidRPr="00000000">
        <w:rPr>
          <w:b w:val="1"/>
          <w:sz w:val="24"/>
          <w:szCs w:val="24"/>
          <w:rtl w:val="0"/>
        </w:rPr>
        <w:t xml:space="preserve"> </w:t>
      </w:r>
      <w:r w:rsidDel="00000000" w:rsidR="00000000" w:rsidRPr="00000000">
        <w:rPr>
          <w:sz w:val="24"/>
          <w:szCs w:val="24"/>
          <w:rtl w:val="0"/>
        </w:rPr>
        <w:t xml:space="preserve">to submit a complaint using the UDRP or URS</w:t>
      </w:r>
      <w:r w:rsidDel="00000000" w:rsidR="00000000" w:rsidRPr="00000000">
        <w:rPr>
          <w:b w:val="1"/>
          <w:sz w:val="24"/>
          <w:szCs w:val="24"/>
          <w:rtl w:val="0"/>
        </w:rPr>
        <w:t xml:space="preserve"> </w:t>
      </w:r>
      <w:r w:rsidDel="00000000" w:rsidR="00000000" w:rsidRPr="00000000">
        <w:rPr>
          <w:sz w:val="24"/>
          <w:szCs w:val="24"/>
          <w:rtl w:val="0"/>
        </w:rPr>
        <w:t xml:space="preserve">as any other non-IGO trademark owner.</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Where an IGO does not hold trademark rights in a particular name or identifier, </w:t>
      </w:r>
      <w:r w:rsidDel="00000000" w:rsidR="00000000" w:rsidRPr="00000000">
        <w:rPr>
          <w:sz w:val="24"/>
          <w:szCs w:val="24"/>
          <w:highlight w:val="yellow"/>
          <w:rtl w:val="0"/>
        </w:rPr>
        <w:t xml:space="preserve">[</w:t>
      </w:r>
      <w:r w:rsidDel="00000000" w:rsidR="00000000" w:rsidRPr="00000000">
        <w:rPr>
          <w:sz w:val="24"/>
          <w:szCs w:val="24"/>
          <w:rtl w:val="0"/>
        </w:rPr>
        <w:t xml:space="preserve">date</w:t>
      </w:r>
      <w:r w:rsidDel="00000000" w:rsidR="00000000" w:rsidRPr="00000000">
        <w:rPr>
          <w:sz w:val="24"/>
          <w:szCs w:val="24"/>
          <w:highlight w:val="yellow"/>
          <w:rtl w:val="0"/>
        </w:rPr>
        <w:t xml:space="preserve">]</w:t>
      </w:r>
      <w:r w:rsidDel="00000000" w:rsidR="00000000" w:rsidRPr="00000000">
        <w:rPr>
          <w:sz w:val="24"/>
          <w:szCs w:val="24"/>
          <w:rtl w:val="0"/>
        </w:rPr>
        <w:t xml:space="preserve"> updates to the UDRP and URS Rules provide criteria on how such an IGO could demonstrate its standing to file a UDRP or URS complaint.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Section 1 of the UDRP and Section 1 of the URS Rules have each been updated to include a definition of an “IGO Complainant.”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Complainants that can demonstrate </w:t>
      </w:r>
      <w:r w:rsidDel="00000000" w:rsidR="00000000" w:rsidRPr="00000000">
        <w:rPr>
          <w:sz w:val="24"/>
          <w:szCs w:val="24"/>
          <w:rtl w:val="0"/>
        </w:rPr>
        <w:t xml:space="preserve">that they meet any of the following defining criteria will</w:t>
      </w:r>
      <w:r w:rsidDel="00000000" w:rsidR="00000000" w:rsidRPr="00000000">
        <w:rPr>
          <w:b w:val="1"/>
          <w:sz w:val="24"/>
          <w:szCs w:val="24"/>
          <w:rtl w:val="0"/>
        </w:rPr>
        <w:t xml:space="preserve"> </w:t>
      </w:r>
      <w:r w:rsidDel="00000000" w:rsidR="00000000" w:rsidRPr="00000000">
        <w:rPr>
          <w:sz w:val="24"/>
          <w:szCs w:val="24"/>
          <w:rtl w:val="0"/>
        </w:rPr>
        <w:t xml:space="preserve">be treated as an IGO Complainant </w:t>
      </w:r>
      <w:r w:rsidDel="00000000" w:rsidR="00000000" w:rsidRPr="00000000">
        <w:rPr>
          <w:sz w:val="24"/>
          <w:szCs w:val="24"/>
          <w:rtl w:val="0"/>
        </w:rPr>
        <w:t xml:space="preserve">by the UDRP panel or URS examiner when considering a complaint: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numPr>
          <w:ilvl w:val="0"/>
          <w:numId w:val="1"/>
        </w:numPr>
        <w:ind w:left="720" w:hanging="360"/>
        <w:rPr>
          <w:sz w:val="24"/>
          <w:szCs w:val="24"/>
        </w:rPr>
      </w:pPr>
      <w:r w:rsidDel="00000000" w:rsidR="00000000" w:rsidRPr="00000000">
        <w:rPr>
          <w:sz w:val="24"/>
          <w:szCs w:val="24"/>
          <w:rtl w:val="0"/>
        </w:rPr>
        <w:t xml:space="preserve">The entity is an international organization established by a treaty, and which possesses international legal personality; or</w:t>
      </w:r>
    </w:p>
    <w:p w:rsidR="00000000" w:rsidDel="00000000" w:rsidP="00000000" w:rsidRDefault="00000000" w:rsidRPr="00000000" w14:paraId="00000032">
      <w:pPr>
        <w:numPr>
          <w:ilvl w:val="0"/>
          <w:numId w:val="1"/>
        </w:numPr>
        <w:ind w:left="720" w:hanging="360"/>
        <w:rPr>
          <w:sz w:val="24"/>
          <w:szCs w:val="24"/>
        </w:rPr>
      </w:pPr>
      <w:r w:rsidDel="00000000" w:rsidR="00000000" w:rsidRPr="00000000">
        <w:rPr>
          <w:sz w:val="24"/>
          <w:szCs w:val="24"/>
          <w:rtl w:val="0"/>
        </w:rPr>
        <w:t xml:space="preserve">The entity is an intergovernmental organization that has received a standing invitation, which remains in effect, to participate as an observer in the sessions and the work of the United Nations General Assembly; or</w:t>
      </w:r>
    </w:p>
    <w:p w:rsidR="00000000" w:rsidDel="00000000" w:rsidP="00000000" w:rsidRDefault="00000000" w:rsidRPr="00000000" w14:paraId="00000033">
      <w:pPr>
        <w:numPr>
          <w:ilvl w:val="0"/>
          <w:numId w:val="1"/>
        </w:numPr>
        <w:ind w:left="720" w:hanging="360"/>
        <w:rPr>
          <w:sz w:val="24"/>
          <w:szCs w:val="24"/>
        </w:rPr>
      </w:pPr>
      <w:r w:rsidDel="00000000" w:rsidR="00000000" w:rsidRPr="00000000">
        <w:rPr>
          <w:sz w:val="24"/>
          <w:szCs w:val="24"/>
          <w:rtl w:val="0"/>
        </w:rPr>
        <w:t xml:space="preserve">The entity is a Specialized Agency or distinct entity, organ or program of the United Nations.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Section [xxx] of the UDRP Rules and Sections [xxx] and [xxx] of the URS Rules have also been updated</w:t>
      </w:r>
      <w:r w:rsidDel="00000000" w:rsidR="00000000" w:rsidRPr="00000000">
        <w:rPr>
          <w:sz w:val="24"/>
          <w:szCs w:val="24"/>
          <w:rtl w:val="0"/>
        </w:rPr>
        <w:t xml:space="preserve">. These updat</w:t>
      </w:r>
      <w:r w:rsidDel="00000000" w:rsidR="00000000" w:rsidRPr="00000000">
        <w:rPr>
          <w:sz w:val="24"/>
          <w:szCs w:val="24"/>
          <w:rtl w:val="0"/>
        </w:rPr>
        <w:t xml:space="preserve">es specify how an IGO Complainant can show unregistered rights to a name or identifier that are functionally equivalent to trademark rights and how a party can be found to have standing as an IGO Complainant.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Specifically, the IGO Complainant must demonstrate that the name or identifier which forms the basis for the complaint is </w:t>
      </w:r>
      <w:r w:rsidDel="00000000" w:rsidR="00000000" w:rsidRPr="00000000">
        <w:rPr>
          <w:sz w:val="24"/>
          <w:szCs w:val="24"/>
          <w:rtl w:val="0"/>
        </w:rPr>
        <w:t xml:space="preserve">used by the IGO Complainant to conduct public activities in accordance with its stated mission as may be reflected in its treaty, charter, or governing document. The </w:t>
      </w:r>
      <w:r w:rsidDel="00000000" w:rsidR="00000000" w:rsidRPr="00000000">
        <w:rPr>
          <w:sz w:val="24"/>
          <w:szCs w:val="24"/>
          <w:rtl w:val="0"/>
        </w:rPr>
        <w:t xml:space="preserve">GNSO policy</w:t>
      </w:r>
      <w:r w:rsidDel="00000000" w:rsidR="00000000" w:rsidRPr="00000000">
        <w:rPr>
          <w:sz w:val="24"/>
          <w:szCs w:val="24"/>
          <w:rtl w:val="0"/>
        </w:rPr>
        <w:t xml:space="preserve"> recommendations are explicit that this use must not be a token use</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Use of the name or identifier will be assessed by the UDRP panel or URS examiner based on documentary evidence provided by the IGO Complainant. It is the responsibility of the IGO Complainant to provide sufficient evidence to support its claim to hold unregistered trademark rights in a name or identifier. Guidance may be found, for example, in the WIPO </w:t>
      </w:r>
      <w:r w:rsidDel="00000000" w:rsidR="00000000" w:rsidRPr="00000000">
        <w:rPr>
          <w:sz w:val="24"/>
          <w:szCs w:val="24"/>
          <w:rtl w:val="0"/>
        </w:rPr>
        <w:t xml:space="preserve">Jurisprudential Overview </w:t>
      </w:r>
      <w:hyperlink r:id="rId14">
        <w:r w:rsidDel="00000000" w:rsidR="00000000" w:rsidRPr="00000000">
          <w:rPr>
            <w:color w:val="1155cc"/>
            <w:sz w:val="24"/>
            <w:szCs w:val="24"/>
            <w:u w:val="single"/>
            <w:rtl w:val="0"/>
          </w:rPr>
          <w:t xml:space="preserve">section 1.3</w:t>
        </w:r>
      </w:hyperlink>
      <w:r w:rsidDel="00000000" w:rsidR="00000000" w:rsidRPr="00000000">
        <w:rPr>
          <w:sz w:val="24"/>
          <w:szCs w:val="24"/>
          <w:rtl w:val="0"/>
        </w:rPr>
        <w:t xml:space="preserve">.</w:t>
      </w:r>
    </w:p>
    <w:p w:rsidR="00000000" w:rsidDel="00000000" w:rsidP="00000000" w:rsidRDefault="00000000" w:rsidRPr="00000000" w14:paraId="0000003A">
      <w:pPr>
        <w:pStyle w:val="Heading2"/>
        <w:rPr>
          <w:b w:val="1"/>
          <w:sz w:val="24"/>
          <w:szCs w:val="24"/>
        </w:rPr>
      </w:pPr>
      <w:bookmarkStart w:colFirst="0" w:colLast="0" w:name="_mbqhlqkrwlqy" w:id="3"/>
      <w:bookmarkEnd w:id="3"/>
      <w:r w:rsidDel="00000000" w:rsidR="00000000" w:rsidRPr="00000000">
        <w:rPr>
          <w:b w:val="1"/>
          <w:sz w:val="24"/>
          <w:szCs w:val="24"/>
          <w:rtl w:val="0"/>
        </w:rPr>
        <w:t xml:space="preserve">1.2 INGOs</w:t>
      </w:r>
    </w:p>
    <w:p w:rsidR="00000000" w:rsidDel="00000000" w:rsidP="00000000" w:rsidRDefault="00000000" w:rsidRPr="00000000" w14:paraId="0000003B">
      <w:pPr>
        <w:rPr/>
      </w:pPr>
      <w:r w:rsidDel="00000000" w:rsidR="00000000" w:rsidRPr="00000000">
        <w:rPr>
          <w:sz w:val="24"/>
          <w:szCs w:val="24"/>
          <w:rtl w:val="0"/>
        </w:rPr>
        <w:t xml:space="preserve">The recent updates to the UDRP and URS Rules introduce </w:t>
      </w:r>
      <w:r w:rsidDel="00000000" w:rsidR="00000000" w:rsidRPr="00000000">
        <w:rPr>
          <w:sz w:val="24"/>
          <w:szCs w:val="24"/>
          <w:rtl w:val="0"/>
        </w:rPr>
        <w:t xml:space="preserve">no additional requirements or procedural steps</w:t>
      </w:r>
      <w:r w:rsidDel="00000000" w:rsidR="00000000" w:rsidRPr="00000000">
        <w:rPr>
          <w:sz w:val="24"/>
          <w:szCs w:val="24"/>
          <w:rtl w:val="0"/>
        </w:rPr>
        <w:t xml:space="preserve"> for INGOs that wish to file UDRP or URS complaints.</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INGOs remain capable of utilizing the current UDRP and URS processes in the same manner as non-INGO complainants and the GNSO has recommended that INGOs do not need alternative paths to demonstrate their standing to initiate UDRP or URS proceedings.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p>
    <w:p w:rsidR="00000000" w:rsidDel="00000000" w:rsidP="00000000" w:rsidRDefault="00000000" w:rsidRPr="00000000" w14:paraId="0000003E">
      <w:pPr>
        <w:pStyle w:val="Heading1"/>
        <w:rPr>
          <w:sz w:val="24"/>
          <w:szCs w:val="24"/>
        </w:rPr>
      </w:pPr>
      <w:bookmarkStart w:colFirst="0" w:colLast="0" w:name="_iewgrsxcgt2z" w:id="4"/>
      <w:bookmarkEnd w:id="4"/>
      <w:r w:rsidDel="00000000" w:rsidR="00000000" w:rsidRPr="00000000">
        <w:rPr>
          <w:b w:val="1"/>
          <w:sz w:val="28"/>
          <w:szCs w:val="28"/>
          <w:rtl w:val="0"/>
        </w:rPr>
        <w:t xml:space="preserve">2. UDRP and URS Complaint Filing Options Available to IGOs and INGOs</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[date]</w:t>
      </w:r>
      <w:r w:rsidDel="00000000" w:rsidR="00000000" w:rsidRPr="00000000">
        <w:rPr>
          <w:sz w:val="24"/>
          <w:szCs w:val="24"/>
          <w:rtl w:val="0"/>
        </w:rPr>
        <w:t xml:space="preserve"> updates to the UDRP and URS Rules do not include specific instructions on filing options for IGOs and INGOs. However, UDRP and URS panels have interpreted these Rules to permit the filing of a complaint through a licensee or agent</w:t>
      </w:r>
      <w:r w:rsidDel="00000000" w:rsidR="00000000" w:rsidRPr="00000000">
        <w:rPr>
          <w:sz w:val="24"/>
          <w:szCs w:val="24"/>
          <w:rtl w:val="0"/>
        </w:rPr>
        <w:t xml:space="preserve">.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There are ways for IGOs or INGOs to take action outside the UDRP, URS, or a formal legal process. Initially, the IGO or INGO could attempt to contact the domain registrant directly to informally resolve a dispute, such as by requesting or negotiating a voluntary transfer of the domain name. Contact information for the registrant might be available  on the concerned website or from the publicly available Registration Data Directory Service of the relevant registry operator or registrar. However, depending on the protocols applied by the relevant registry operator or registrar, contact data for the registrant may be redacted from the public Registration Data Directory Services. If this is the case, the IGO or INGO could contact the registrar or registry operator to request access to the redacted registrant contact data.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Registry operators and registrars are required to consider and respond to such requests pursuant to ICANN’s </w:t>
      </w:r>
      <w:hyperlink r:id="rId15">
        <w:r w:rsidDel="00000000" w:rsidR="00000000" w:rsidRPr="00000000">
          <w:rPr>
            <w:color w:val="1155cc"/>
            <w:sz w:val="24"/>
            <w:szCs w:val="24"/>
            <w:u w:val="single"/>
            <w:rtl w:val="0"/>
          </w:rPr>
          <w:t xml:space="preserve">Registration Data Policy</w:t>
        </w:r>
      </w:hyperlink>
      <w:r w:rsidDel="00000000" w:rsidR="00000000" w:rsidRPr="00000000">
        <w:rPr>
          <w:sz w:val="24"/>
          <w:szCs w:val="24"/>
          <w:rtl w:val="0"/>
        </w:rPr>
        <w:t xml:space="preserve">. The Registration Data Policy requires registry operators and registrars (collectively, the “ICANN contracted parties”) to consider and respond to requests for access to nonpublic registrant contact data, but does not force the contracted parties to disclose any data that is requested. This is because the contracted party must consider whether it may disclose the requested data in compliance with applicable law. If the contracted party determines that it cannot provide the requested data, the contracted party must provide the requestor with a rationale for the denial, including a clear explanation of how it arrived at its decision that is sufficient for a requestor to objectively understand the reasons for the decision. This includes an analysis and explanation of how the fundamental rights and freedoms of the data subject were weighed against the legitimate interest of the requestor (if applicable).</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The IGO or INGO could also attempt to seek a remedy by engaging with the sponsoring registrar, as further described below.</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ind w:left="0" w:firstLine="0"/>
        <w:rPr>
          <w:b w:val="1"/>
          <w:sz w:val="24"/>
          <w:szCs w:val="24"/>
        </w:rPr>
      </w:pPr>
      <w:r w:rsidDel="00000000" w:rsidR="00000000" w:rsidRPr="00000000">
        <w:rPr>
          <w:b w:val="1"/>
          <w:sz w:val="24"/>
          <w:szCs w:val="24"/>
          <w:rtl w:val="0"/>
        </w:rPr>
        <w:t xml:space="preserve">2.1 Engagement with Registrar</w:t>
      </w:r>
    </w:p>
    <w:p w:rsidR="00000000" w:rsidDel="00000000" w:rsidP="00000000" w:rsidRDefault="00000000" w:rsidRPr="00000000" w14:paraId="00000049">
      <w:pPr>
        <w:rPr>
          <w:b w:val="1"/>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IGOs or INGOs could attempt to resolve a dispute directly with a registrar before or instead of filing a lawsuit or electing to file a UDRP or URS complaint.</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Section 3.18 of ICANN’s </w:t>
      </w:r>
      <w:hyperlink r:id="rId16">
        <w:r w:rsidDel="00000000" w:rsidR="00000000" w:rsidRPr="00000000">
          <w:rPr>
            <w:color w:val="1155cc"/>
            <w:sz w:val="24"/>
            <w:szCs w:val="24"/>
            <w:u w:val="single"/>
            <w:rtl w:val="0"/>
          </w:rPr>
          <w:t xml:space="preserve">Registrar Accreditation Agreement</w:t>
        </w:r>
      </w:hyperlink>
      <w:r w:rsidDel="00000000" w:rsidR="00000000" w:rsidRPr="00000000">
        <w:rPr>
          <w:sz w:val="24"/>
          <w:szCs w:val="24"/>
          <w:rtl w:val="0"/>
        </w:rPr>
        <w:t xml:space="preserve"> (RAA) requires registrars to “</w:t>
      </w:r>
      <w:r w:rsidDel="00000000" w:rsidR="00000000" w:rsidRPr="00000000">
        <w:rPr>
          <w:i w:val="1"/>
          <w:sz w:val="24"/>
          <w:szCs w:val="24"/>
          <w:rtl w:val="0"/>
        </w:rPr>
        <w:t xml:space="preserve">take reasonable and prompt steps to investigate and respond appropriately to any reports of abuse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and to publish contact information for an abuse contact to receive such reports. An IGO or INGO could therefore attempt to seek a resolution to the perceived abuse by contacting a registrar directly to report a domain name as abusive or misleading. While the RAA does not specify the steps that registrars must take in response to this type of report, some ICANN-accredited registrars offer abuse handling mechanisms and may investigate the domain in question and take action, including suspending or taking down the domain name, based on their terms of service.</w:t>
      </w:r>
      <w:r w:rsidDel="00000000" w:rsidR="00000000" w:rsidRPr="00000000">
        <w:rPr>
          <w:sz w:val="24"/>
          <w:szCs w:val="24"/>
          <w:rtl w:val="0"/>
        </w:rPr>
        <w:t xml:space="preserve"> However, it is important to remember that a registrar’s response to any such allegations is likely subject to its own definition of abuse and its application of its Terms of Service agreement with a registrant.</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2.2 UDRP and URS Filing Options for IGOs and INGOs</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If attempts to resolve the dispute with the registrant or registrar are not undertaken or prove unsuccessful, IGOs and INGOs can choose to file a complaint using the UDRP or URS in the following ways, according to their specific needs and circumstances.</w:t>
      </w:r>
    </w:p>
    <w:p w:rsidR="00000000" w:rsidDel="00000000" w:rsidP="00000000" w:rsidRDefault="00000000" w:rsidRPr="00000000" w14:paraId="00000051">
      <w:pPr>
        <w:pStyle w:val="Heading3"/>
        <w:ind w:left="720" w:firstLine="0"/>
        <w:rPr>
          <w:b w:val="1"/>
          <w:sz w:val="24"/>
          <w:szCs w:val="24"/>
        </w:rPr>
      </w:pPr>
      <w:bookmarkStart w:colFirst="0" w:colLast="0" w:name="_kczza7f680p5" w:id="5"/>
      <w:bookmarkEnd w:id="5"/>
      <w:r w:rsidDel="00000000" w:rsidR="00000000" w:rsidRPr="00000000">
        <w:rPr>
          <w:b w:val="1"/>
          <w:sz w:val="24"/>
          <w:szCs w:val="24"/>
          <w:rtl w:val="0"/>
        </w:rPr>
        <w:t xml:space="preserve">2.2.1 Direct Filing by an IGO or INGO</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An IGO or INGO can opt to file a UDRP or URS complaint with an ICANN-approved UDRP or URS </w:t>
      </w:r>
      <w:r w:rsidDel="00000000" w:rsidR="00000000" w:rsidRPr="00000000">
        <w:rPr>
          <w:sz w:val="24"/>
          <w:szCs w:val="24"/>
          <w:shd w:fill="fcfcfc" w:val="clear"/>
          <w:rtl w:val="0"/>
        </w:rPr>
        <w:t xml:space="preserve">Dispute Resolution Service Provider</w:t>
      </w:r>
      <w:r w:rsidDel="00000000" w:rsidR="00000000" w:rsidRPr="00000000">
        <w:rPr>
          <w:color w:val="393939"/>
          <w:sz w:val="24"/>
          <w:szCs w:val="24"/>
          <w:shd w:fill="fcfcfc" w:val="clear"/>
          <w:rtl w:val="0"/>
        </w:rPr>
        <w:t xml:space="preserve"> </w:t>
      </w:r>
      <w:r w:rsidDel="00000000" w:rsidR="00000000" w:rsidRPr="00000000">
        <w:rPr>
          <w:sz w:val="24"/>
          <w:szCs w:val="24"/>
          <w:rtl w:val="0"/>
        </w:rPr>
        <w:t xml:space="preserve">if:</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numPr>
          <w:ilvl w:val="0"/>
          <w:numId w:val="2"/>
        </w:numPr>
        <w:ind w:left="720" w:hanging="360"/>
        <w:rPr>
          <w:sz w:val="24"/>
          <w:szCs w:val="24"/>
        </w:rPr>
      </w:pPr>
      <w:r w:rsidDel="00000000" w:rsidR="00000000" w:rsidRPr="00000000">
        <w:rPr>
          <w:sz w:val="24"/>
          <w:szCs w:val="24"/>
          <w:rtl w:val="0"/>
        </w:rPr>
        <w:t xml:space="preserve">The IGO meets the requirements to be recognized as an IGO Complainant set out in in the UDRP and URS, or the INGO holds rights to a valid trade or service mark; and</w:t>
      </w:r>
    </w:p>
    <w:p w:rsidR="00000000" w:rsidDel="00000000" w:rsidP="00000000" w:rsidRDefault="00000000" w:rsidRPr="00000000" w14:paraId="00000056">
      <w:pPr>
        <w:numPr>
          <w:ilvl w:val="0"/>
          <w:numId w:val="2"/>
        </w:numPr>
        <w:ind w:left="720" w:hanging="360"/>
        <w:rPr>
          <w:sz w:val="24"/>
          <w:szCs w:val="24"/>
        </w:rPr>
      </w:pPr>
      <w:r w:rsidDel="00000000" w:rsidR="00000000" w:rsidRPr="00000000">
        <w:rPr>
          <w:sz w:val="24"/>
          <w:szCs w:val="24"/>
          <w:rtl w:val="0"/>
        </w:rPr>
        <w:t xml:space="preserve">The IGO or INGO meets all other eligibility requirements for a UDRP or URS complaint and can demonstrate the necessary grounds for a complaint, depending on whether the complaint is filed using the UDRP or URS. Please see the UDRP and URS Rules, as well as any applicable Supplemental Rules, for more information.</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To file a UDRP or URS complaint, an IGO or INGO must prepare a complaint, including all relevant supporting evidence, and file it with its chosen UDRP or URS Dispute Resolution Service Provider </w:t>
      </w:r>
      <w:r w:rsidDel="00000000" w:rsidR="00000000" w:rsidRPr="00000000">
        <w:rPr>
          <w:color w:val="393939"/>
          <w:sz w:val="24"/>
          <w:szCs w:val="24"/>
          <w:shd w:fill="fcfcfc" w:val="clear"/>
          <w:rtl w:val="0"/>
        </w:rPr>
        <w:t xml:space="preserve">(</w:t>
      </w:r>
      <w:r w:rsidDel="00000000" w:rsidR="00000000" w:rsidRPr="00000000">
        <w:rPr>
          <w:sz w:val="24"/>
          <w:szCs w:val="24"/>
          <w:rtl w:val="0"/>
        </w:rPr>
        <w:t xml:space="preserve">see the following links for a list of ICANN-approved providers for the </w:t>
      </w:r>
      <w:hyperlink r:id="rId17">
        <w:r w:rsidDel="00000000" w:rsidR="00000000" w:rsidRPr="00000000">
          <w:rPr>
            <w:color w:val="1155cc"/>
            <w:sz w:val="24"/>
            <w:szCs w:val="24"/>
            <w:u w:val="single"/>
            <w:rtl w:val="0"/>
          </w:rPr>
          <w:t xml:space="preserve">UDRP</w:t>
        </w:r>
      </w:hyperlink>
      <w:r w:rsidDel="00000000" w:rsidR="00000000" w:rsidRPr="00000000">
        <w:rPr>
          <w:sz w:val="24"/>
          <w:szCs w:val="24"/>
          <w:rtl w:val="0"/>
        </w:rPr>
        <w:t xml:space="preserve"> and </w:t>
      </w:r>
      <w:hyperlink r:id="rId18">
        <w:r w:rsidDel="00000000" w:rsidR="00000000" w:rsidRPr="00000000">
          <w:rPr>
            <w:color w:val="1155cc"/>
            <w:sz w:val="24"/>
            <w:szCs w:val="24"/>
            <w:u w:val="single"/>
            <w:rtl w:val="0"/>
          </w:rPr>
          <w:t xml:space="preserve">URS</w:t>
        </w:r>
      </w:hyperlink>
      <w:r w:rsidDel="00000000" w:rsidR="00000000" w:rsidRPr="00000000">
        <w:rPr>
          <w:color w:val="393939"/>
          <w:sz w:val="24"/>
          <w:szCs w:val="24"/>
          <w:shd w:fill="fcfcfc" w:val="clear"/>
          <w:rtl w:val="0"/>
        </w:rPr>
        <w:t xml:space="preserve">)</w:t>
      </w:r>
      <w:r w:rsidDel="00000000" w:rsidR="00000000" w:rsidRPr="00000000">
        <w:rPr>
          <w:sz w:val="24"/>
          <w:szCs w:val="24"/>
          <w:rtl w:val="0"/>
        </w:rPr>
        <w:t xml:space="preserve">. More information on this process can be found at the following </w:t>
      </w:r>
      <w:hyperlink r:id="rId19">
        <w:r w:rsidDel="00000000" w:rsidR="00000000" w:rsidRPr="00000000">
          <w:rPr>
            <w:color w:val="1155cc"/>
            <w:sz w:val="24"/>
            <w:szCs w:val="24"/>
            <w:u w:val="single"/>
            <w:rtl w:val="0"/>
          </w:rPr>
          <w:t xml:space="preserve">link</w:t>
        </w:r>
      </w:hyperlink>
      <w:r w:rsidDel="00000000" w:rsidR="00000000" w:rsidRPr="00000000">
        <w:rPr>
          <w:sz w:val="24"/>
          <w:szCs w:val="24"/>
          <w:rtl w:val="0"/>
        </w:rPr>
        <w:t xml:space="preserve">.</w:t>
      </w:r>
    </w:p>
    <w:p w:rsidR="00000000" w:rsidDel="00000000" w:rsidP="00000000" w:rsidRDefault="00000000" w:rsidRPr="00000000" w14:paraId="00000059">
      <w:pPr>
        <w:pStyle w:val="Heading3"/>
        <w:ind w:left="720" w:firstLine="0"/>
        <w:rPr>
          <w:b w:val="1"/>
          <w:sz w:val="24"/>
          <w:szCs w:val="24"/>
        </w:rPr>
      </w:pPr>
      <w:bookmarkStart w:colFirst="0" w:colLast="0" w:name="_sleigigafn7o" w:id="6"/>
      <w:bookmarkEnd w:id="6"/>
      <w:r w:rsidDel="00000000" w:rsidR="00000000" w:rsidRPr="00000000">
        <w:rPr>
          <w:b w:val="1"/>
          <w:sz w:val="24"/>
          <w:szCs w:val="24"/>
          <w:rtl w:val="0"/>
        </w:rPr>
        <w:t xml:space="preserve">2.2.2 Filing by an Authorized Representative, Licensee, Assignee or Agent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It has been suggested that an IGO or INGO may designate an authorized representative, such as its legal counsel or agent or licensee, to file a complaint. </w:t>
      </w:r>
      <w:r w:rsidDel="00000000" w:rsidR="00000000" w:rsidRPr="00000000">
        <w:rPr>
          <w:sz w:val="24"/>
          <w:szCs w:val="24"/>
          <w:highlight w:val="white"/>
          <w:rtl w:val="0"/>
        </w:rPr>
        <w:t xml:space="preserve">Paragraph 3(b)(ii) of both the UDRP and URS Rules allow a complainant to provide the name, address and contact details of any representative authorized to act for the complainant in the administrative proceeding. Traditionally, </w:t>
      </w:r>
      <w:r w:rsidDel="00000000" w:rsidR="00000000" w:rsidRPr="00000000">
        <w:rPr>
          <w:sz w:val="24"/>
          <w:szCs w:val="24"/>
          <w:highlight w:val="white"/>
          <w:rtl w:val="0"/>
        </w:rPr>
        <w:t xml:space="preserve">this has been understood as referring to the contact information for the legal counsel filing the complaint</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However, in the appropriate circumstance, ICANN recognizes that an IGO or INGO may also consider filing through a licensee, agent or assignee.</w:t>
      </w: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While the UDRP or URS Rules do not require complainants to provide evidence or proof of an IGO’s or INGO’s permission to file on its behalf, this may be required by the appointed panel.  Evidence that a complainant has the legal right to enforce the rights of the IGO or INGO on whose behalf the complainant purports to act may also be requested by the UDRP or URS provider administering the complaint, potentially in the form of a letter of authorization, license or assignee agreement.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Where the individual or entity that submits the UDRP or URS complaint does not itself  possess registered trademark rights in the name or identifier (i.e., it is acting as an agent), the decision of the relevant panel or examiner will still be based on the </w:t>
      </w:r>
      <w:r w:rsidDel="00000000" w:rsidR="00000000" w:rsidRPr="00000000">
        <w:rPr>
          <w:i w:val="1"/>
          <w:sz w:val="24"/>
          <w:szCs w:val="24"/>
          <w:rtl w:val="0"/>
        </w:rPr>
        <w:t xml:space="preserve">ability</w:t>
      </w:r>
      <w:r w:rsidDel="00000000" w:rsidR="00000000" w:rsidRPr="00000000">
        <w:rPr>
          <w:sz w:val="24"/>
          <w:szCs w:val="24"/>
          <w:rtl w:val="0"/>
        </w:rPr>
        <w:t xml:space="preserve"> of the IGO or INGO in question to assert trademark rights.</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Please see the </w:t>
      </w:r>
      <w:hyperlink r:id="rId1">
        <w:r w:rsidDel="00000000" w:rsidR="00000000" w:rsidRPr="00000000">
          <w:rPr>
            <w:color w:val="1155cc"/>
            <w:sz w:val="20"/>
            <w:szCs w:val="20"/>
            <w:u w:val="single"/>
            <w:rtl w:val="0"/>
          </w:rPr>
          <w:t xml:space="preserve">Final Report on the IGO-INGO Access to Curative Rights Protection Mechanisms Policy Development Process, at pp. 13-14:</w:t>
        </w:r>
      </w:hyperlink>
      <w:r w:rsidDel="00000000" w:rsidR="00000000" w:rsidRPr="00000000">
        <w:rPr>
          <w:sz w:val="20"/>
          <w:szCs w:val="20"/>
          <w:rtl w:val="0"/>
        </w:rPr>
        <w:t xml:space="preserve">  “...</w:t>
      </w:r>
      <w:r w:rsidDel="00000000" w:rsidR="00000000" w:rsidRPr="00000000">
        <w:rPr>
          <w:i w:val="1"/>
          <w:sz w:val="20"/>
          <w:szCs w:val="20"/>
          <w:rtl w:val="0"/>
        </w:rPr>
        <w:t xml:space="preserve">alternative mechanism for standing is not needed in a situation where an IGO already holds trademark or service mark rights in its name and/or acronym, as the IGO would in such a case proceed in the same way as a non-IGO trademark owner</w:t>
      </w:r>
      <w:r w:rsidDel="00000000" w:rsidR="00000000" w:rsidRPr="00000000">
        <w:rPr>
          <w:sz w:val="20"/>
          <w:szCs w:val="20"/>
          <w:rtl w:val="0"/>
        </w:rPr>
        <w:t xml:space="preserve">[.]”</w:t>
        <w:br w:type="textWrapping"/>
        <w:br w:type="textWrapping"/>
      </w:r>
    </w:p>
  </w:footnote>
  <w:footnote w:id="2">
    <w:p w:rsidR="00000000" w:rsidDel="00000000" w:rsidP="00000000" w:rsidRDefault="00000000" w:rsidRPr="00000000" w14:paraId="0000006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Please see the </w:t>
      </w:r>
      <w:hyperlink r:id="rId2">
        <w:r w:rsidDel="00000000" w:rsidR="00000000" w:rsidRPr="00000000">
          <w:rPr>
            <w:color w:val="1155cc"/>
            <w:sz w:val="20"/>
            <w:szCs w:val="20"/>
            <w:u w:val="single"/>
            <w:rtl w:val="0"/>
          </w:rPr>
          <w:t xml:space="preserve">Final Report on the IGO-INGO Access to Curative Rights Protection Mechanisms Policy Development Process at p. 11: </w:t>
        </w:r>
      </w:hyperlink>
      <w:r w:rsidDel="00000000" w:rsidR="00000000" w:rsidRPr="00000000">
        <w:rPr>
          <w:sz w:val="20"/>
          <w:szCs w:val="20"/>
          <w:rtl w:val="0"/>
        </w:rPr>
        <w:t xml:space="preserve">“</w:t>
      </w:r>
      <w:r w:rsidDel="00000000" w:rsidR="00000000" w:rsidRPr="00000000">
        <w:rPr>
          <w:i w:val="1"/>
          <w:sz w:val="20"/>
          <w:szCs w:val="20"/>
          <w:rtl w:val="0"/>
        </w:rPr>
        <w:t xml:space="preserve">Many INGOs already have, and do,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 For UDRP and URS purposes they have the same standing as any other private party</w:t>
      </w:r>
      <w:r w:rsidDel="00000000" w:rsidR="00000000" w:rsidRPr="00000000">
        <w:rPr>
          <w:sz w:val="20"/>
          <w:szCs w:val="20"/>
          <w:rtl w:val="0"/>
        </w:rPr>
        <w:t xml:space="preserve">.” </w:t>
      </w:r>
    </w:p>
  </w:footnote>
  <w:footnote w:id="3">
    <w:p w:rsidR="00000000" w:rsidDel="00000000" w:rsidP="00000000" w:rsidRDefault="00000000" w:rsidRPr="00000000" w14:paraId="0000006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Section 3.18 of the RAA requires registrars to consider and respond to all reports of abuse, including but not limited to DNS Abuse.</w:t>
      </w:r>
    </w:p>
  </w:footnote>
  <w:footnote w:id="1">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hyperlink r:id="rId3">
        <w:r w:rsidDel="00000000" w:rsidR="00000000" w:rsidRPr="00000000">
          <w:rPr>
            <w:color w:val="1155cc"/>
            <w:sz w:val="20"/>
            <w:szCs w:val="20"/>
            <w:u w:val="single"/>
            <w:rtl w:val="0"/>
          </w:rPr>
          <w:t xml:space="preserve"> EPDP Recommendation 1(ii)</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center"/>
      <w:rPr/>
    </w:pPr>
    <w:r w:rsidDel="00000000" w:rsidR="00000000" w:rsidRPr="00000000">
      <w:rPr>
        <w:rtl w:val="0"/>
      </w:rPr>
      <w:t xml:space="preserve">Draft</w:t>
    </w:r>
  </w:p>
  <w:p w:rsidR="00000000" w:rsidDel="00000000" w:rsidP="00000000" w:rsidRDefault="00000000" w:rsidRPr="00000000" w14:paraId="00000066">
    <w:pPr>
      <w:jc w:val="center"/>
      <w:rPr/>
    </w:pPr>
    <w:r w:rsidDel="00000000" w:rsidR="00000000" w:rsidRPr="00000000">
      <w:rPr>
        <w:rtl w:val="0"/>
      </w:rPr>
      <w:t xml:space="preserve">Privileged and 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gnso.icann.org/sites/default/files/file/field-file-attach/igo-ingo-crp-access-final-17jul18-en_0.pdf" TargetMode="External"/><Relationship Id="rId10" Type="http://schemas.openxmlformats.org/officeDocument/2006/relationships/hyperlink" Target="https://www.icann.org/urs-en" TargetMode="External"/><Relationship Id="rId21" Type="http://schemas.openxmlformats.org/officeDocument/2006/relationships/footer" Target="footer1.xml"/><Relationship Id="rId13" Type="http://schemas.openxmlformats.org/officeDocument/2006/relationships/hyperlink" Target="https://www.icann.org/ar/board-activities-and-meetings/materials/approved-resolutions-regular-meeting-of-the-icann-board-30-04-2023-en#section2.c" TargetMode="External"/><Relationship Id="rId12" Type="http://schemas.openxmlformats.org/officeDocument/2006/relationships/hyperlink" Target="https://itp.cdn.icann.org/en/files/generic-names-supporting-organization-council-gnso-council/epdp-specific-crp-igo-final-report-02-04-2022-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cann.org/resources/pages/help/dndr/udrp-en" TargetMode="External"/><Relationship Id="rId15" Type="http://schemas.openxmlformats.org/officeDocument/2006/relationships/hyperlink" Target="https://www.icann.org/resources/pages/registration-data-policy-2024-02-21-en#disclosure-requests" TargetMode="External"/><Relationship Id="rId14" Type="http://schemas.openxmlformats.org/officeDocument/2006/relationships/hyperlink" Target="https://www.wipo.int/amc/en/domains/search/overview3.0/#item13" TargetMode="External"/><Relationship Id="rId17" Type="http://schemas.openxmlformats.org/officeDocument/2006/relationships/hyperlink" Target="https://www.icann.org/en/contracted-parties/consensus-policies/uniform-domain-name-dispute-resolution-policy/list-of-approved-dispute-resolution-service-providers-25-02-2012-en" TargetMode="External"/><Relationship Id="rId16" Type="http://schemas.openxmlformats.org/officeDocument/2006/relationships/hyperlink" Target="https://www.icann.org/en/system/files/files/registrar-accreditation-agreement-21jan24-en.pdf" TargetMode="External"/><Relationship Id="rId5" Type="http://schemas.openxmlformats.org/officeDocument/2006/relationships/numbering" Target="numbering.xml"/><Relationship Id="rId19" Type="http://schemas.openxmlformats.org/officeDocument/2006/relationships/hyperlink" Target="https://www.icann.org/en/contracted-parties/consensus-policies/uniform-domain-name-dispute-resolution-policy/domain-name-dispute-resolution-policies-25-02-2012-en" TargetMode="External"/><Relationship Id="rId6" Type="http://schemas.openxmlformats.org/officeDocument/2006/relationships/styles" Target="styles.xml"/><Relationship Id="rId18" Type="http://schemas.openxmlformats.org/officeDocument/2006/relationships/hyperlink" Target="https://www.icann.org/en/contracted-parties/registry-operators/services/rights-protection-mechanisms-and-dispute-resolution-procedures/urs" TargetMode="External"/><Relationship Id="rId7" Type="http://schemas.openxmlformats.org/officeDocument/2006/relationships/hyperlink" Target="https://www.icann.org/en/contracted-parties/consensus-policies/uniform-domain-name-dispute-resolution-policy/list-of-approved-dispute-resolution-service-providers-25-02-2012-en" TargetMode="External"/><Relationship Id="rId8" Type="http://schemas.openxmlformats.org/officeDocument/2006/relationships/hyperlink" Target="https://www.icann.org/en/contracted-parties/registry-operators/services/rights-protection-mechanisms-and-dispute-resolution-procedures/u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file-attach/igo-ingo-crp-access-final-17jul18-en_0.pdf" TargetMode="External"/><Relationship Id="rId2" Type="http://schemas.openxmlformats.org/officeDocument/2006/relationships/hyperlink" Target="https://gnso.icann.org/sites/default/files/file/field-file-attach/igo-ingo-crp-access-final-17jul18-en_0.pdf" TargetMode="External"/><Relationship Id="rId3" Type="http://schemas.openxmlformats.org/officeDocument/2006/relationships/hyperlink" Target="https://itp.cdn.icann.org/en/files/generic-names-supporting-organization-council-gnso-council/epdp-specific-crp-igo-final-report-02-04-2022-en.pdf#pag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