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6497FFB0"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001EF916" w:rsidR="00C72284" w:rsidRPr="00C72284" w:rsidRDefault="002C202B">
      <w:pPr>
        <w:rPr>
          <w:rFonts w:ascii="Arial" w:hAnsi="Arial"/>
          <w:b/>
          <w:sz w:val="26"/>
          <w:szCs w:val="26"/>
        </w:rPr>
      </w:pPr>
      <w:r>
        <w:rPr>
          <w:rFonts w:ascii="Arial" w:hAnsi="Arial"/>
          <w:b/>
          <w:sz w:val="26"/>
          <w:szCs w:val="26"/>
        </w:rPr>
        <w:t>1</w:t>
      </w:r>
      <w:r w:rsidR="006D68EB">
        <w:rPr>
          <w:rFonts w:ascii="Arial" w:hAnsi="Arial"/>
          <w:b/>
          <w:sz w:val="26"/>
          <w:szCs w:val="26"/>
        </w:rPr>
        <w:t>6</w:t>
      </w:r>
      <w:r w:rsidR="00B00328">
        <w:rPr>
          <w:rFonts w:ascii="Arial" w:hAnsi="Arial"/>
          <w:b/>
          <w:sz w:val="26"/>
          <w:szCs w:val="26"/>
        </w:rPr>
        <w:t xml:space="preserve"> December 2014</w:t>
      </w:r>
    </w:p>
    <w:p w14:paraId="3AEA3E60" w14:textId="77777777" w:rsidR="00C72284" w:rsidRDefault="00C72284">
      <w:pPr>
        <w:rPr>
          <w:rFonts w:ascii="Arial" w:hAnsi="Arial"/>
          <w:b/>
        </w:rPr>
      </w:pPr>
    </w:p>
    <w:p w14:paraId="2C84E055" w14:textId="129A44BE" w:rsidR="00F06E1D" w:rsidRDefault="00F06E1D">
      <w:pPr>
        <w:rPr>
          <w:rFonts w:ascii="Arial" w:hAnsi="Arial"/>
        </w:rPr>
      </w:pPr>
      <w:r>
        <w:rPr>
          <w:rFonts w:ascii="Arial" w:hAnsi="Arial"/>
        </w:rPr>
        <w:t xml:space="preserve">This document explains the process that the IANA Stewardship </w:t>
      </w:r>
      <w:r w:rsidR="00130AC6">
        <w:rPr>
          <w:rFonts w:ascii="Arial" w:hAnsi="Arial"/>
        </w:rPr>
        <w:t>Transition Coordination Group (</w:t>
      </w:r>
      <w:r>
        <w:rPr>
          <w:rFonts w:ascii="Arial" w:hAnsi="Arial"/>
        </w:rPr>
        <w:t>ICG</w:t>
      </w:r>
      <w:r w:rsidR="00130AC6">
        <w:rPr>
          <w:rFonts w:ascii="Arial" w:hAnsi="Arial"/>
        </w:rPr>
        <w:t>)</w:t>
      </w:r>
      <w:r>
        <w:rPr>
          <w:rFonts w:ascii="Arial" w:hAnsi="Arial"/>
        </w:rPr>
        <w:t xml:space="preserve"> will follow for assembly and finalization of the IANA Stewardship Transition Proposal. The dates listed in this document are consistent with the</w:t>
      </w:r>
      <w:r w:rsidR="00130AC6">
        <w:rPr>
          <w:rFonts w:ascii="Arial" w:hAnsi="Arial"/>
        </w:rPr>
        <w:t xml:space="preserve"> timeline previously published by the ICG.</w:t>
      </w:r>
      <w:r w:rsidR="00130AC6">
        <w:rPr>
          <w:rStyle w:val="FootnoteReference"/>
          <w:rFonts w:ascii="Arial" w:hAnsi="Arial"/>
        </w:rPr>
        <w:footnoteReference w:id="1"/>
      </w:r>
      <w:r>
        <w:rPr>
          <w:rFonts w:ascii="Arial" w:hAnsi="Arial"/>
        </w:rPr>
        <w:t xml:space="preserve"> </w:t>
      </w:r>
      <w:r w:rsidR="00130AC6">
        <w:rPr>
          <w:rFonts w:ascii="Arial" w:hAnsi="Arial"/>
        </w:rPr>
        <w:t>The ICG expects operational communities to respect these dates. Should the ICG receive late submissions, it will make best efforts to follow the steps below in as timely a fashion as possible, but may adjust the steps as described here if necessary to avoid delays.</w:t>
      </w:r>
    </w:p>
    <w:p w14:paraId="434BE526" w14:textId="77777777" w:rsidR="00130AC6" w:rsidRPr="002C202B" w:rsidRDefault="00130AC6">
      <w:pPr>
        <w:rPr>
          <w:rFonts w:ascii="Arial" w:hAnsi="Arial"/>
        </w:rPr>
      </w:pPr>
    </w:p>
    <w:p w14:paraId="4767B18E" w14:textId="77777777" w:rsidR="00C72284" w:rsidRDefault="00C72284">
      <w:pPr>
        <w:rPr>
          <w:rFonts w:ascii="Arial" w:hAnsi="Arial"/>
          <w:b/>
        </w:rPr>
      </w:pPr>
    </w:p>
    <w:p w14:paraId="701375C4" w14:textId="34FBAACE" w:rsidR="00C72284" w:rsidRDefault="006033F4" w:rsidP="00943E9E">
      <w:pPr>
        <w:ind w:left="720" w:hanging="720"/>
        <w:rPr>
          <w:rFonts w:ascii="Arial" w:hAnsi="Arial"/>
          <w:b/>
        </w:rPr>
      </w:pPr>
      <w:r>
        <w:rPr>
          <w:rFonts w:ascii="Arial" w:hAnsi="Arial"/>
          <w:b/>
        </w:rPr>
        <w:t>I</w:t>
      </w:r>
      <w:r w:rsidR="00C72284">
        <w:rPr>
          <w:rFonts w:ascii="Arial" w:hAnsi="Arial"/>
          <w:b/>
        </w:rPr>
        <w:t xml:space="preserve">. </w:t>
      </w:r>
      <w:r w:rsidR="00C72284">
        <w:rPr>
          <w:rFonts w:ascii="Arial" w:hAnsi="Arial"/>
          <w:b/>
        </w:rPr>
        <w:tab/>
        <w:t>Individual</w:t>
      </w:r>
      <w:r w:rsidR="0035497A">
        <w:rPr>
          <w:rFonts w:ascii="Arial" w:hAnsi="Arial"/>
          <w:b/>
        </w:rPr>
        <w:t xml:space="preserve"> process </w:t>
      </w:r>
      <w:r w:rsidR="00DF24A9">
        <w:rPr>
          <w:rFonts w:ascii="Arial" w:hAnsi="Arial"/>
          <w:b/>
        </w:rPr>
        <w:t xml:space="preserve">and proposal </w:t>
      </w:r>
      <w:r w:rsidR="00C72284">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35D47A9A" w:rsidR="00D02F28" w:rsidRPr="00B47424" w:rsidRDefault="006033F4" w:rsidP="00EC7578">
      <w:pPr>
        <w:rPr>
          <w:rFonts w:asciiTheme="minorBidi" w:hAnsiTheme="minorBidi"/>
        </w:rPr>
      </w:pPr>
      <w:r>
        <w:rPr>
          <w:rFonts w:ascii="Arial" w:hAnsi="Arial"/>
        </w:rPr>
        <w:t>A</w:t>
      </w:r>
      <w:r w:rsidR="00D02F28">
        <w:rPr>
          <w:rFonts w:ascii="Arial" w:hAnsi="Arial"/>
        </w:rPr>
        <w:t xml:space="preserve">. </w:t>
      </w:r>
      <w:r>
        <w:rPr>
          <w:rFonts w:ascii="Arial" w:hAnsi="Arial"/>
        </w:rPr>
        <w:t xml:space="preserve"> </w:t>
      </w:r>
      <w:r w:rsidR="00D02F28">
        <w:rPr>
          <w:rFonts w:ascii="Arial" w:hAnsi="Arial"/>
        </w:rPr>
        <w:t>The process was consistent with RFP requirements of openness and inclusiveness</w:t>
      </w:r>
      <w:r w:rsidR="00D02F28" w:rsidRPr="00943E9E">
        <w:rPr>
          <w:rFonts w:ascii="Arial" w:hAnsi="Arial"/>
        </w:rPr>
        <w:t>.</w:t>
      </w:r>
      <w:r w:rsidR="00D02F28">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337030A6" w:rsidR="00D02F28" w:rsidRDefault="00D02F28" w:rsidP="00D02F28">
      <w:pPr>
        <w:pStyle w:val="ListParagraph"/>
        <w:numPr>
          <w:ilvl w:val="0"/>
          <w:numId w:val="3"/>
        </w:numPr>
        <w:ind w:left="1080"/>
        <w:rPr>
          <w:rFonts w:ascii="Arial" w:hAnsi="Arial"/>
        </w:rPr>
      </w:pPr>
      <w:r>
        <w:rPr>
          <w:rFonts w:ascii="Arial" w:hAnsi="Arial"/>
        </w:rPr>
        <w:t xml:space="preserve">Any process concerns that were highlighted to the ICG by participants </w:t>
      </w:r>
      <w:r w:rsidR="00B73A34">
        <w:rPr>
          <w:rFonts w:ascii="Arial" w:hAnsi="Arial"/>
        </w:rPr>
        <w:t>in</w:t>
      </w:r>
      <w:r>
        <w:rPr>
          <w:rFonts w:ascii="Arial" w:hAnsi="Arial"/>
        </w:rPr>
        <w:t xml:space="preserve"> the proposal development process.</w:t>
      </w:r>
    </w:p>
    <w:p w14:paraId="7920F927" w14:textId="77777777" w:rsidR="00D02F28" w:rsidRPr="00B47424" w:rsidRDefault="00D02F28" w:rsidP="00D02F28">
      <w:pPr>
        <w:rPr>
          <w:rFonts w:ascii="Arial" w:hAnsi="Arial"/>
        </w:rPr>
      </w:pPr>
    </w:p>
    <w:p w14:paraId="01034129" w14:textId="1C523D07" w:rsidR="00D02F28" w:rsidRDefault="00D02F28" w:rsidP="00D02F28">
      <w:pPr>
        <w:pStyle w:val="ListParagraph"/>
        <w:numPr>
          <w:ilvl w:val="0"/>
          <w:numId w:val="3"/>
        </w:numPr>
        <w:ind w:left="1080"/>
        <w:rPr>
          <w:rFonts w:ascii="Arial" w:hAnsi="Arial"/>
        </w:rPr>
      </w:pPr>
      <w:r>
        <w:rPr>
          <w:rFonts w:ascii="Arial" w:hAnsi="Arial"/>
        </w:rPr>
        <w:t>Whether input/comments the ICG received directly were shared with the operational community</w:t>
      </w:r>
      <w:r w:rsidR="001025E2">
        <w:rPr>
          <w:rFonts w:ascii="Arial" w:hAnsi="Arial"/>
        </w:rPr>
        <w:t xml:space="preserve"> and </w:t>
      </w:r>
      <w:r w:rsidR="00B4385F">
        <w:rPr>
          <w:rFonts w:ascii="Arial" w:hAnsi="Arial"/>
        </w:rPr>
        <w:t>were considered or</w:t>
      </w:r>
      <w:r>
        <w:rPr>
          <w:rFonts w:ascii="Arial" w:hAnsi="Arial"/>
        </w:rPr>
        <w:t xml:space="preserve"> addressed</w:t>
      </w:r>
      <w:r w:rsidR="001025E2">
        <w:rPr>
          <w:rFonts w:ascii="Arial" w:hAnsi="Arial"/>
        </w:rPr>
        <w:t xml:space="preserve"> by the operational community</w:t>
      </w:r>
      <w:r w:rsidR="008329B3">
        <w:rPr>
          <w:rFonts w:ascii="Arial" w:hAnsi="Arial"/>
        </w:rPr>
        <w:t>.</w:t>
      </w:r>
      <w:r w:rsidR="001025E2">
        <w:rPr>
          <w:rFonts w:ascii="Arial" w:hAnsi="Arial"/>
        </w:rPr>
        <w:t xml:space="preserve"> </w:t>
      </w:r>
    </w:p>
    <w:p w14:paraId="74E77C43" w14:textId="77777777" w:rsidR="00D02F28" w:rsidRPr="00642B64" w:rsidRDefault="00D02F28" w:rsidP="00D02F28">
      <w:pPr>
        <w:pStyle w:val="ListParagraph"/>
        <w:ind w:left="1440"/>
        <w:rPr>
          <w:rFonts w:ascii="Arial" w:hAnsi="Arial"/>
        </w:rPr>
      </w:pPr>
    </w:p>
    <w:p w14:paraId="6F970349" w14:textId="7423A893" w:rsidR="00D02F28" w:rsidRPr="00943E9E" w:rsidRDefault="00117C5C" w:rsidP="00D02F28">
      <w:pPr>
        <w:pStyle w:val="ListParagraph"/>
        <w:numPr>
          <w:ilvl w:val="0"/>
          <w:numId w:val="3"/>
        </w:numPr>
        <w:ind w:left="1080"/>
        <w:rPr>
          <w:rFonts w:asciiTheme="minorBidi" w:hAnsiTheme="minorBidi"/>
        </w:rPr>
      </w:pPr>
      <w:r>
        <w:rPr>
          <w:rFonts w:ascii="Arial" w:hAnsi="Arial"/>
        </w:rPr>
        <w:t xml:space="preserve">Whether </w:t>
      </w:r>
      <w:r w:rsidR="00D02F28">
        <w:rPr>
          <w:rFonts w:ascii="Arial" w:hAnsi="Arial"/>
        </w:rPr>
        <w:t xml:space="preserve">the proposal obtained consensus </w:t>
      </w:r>
      <w:r w:rsidR="001C58BA">
        <w:rPr>
          <w:rFonts w:ascii="Arial" w:hAnsi="Arial"/>
        </w:rPr>
        <w:t xml:space="preserve">(as defined in that community’s process) </w:t>
      </w:r>
      <w:r w:rsidR="00D02F28">
        <w:rPr>
          <w:rFonts w:ascii="Arial" w:hAnsi="Arial"/>
        </w:rPr>
        <w:t>among those who participated in the operational community process.</w:t>
      </w:r>
    </w:p>
    <w:p w14:paraId="0F65F0F2" w14:textId="77777777" w:rsidR="00D02F28" w:rsidRDefault="00D02F28" w:rsidP="00D02F28">
      <w:pPr>
        <w:rPr>
          <w:rFonts w:ascii="Arial" w:hAnsi="Arial"/>
        </w:rPr>
      </w:pPr>
    </w:p>
    <w:p w14:paraId="54D93D45" w14:textId="170709FD" w:rsidR="00D02F28" w:rsidRDefault="006033F4" w:rsidP="00D02F28">
      <w:pPr>
        <w:rPr>
          <w:rFonts w:ascii="Arial" w:hAnsi="Arial"/>
        </w:rPr>
      </w:pPr>
      <w:r>
        <w:rPr>
          <w:rFonts w:ascii="Arial" w:hAnsi="Arial"/>
        </w:rPr>
        <w:t>B</w:t>
      </w:r>
      <w:r w:rsidR="00D02F28">
        <w:rPr>
          <w:rFonts w:ascii="Arial" w:hAnsi="Arial"/>
        </w:rPr>
        <w:t xml:space="preserve">. </w:t>
      </w:r>
      <w:r w:rsidR="006F581E">
        <w:rPr>
          <w:rFonts w:ascii="Arial" w:hAnsi="Arial"/>
        </w:rPr>
        <w:t xml:space="preserve"> </w:t>
      </w:r>
      <w:r w:rsidR="00D02F28">
        <w:rPr>
          <w:rFonts w:ascii="Arial" w:hAnsi="Arial"/>
        </w:rPr>
        <w:t>The Proposal has met the RFP requirements:</w:t>
      </w:r>
    </w:p>
    <w:p w14:paraId="2D10533D" w14:textId="77777777" w:rsidR="00D02F28" w:rsidRPr="00943E9E" w:rsidRDefault="00D02F28" w:rsidP="00D02F28">
      <w:pPr>
        <w:rPr>
          <w:rFonts w:ascii="Arial" w:hAnsi="Arial"/>
        </w:rPr>
      </w:pPr>
    </w:p>
    <w:p w14:paraId="49FA38A4" w14:textId="7DE936C5" w:rsidR="00EC7578" w:rsidRDefault="00D02F28" w:rsidP="007A030A">
      <w:pPr>
        <w:pStyle w:val="ListParagraph"/>
        <w:numPr>
          <w:ilvl w:val="0"/>
          <w:numId w:val="8"/>
        </w:numPr>
        <w:rPr>
          <w:rFonts w:ascii="Arial" w:hAnsi="Arial"/>
        </w:rPr>
      </w:pPr>
      <w:r w:rsidRPr="00C72284">
        <w:rPr>
          <w:rFonts w:ascii="Arial" w:hAnsi="Arial"/>
        </w:rPr>
        <w:t>Completeness – check if any RFP components are missing</w:t>
      </w:r>
      <w:r>
        <w:rPr>
          <w:rFonts w:ascii="Arial" w:hAnsi="Arial"/>
        </w:rPr>
        <w:t>.</w:t>
      </w:r>
    </w:p>
    <w:p w14:paraId="0FA89BC4" w14:textId="77777777" w:rsidR="00D02F28" w:rsidRPr="00C72284" w:rsidRDefault="00D02F28" w:rsidP="00D02F28">
      <w:pPr>
        <w:pStyle w:val="ListParagraph"/>
        <w:rPr>
          <w:rFonts w:ascii="Arial" w:hAnsi="Arial"/>
        </w:rPr>
      </w:pPr>
    </w:p>
    <w:p w14:paraId="526C5B16" w14:textId="3C527C36" w:rsidR="00D02F28" w:rsidRDefault="00D02F28" w:rsidP="007A030A">
      <w:pPr>
        <w:pStyle w:val="ListParagraph"/>
        <w:numPr>
          <w:ilvl w:val="0"/>
          <w:numId w:val="8"/>
        </w:numPr>
        <w:rPr>
          <w:rFonts w:ascii="Arial" w:hAnsi="Arial"/>
        </w:rPr>
      </w:pPr>
      <w:r>
        <w:rPr>
          <w:rFonts w:ascii="Arial" w:hAnsi="Arial"/>
        </w:rPr>
        <w:t>Clarity – check if anything in the proposal does not make sense or requires clarification from the operational community</w:t>
      </w:r>
      <w:r w:rsidR="002C202B">
        <w:rPr>
          <w:rFonts w:ascii="Arial" w:hAnsi="Arial"/>
        </w:rPr>
        <w:t>.</w:t>
      </w:r>
    </w:p>
    <w:p w14:paraId="21EF2D44" w14:textId="77777777" w:rsidR="00D02F28" w:rsidRPr="00E66ED0" w:rsidRDefault="00D02F28" w:rsidP="00D02F28">
      <w:pPr>
        <w:rPr>
          <w:rFonts w:ascii="Arial" w:hAnsi="Arial"/>
        </w:rPr>
      </w:pPr>
    </w:p>
    <w:p w14:paraId="6FA84E1C" w14:textId="21A81951" w:rsidR="00D02F28" w:rsidRDefault="00D02F28" w:rsidP="007A030A">
      <w:pPr>
        <w:pStyle w:val="ListParagraph"/>
        <w:numPr>
          <w:ilvl w:val="0"/>
          <w:numId w:val="8"/>
        </w:numPr>
        <w:rPr>
          <w:rFonts w:ascii="Arial" w:hAnsi="Arial"/>
        </w:rPr>
      </w:pPr>
      <w:r>
        <w:rPr>
          <w:rFonts w:ascii="Arial" w:hAnsi="Arial"/>
        </w:rPr>
        <w:lastRenderedPageBreak/>
        <w:t>NTIA criteria – check if the proposal fulfills the NTIA criteria</w:t>
      </w:r>
      <w:r w:rsidR="002C202B">
        <w:rPr>
          <w:rFonts w:ascii="Arial" w:hAnsi="Arial"/>
        </w:rPr>
        <w:t>.</w:t>
      </w:r>
      <w:r w:rsidR="008329B3">
        <w:rPr>
          <w:rStyle w:val="FootnoteReference"/>
          <w:rFonts w:ascii="Arial" w:hAnsi="Arial"/>
        </w:rPr>
        <w:footnoteReference w:id="2"/>
      </w:r>
    </w:p>
    <w:p w14:paraId="26C98228" w14:textId="77777777" w:rsidR="00D02F28" w:rsidRDefault="00D02F28" w:rsidP="00D02F28">
      <w:pPr>
        <w:rPr>
          <w:rFonts w:ascii="Arial" w:hAnsi="Arial"/>
        </w:rPr>
      </w:pPr>
    </w:p>
    <w:p w14:paraId="1B930749" w14:textId="26ED7C90" w:rsidR="00D02F28" w:rsidRDefault="00D02F28" w:rsidP="00D02F28">
      <w:pPr>
        <w:rPr>
          <w:rFonts w:ascii="Arial" w:hAnsi="Arial"/>
        </w:rPr>
      </w:pPr>
      <w:r>
        <w:rPr>
          <w:rFonts w:ascii="Arial" w:hAnsi="Arial"/>
        </w:rPr>
        <w:t xml:space="preserve">If the proposal passes all of these checks, the ICG should publicly document the fact that the proposal is ready to move on to </w:t>
      </w:r>
      <w:r w:rsidR="006033F4">
        <w:rPr>
          <w:rFonts w:ascii="Arial" w:hAnsi="Arial"/>
        </w:rPr>
        <w:t>S</w:t>
      </w:r>
      <w:r>
        <w:rPr>
          <w:rFonts w:ascii="Arial" w:hAnsi="Arial"/>
        </w:rPr>
        <w:t xml:space="preserve">tep </w:t>
      </w:r>
      <w:r w:rsidR="006033F4">
        <w:rPr>
          <w:rFonts w:ascii="Arial" w:hAnsi="Arial"/>
        </w:rPr>
        <w:t>II</w:t>
      </w:r>
      <w:r>
        <w:rPr>
          <w:rFonts w:ascii="Arial" w:hAnsi="Arial"/>
        </w:rPr>
        <w:t xml:space="preserve">. If not, the ICG should convey the outstanding issues back to the operational community with as much detail as possible concerning what needs to </w:t>
      </w:r>
      <w:r w:rsidR="001025E2">
        <w:rPr>
          <w:rFonts w:ascii="Arial" w:hAnsi="Arial"/>
        </w:rPr>
        <w:t xml:space="preserve">be </w:t>
      </w:r>
      <w:r>
        <w:rPr>
          <w:rFonts w:ascii="Arial" w:hAnsi="Arial"/>
        </w:rPr>
        <w:t>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rFonts w:ascii="Arial" w:hAnsi="Arial"/>
        </w:rPr>
      </w:pPr>
    </w:p>
    <w:p w14:paraId="1B063A7C" w14:textId="7FD05AFA" w:rsidR="0055364C" w:rsidRPr="00EC7578" w:rsidRDefault="006033F4" w:rsidP="00C72284">
      <w:pPr>
        <w:rPr>
          <w:rFonts w:ascii="Arial" w:hAnsi="Arial"/>
          <w:b/>
        </w:rPr>
      </w:pPr>
      <w:r>
        <w:rPr>
          <w:rFonts w:ascii="Arial" w:hAnsi="Arial"/>
          <w:b/>
        </w:rPr>
        <w:t>II</w:t>
      </w:r>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0707A788" w:rsidR="00817765" w:rsidRDefault="00817765" w:rsidP="00C72284">
      <w:pPr>
        <w:rPr>
          <w:rFonts w:ascii="Arial" w:hAnsi="Arial"/>
        </w:rPr>
      </w:pPr>
      <w:r>
        <w:rPr>
          <w:rFonts w:ascii="Arial" w:hAnsi="Arial"/>
        </w:rPr>
        <w:t xml:space="preserve">According to the ICG Charter, its role is </w:t>
      </w:r>
      <w:r w:rsidR="008810F7">
        <w:rPr>
          <w:rFonts w:ascii="Arial" w:hAnsi="Arial"/>
        </w:rPr>
        <w:t xml:space="preserve">to assemble a proposal from component proposals, </w:t>
      </w:r>
      <w:r>
        <w:rPr>
          <w:rFonts w:ascii="Arial" w:hAnsi="Arial"/>
        </w:rPr>
        <w:t>not to draft a single transition proposal</w:t>
      </w:r>
      <w:r w:rsidR="00FB552E">
        <w:rPr>
          <w:rFonts w:ascii="Arial" w:hAnsi="Arial"/>
        </w:rPr>
        <w:t xml:space="preserve"> of its own</w:t>
      </w:r>
      <w:r>
        <w:rPr>
          <w:rFonts w:ascii="Arial" w:hAnsi="Arial"/>
        </w:rPr>
        <w:t xml:space="preserve">. </w:t>
      </w:r>
      <w:r w:rsidR="001025E2">
        <w:rPr>
          <w:rFonts w:ascii="Arial" w:hAnsi="Arial"/>
        </w:rPr>
        <w:t>Each of t</w:t>
      </w:r>
      <w:r>
        <w:rPr>
          <w:rFonts w:ascii="Arial" w:hAnsi="Arial"/>
        </w:rPr>
        <w:t xml:space="preserve">hese components </w:t>
      </w:r>
      <w:r w:rsidR="001025E2">
        <w:rPr>
          <w:rFonts w:ascii="Arial" w:hAnsi="Arial"/>
        </w:rPr>
        <w:t xml:space="preserve">is </w:t>
      </w:r>
      <w:r>
        <w:rPr>
          <w:rFonts w:ascii="Arial" w:hAnsi="Arial"/>
        </w:rPr>
        <w:t>expected to</w:t>
      </w:r>
      <w:r w:rsidR="0069298B">
        <w:rPr>
          <w:rFonts w:ascii="Arial" w:hAnsi="Arial"/>
        </w:rPr>
        <w:t xml:space="preserve"> relate</w:t>
      </w:r>
      <w:r>
        <w:rPr>
          <w:rFonts w:ascii="Arial" w:hAnsi="Arial"/>
        </w:rPr>
        <w:t xml:space="preserve"> to the specific IANA functions </w:t>
      </w:r>
      <w:r w:rsidR="00916F91">
        <w:rPr>
          <w:rFonts w:ascii="Arial" w:hAnsi="Arial"/>
        </w:rPr>
        <w:t>that</w:t>
      </w:r>
      <w:r>
        <w:rPr>
          <w:rFonts w:ascii="Arial" w:hAnsi="Arial"/>
        </w:rPr>
        <w:t xml:space="preserve"> are </w:t>
      </w:r>
      <w:r w:rsidR="001025E2">
        <w:rPr>
          <w:rFonts w:ascii="Arial" w:hAnsi="Arial"/>
        </w:rPr>
        <w:t xml:space="preserve">within the scope and mandate </w:t>
      </w:r>
      <w:r>
        <w:rPr>
          <w:rFonts w:ascii="Arial" w:hAnsi="Arial"/>
        </w:rPr>
        <w:t>of each operational community.</w:t>
      </w:r>
    </w:p>
    <w:p w14:paraId="39AD91F3" w14:textId="77777777" w:rsidR="00817765" w:rsidRDefault="00817765" w:rsidP="00C72284">
      <w:pPr>
        <w:rPr>
          <w:rFonts w:ascii="Arial" w:hAnsi="Arial"/>
        </w:rPr>
      </w:pPr>
    </w:p>
    <w:p w14:paraId="7C5BA3A3" w14:textId="0D346A7B" w:rsidR="0035497A" w:rsidRDefault="00817765" w:rsidP="006D68EB">
      <w:pPr>
        <w:rPr>
          <w:rFonts w:ascii="Arial" w:hAnsi="Arial"/>
        </w:rPr>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functions</w:t>
      </w:r>
      <w:r w:rsidR="00D02F28">
        <w:rPr>
          <w:rFonts w:ascii="Arial" w:hAnsi="Arial"/>
        </w:rPr>
        <w:t>.</w:t>
      </w:r>
      <w:r w:rsidR="006D68EB">
        <w:rPr>
          <w:rFonts w:ascii="Arial" w:hAnsi="Arial"/>
        </w:rPr>
        <w:t xml:space="preserve"> </w:t>
      </w:r>
      <w:r w:rsidR="001025E2">
        <w:rPr>
          <w:rFonts w:ascii="Arial" w:hAnsi="Arial"/>
        </w:rPr>
        <w:t xml:space="preserve">Once </w:t>
      </w:r>
      <w:r>
        <w:rPr>
          <w:rFonts w:ascii="Arial" w:hAnsi="Arial"/>
        </w:rPr>
        <w:t xml:space="preserve">the ICG </w:t>
      </w:r>
      <w:r w:rsidR="001025E2">
        <w:rPr>
          <w:rFonts w:ascii="Arial" w:hAnsi="Arial"/>
        </w:rPr>
        <w:t xml:space="preserve">combines </w:t>
      </w:r>
      <w:r w:rsidR="0035497A">
        <w:rPr>
          <w:rFonts w:ascii="Arial" w:hAnsi="Arial"/>
        </w:rPr>
        <w:t xml:space="preserve">various operational </w:t>
      </w:r>
      <w:r w:rsidR="001025E2">
        <w:rPr>
          <w:rFonts w:ascii="Arial" w:hAnsi="Arial"/>
        </w:rPr>
        <w:t xml:space="preserve">community </w:t>
      </w:r>
      <w:r w:rsidR="0035497A">
        <w:rPr>
          <w:rFonts w:ascii="Arial" w:hAnsi="Arial"/>
        </w:rPr>
        <w:t xml:space="preserve">proposals into a </w:t>
      </w:r>
      <w:r w:rsidR="00A662DC">
        <w:rPr>
          <w:rFonts w:ascii="Arial" w:hAnsi="Arial"/>
        </w:rPr>
        <w:t>single</w:t>
      </w:r>
      <w:r w:rsidR="0035497A">
        <w:rPr>
          <w:rFonts w:ascii="Arial" w:hAnsi="Arial"/>
        </w:rPr>
        <w:t xml:space="preserve"> proposal, some potential </w:t>
      </w:r>
      <w:r w:rsidR="001025E2">
        <w:rPr>
          <w:rFonts w:ascii="Arial" w:hAnsi="Arial"/>
        </w:rPr>
        <w:t>incompatibili</w:t>
      </w:r>
      <w:r w:rsidR="00DD32F0">
        <w:rPr>
          <w:rFonts w:ascii="Arial" w:hAnsi="Arial"/>
        </w:rPr>
        <w:t xml:space="preserve">ties, </w:t>
      </w:r>
      <w:r w:rsidR="0035497A">
        <w:rPr>
          <w:rFonts w:ascii="Arial" w:hAnsi="Arial"/>
        </w:rPr>
        <w:t>inconsistencies</w:t>
      </w:r>
      <w:r w:rsidR="001025E2">
        <w:rPr>
          <w:rFonts w:ascii="Arial" w:hAnsi="Arial"/>
        </w:rPr>
        <w:t>, overlap</w:t>
      </w:r>
      <w:r w:rsidR="00DD32F0">
        <w:rPr>
          <w:rFonts w:ascii="Arial" w:hAnsi="Arial"/>
        </w:rPr>
        <w:t>s,</w:t>
      </w:r>
      <w:r w:rsidR="001025E2">
        <w:rPr>
          <w:rFonts w:ascii="Arial" w:hAnsi="Arial"/>
        </w:rPr>
        <w:t xml:space="preserve"> </w:t>
      </w:r>
      <w:r w:rsidR="0035497A">
        <w:rPr>
          <w:rFonts w:ascii="Arial" w:hAnsi="Arial"/>
        </w:rPr>
        <w:t xml:space="preserve">or conflicts among the proposals may arise. </w:t>
      </w:r>
    </w:p>
    <w:p w14:paraId="62A19BA6" w14:textId="77777777" w:rsidR="0035497A" w:rsidRDefault="0035497A" w:rsidP="00C72284">
      <w:pPr>
        <w:rPr>
          <w:rFonts w:ascii="Arial" w:hAnsi="Arial"/>
        </w:rPr>
      </w:pPr>
    </w:p>
    <w:p w14:paraId="6CDD1DD2" w14:textId="3B08685E"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w:t>
      </w:r>
      <w:r w:rsidR="006033F4">
        <w:rPr>
          <w:rFonts w:ascii="Arial" w:hAnsi="Arial"/>
        </w:rPr>
        <w:t>S</w:t>
      </w:r>
      <w:r w:rsidR="00C14F90">
        <w:rPr>
          <w:rFonts w:ascii="Arial" w:hAnsi="Arial"/>
        </w:rPr>
        <w:t xml:space="preserve">tep </w:t>
      </w:r>
      <w:r w:rsidR="006033F4">
        <w:rPr>
          <w:rFonts w:ascii="Arial" w:hAnsi="Arial"/>
        </w:rPr>
        <w:t>I</w:t>
      </w:r>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6EA635E5" w14:textId="7997CEF2" w:rsidR="00C72284" w:rsidRPr="007A030A" w:rsidRDefault="00642B64" w:rsidP="009761D7">
      <w:pPr>
        <w:pStyle w:val="ListParagraph"/>
        <w:numPr>
          <w:ilvl w:val="0"/>
          <w:numId w:val="9"/>
        </w:numPr>
        <w:rPr>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proposal</w:t>
      </w:r>
      <w:r w:rsidR="00C72284" w:rsidRPr="00C72284">
        <w:rPr>
          <w:rFonts w:ascii="Arial" w:hAnsi="Arial"/>
        </w:rPr>
        <w:t xml:space="preserve">? Do they suggest any </w:t>
      </w:r>
      <w:r w:rsidR="001C2031">
        <w:rPr>
          <w:rFonts w:ascii="Arial" w:hAnsi="Arial"/>
        </w:rPr>
        <w:t xml:space="preserve">incompatible </w:t>
      </w:r>
      <w:r w:rsidR="00C72284" w:rsidRPr="00C72284">
        <w:rPr>
          <w:rFonts w:ascii="Arial" w:hAnsi="Arial"/>
        </w:rPr>
        <w:t xml:space="preserve">arrangements </w:t>
      </w:r>
      <w:r w:rsidR="001C2031">
        <w:rPr>
          <w:rFonts w:ascii="Arial" w:hAnsi="Arial"/>
        </w:rPr>
        <w:t>where compatability appears to be required</w:t>
      </w:r>
      <w:r w:rsidR="00B545E7" w:rsidRPr="00C72284">
        <w:rPr>
          <w:rFonts w:ascii="Arial" w:hAnsi="Arial"/>
        </w:rPr>
        <w:t>?</w:t>
      </w:r>
      <w:r w:rsidR="001025E2">
        <w:rPr>
          <w:rFonts w:ascii="Arial" w:hAnsi="Arial"/>
        </w:rPr>
        <w:t xml:space="preserve"> </w:t>
      </w:r>
      <w:r w:rsidR="003945A0" w:rsidRPr="007A030A">
        <w:rPr>
          <w:rFonts w:ascii="Arial" w:hAnsi="Arial"/>
        </w:rPr>
        <w:t>Is the handling of</w:t>
      </w:r>
      <w:r w:rsidR="00A81CD1" w:rsidRPr="007A030A">
        <w:rPr>
          <w:rFonts w:ascii="Arial" w:hAnsi="Arial"/>
        </w:rPr>
        <w:t xml:space="preserve"> </w:t>
      </w:r>
      <w:r w:rsidR="008810F7" w:rsidRPr="007A030A">
        <w:rPr>
          <w:rFonts w:ascii="Arial" w:hAnsi="Arial"/>
        </w:rPr>
        <w:t>any</w:t>
      </w:r>
      <w:r w:rsidR="00817765" w:rsidRPr="007A030A">
        <w:rPr>
          <w:rFonts w:ascii="Arial" w:hAnsi="Arial"/>
        </w:rPr>
        <w:t xml:space="preserve"> </w:t>
      </w:r>
      <w:r w:rsidR="00A662DC" w:rsidRPr="007A030A">
        <w:rPr>
          <w:rFonts w:ascii="Arial" w:hAnsi="Arial"/>
        </w:rPr>
        <w:t xml:space="preserve">conflicting </w:t>
      </w:r>
      <w:r w:rsidR="00BD6EBE" w:rsidRPr="007A030A">
        <w:rPr>
          <w:rFonts w:ascii="Arial" w:hAnsi="Arial"/>
        </w:rPr>
        <w:t xml:space="preserve">overlaps between the </w:t>
      </w:r>
      <w:r w:rsidR="00DC1735" w:rsidRPr="007A030A">
        <w:rPr>
          <w:rFonts w:ascii="Arial" w:hAnsi="Arial"/>
        </w:rPr>
        <w:t>functions</w:t>
      </w:r>
      <w:r w:rsidR="00B545E7" w:rsidRPr="007A030A">
        <w:rPr>
          <w:rFonts w:ascii="Arial" w:hAnsi="Arial"/>
        </w:rPr>
        <w:t xml:space="preserve"> </w:t>
      </w:r>
      <w:r w:rsidR="00817765" w:rsidRPr="007A030A">
        <w:rPr>
          <w:rFonts w:ascii="Arial" w:hAnsi="Arial"/>
        </w:rPr>
        <w:t>resolved</w:t>
      </w:r>
      <w:r w:rsidR="00BD6EBE" w:rsidRPr="007A030A">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0AAF0F3" w:rsidR="00C72284" w:rsidRDefault="00E66ED0" w:rsidP="007A030A">
      <w:pPr>
        <w:pStyle w:val="ListParagraph"/>
        <w:numPr>
          <w:ilvl w:val="0"/>
          <w:numId w:val="9"/>
        </w:numPr>
        <w:rPr>
          <w:rFonts w:ascii="Arial" w:hAnsi="Arial"/>
        </w:rPr>
      </w:pPr>
      <w:r>
        <w:rPr>
          <w:rFonts w:ascii="Arial" w:hAnsi="Arial"/>
        </w:rPr>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r w:rsidR="00C85067">
        <w:rPr>
          <w:rFonts w:ascii="Arial" w:hAnsi="Arial"/>
        </w:rPr>
        <w:t xml:space="preserve">single </w:t>
      </w:r>
      <w:r w:rsidR="0035497A">
        <w:rPr>
          <w:rFonts w:ascii="Arial" w:hAnsi="Arial"/>
        </w:rPr>
        <w:t xml:space="preserve"> proposal?</w:t>
      </w:r>
    </w:p>
    <w:p w14:paraId="17FCA4AE" w14:textId="77777777" w:rsidR="0035497A" w:rsidRPr="001D5F1C" w:rsidRDefault="0035497A" w:rsidP="001D5F1C">
      <w:pPr>
        <w:pStyle w:val="ListParagraph"/>
        <w:rPr>
          <w:rFonts w:ascii="Arial" w:hAnsi="Arial"/>
        </w:rPr>
      </w:pPr>
    </w:p>
    <w:p w14:paraId="52467031" w14:textId="5A9D6F90" w:rsidR="0035497A" w:rsidRPr="00C72284" w:rsidRDefault="00C85067" w:rsidP="007A030A">
      <w:pPr>
        <w:pStyle w:val="ListParagraph"/>
        <w:numPr>
          <w:ilvl w:val="0"/>
          <w:numId w:val="9"/>
        </w:numPr>
        <w:rPr>
          <w:rFonts w:ascii="Arial" w:hAnsi="Arial"/>
        </w:rPr>
      </w:pPr>
      <w:r>
        <w:rPr>
          <w:rFonts w:ascii="Arial" w:hAnsi="Arial"/>
        </w:rPr>
        <w:t>Workability: Do the results of any tests or evaluations of workability that were included in the component proposals conflict with each other or raise possible concerns when considered in combination?</w:t>
      </w:r>
      <w:r w:rsidR="0035497A">
        <w:rPr>
          <w:rFonts w:ascii="Arial" w:hAnsi="Arial"/>
        </w:rPr>
        <w:t xml:space="preserve"> </w:t>
      </w:r>
    </w:p>
    <w:p w14:paraId="734ADE7D" w14:textId="77777777" w:rsidR="00C72284" w:rsidRDefault="00C72284">
      <w:pPr>
        <w:rPr>
          <w:rFonts w:ascii="Arial" w:hAnsi="Arial"/>
          <w:b/>
        </w:rPr>
      </w:pPr>
    </w:p>
    <w:p w14:paraId="72A3F37F" w14:textId="486B9951" w:rsidR="002A1CBB" w:rsidRDefault="00134100" w:rsidP="00DC1735">
      <w:pPr>
        <w:rPr>
          <w:rFonts w:ascii="Arial" w:hAnsi="Arial"/>
        </w:rPr>
      </w:pPr>
      <w:r>
        <w:rPr>
          <w:rFonts w:ascii="Arial" w:hAnsi="Arial"/>
        </w:rPr>
        <w:t xml:space="preserve">If the proposals pass </w:t>
      </w:r>
      <w:r w:rsidR="00E66ED0">
        <w:rPr>
          <w:rFonts w:ascii="Arial" w:hAnsi="Arial"/>
        </w:rPr>
        <w:t xml:space="preserve">these checks, </w:t>
      </w:r>
      <w:r w:rsidR="00DC1735">
        <w:rPr>
          <w:rFonts w:ascii="Arial" w:hAnsi="Arial"/>
        </w:rPr>
        <w:t xml:space="preserve">the ICG will publicly document the fact that the proposals are ready to move on to </w:t>
      </w:r>
      <w:r w:rsidR="006033F4">
        <w:rPr>
          <w:rFonts w:ascii="Arial" w:hAnsi="Arial"/>
        </w:rPr>
        <w:t>S</w:t>
      </w:r>
      <w:r w:rsidR="00DC1735">
        <w:rPr>
          <w:rFonts w:ascii="Arial" w:hAnsi="Arial"/>
        </w:rPr>
        <w:t xml:space="preserve">tep </w:t>
      </w:r>
      <w:r w:rsidR="006033F4">
        <w:rPr>
          <w:rFonts w:ascii="Arial" w:hAnsi="Arial"/>
        </w:rPr>
        <w:t>III</w:t>
      </w:r>
      <w:r w:rsidR="00DC1735">
        <w:rPr>
          <w:rFonts w:ascii="Arial" w:hAnsi="Arial"/>
        </w:rPr>
        <w:t xml:space="preserve">. If not,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1A046B3C" w14:textId="77777777" w:rsidR="00D551BC" w:rsidRDefault="00D551BC" w:rsidP="00E66ED0">
      <w:pPr>
        <w:rPr>
          <w:rFonts w:ascii="Arial" w:hAnsi="Arial"/>
        </w:rPr>
      </w:pPr>
    </w:p>
    <w:p w14:paraId="366BFC0C" w14:textId="77777777" w:rsidR="009F7FFC" w:rsidRDefault="009F7FFC" w:rsidP="00E66ED0">
      <w:pPr>
        <w:rPr>
          <w:rFonts w:ascii="Arial" w:hAnsi="Arial"/>
        </w:rPr>
      </w:pPr>
    </w:p>
    <w:p w14:paraId="483ADA70" w14:textId="62E59902" w:rsidR="0055364C" w:rsidRDefault="006033F4" w:rsidP="0055364C">
      <w:pPr>
        <w:ind w:left="720" w:hanging="720"/>
        <w:rPr>
          <w:rFonts w:ascii="Arial" w:hAnsi="Arial"/>
          <w:b/>
        </w:rPr>
      </w:pPr>
      <w:r>
        <w:rPr>
          <w:rFonts w:ascii="Arial" w:hAnsi="Arial"/>
          <w:b/>
        </w:rPr>
        <w:t>III</w:t>
      </w:r>
      <w:r w:rsidR="0055364C" w:rsidRPr="00C72284">
        <w:rPr>
          <w:rFonts w:ascii="Arial" w:hAnsi="Arial"/>
          <w:b/>
        </w:rPr>
        <w:t>.</w:t>
      </w:r>
      <w:r w:rsidR="0055364C" w:rsidRPr="00C72284">
        <w:rPr>
          <w:rFonts w:ascii="Arial" w:hAnsi="Arial"/>
          <w:b/>
        </w:rPr>
        <w:tab/>
      </w:r>
      <w:r w:rsidR="00DC1735">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05CE692E" w:rsidR="002A1CBB" w:rsidRDefault="00DC1735" w:rsidP="00E66ED0">
      <w:pPr>
        <w:rPr>
          <w:rFonts w:ascii="Arial" w:hAnsi="Arial"/>
        </w:rPr>
      </w:pPr>
      <w:r>
        <w:rPr>
          <w:rFonts w:ascii="Arial" w:hAnsi="Arial"/>
        </w:rPr>
        <w:t xml:space="preserve">Once all of the proposal components have passed </w:t>
      </w:r>
      <w:r w:rsidR="006033F4">
        <w:rPr>
          <w:rFonts w:ascii="Arial" w:hAnsi="Arial"/>
        </w:rPr>
        <w:t>S</w:t>
      </w:r>
      <w:r>
        <w:rPr>
          <w:rFonts w:ascii="Arial" w:hAnsi="Arial"/>
        </w:rPr>
        <w:t xml:space="preserve">tep </w:t>
      </w:r>
      <w:r w:rsidR="006033F4">
        <w:rPr>
          <w:rFonts w:ascii="Arial" w:hAnsi="Arial"/>
        </w:rPr>
        <w:t>II</w:t>
      </w:r>
      <w:r>
        <w:rPr>
          <w:rFonts w:ascii="Arial" w:hAnsi="Arial"/>
        </w:rPr>
        <w:t>, th</w:t>
      </w:r>
      <w:r w:rsidR="00B00328">
        <w:rPr>
          <w:rFonts w:ascii="Arial" w:hAnsi="Arial"/>
        </w:rPr>
        <w:t xml:space="preserve">e ICG will assemble a </w:t>
      </w:r>
      <w:r w:rsidR="00B11F52">
        <w:rPr>
          <w:rFonts w:ascii="Arial" w:hAnsi="Arial"/>
        </w:rPr>
        <w:t>single</w:t>
      </w:r>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operational communities to have public comments addressed before assembling an interim final proposal.</w:t>
      </w:r>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4DB51EC9" w:rsidR="000F4782" w:rsidRDefault="006033F4" w:rsidP="00943E9E">
      <w:pPr>
        <w:ind w:left="720" w:hanging="720"/>
        <w:rPr>
          <w:rFonts w:ascii="Arial" w:hAnsi="Arial"/>
          <w:b/>
        </w:rPr>
      </w:pPr>
      <w:r>
        <w:rPr>
          <w:rFonts w:ascii="Arial" w:hAnsi="Arial"/>
          <w:b/>
        </w:rPr>
        <w:t>IV</w:t>
      </w:r>
      <w:r w:rsidR="000F4782">
        <w:rPr>
          <w:rFonts w:ascii="Arial" w:hAnsi="Arial"/>
          <w:b/>
        </w:rPr>
        <w:t>.</w:t>
      </w:r>
      <w:r w:rsidR="000F4782">
        <w:rPr>
          <w:rFonts w:ascii="Arial" w:hAnsi="Arial"/>
          <w:b/>
        </w:rPr>
        <w:tab/>
      </w:r>
      <w:r w:rsidR="00DC1735">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7289E433" w:rsidR="00B545E7" w:rsidRDefault="000F4782" w:rsidP="000F4782">
      <w:pPr>
        <w:rPr>
          <w:rFonts w:ascii="Arial" w:hAnsi="Arial"/>
        </w:rPr>
      </w:pPr>
      <w:r>
        <w:rPr>
          <w:rFonts w:ascii="Arial" w:hAnsi="Arial"/>
        </w:rPr>
        <w:t xml:space="preserve">Once </w:t>
      </w:r>
      <w:r w:rsidR="006033F4">
        <w:rPr>
          <w:rFonts w:ascii="Arial" w:hAnsi="Arial"/>
        </w:rPr>
        <w:t>S</w:t>
      </w:r>
      <w:r>
        <w:rPr>
          <w:rFonts w:ascii="Arial" w:hAnsi="Arial"/>
        </w:rPr>
        <w:t xml:space="preserve">tep </w:t>
      </w:r>
      <w:r w:rsidR="006033F4">
        <w:rPr>
          <w:rFonts w:ascii="Arial" w:hAnsi="Arial"/>
        </w:rPr>
        <w:t>III</w:t>
      </w:r>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w:t>
      </w:r>
      <w:r w:rsidR="006033F4">
        <w:rPr>
          <w:rFonts w:ascii="Arial" w:hAnsi="Arial"/>
        </w:rPr>
        <w:t>S</w:t>
      </w:r>
      <w:r w:rsidR="005808EC">
        <w:rPr>
          <w:rFonts w:ascii="Arial" w:hAnsi="Arial"/>
        </w:rPr>
        <w:t xml:space="preserve">tep </w:t>
      </w:r>
      <w:r w:rsidR="006033F4">
        <w:rPr>
          <w:rFonts w:ascii="Arial" w:hAnsi="Arial"/>
        </w:rPr>
        <w:t>III</w:t>
      </w:r>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w:t>
      </w:r>
      <w:r w:rsidR="006033F4">
        <w:rPr>
          <w:rFonts w:ascii="Arial" w:hAnsi="Arial"/>
        </w:rPr>
        <w:t>S</w:t>
      </w:r>
      <w:r w:rsidR="00B364E2">
        <w:rPr>
          <w:rFonts w:ascii="Arial" w:hAnsi="Arial"/>
        </w:rPr>
        <w:t xml:space="preserve">tep </w:t>
      </w:r>
      <w:r w:rsidR="006033F4">
        <w:rPr>
          <w:rFonts w:ascii="Arial" w:hAnsi="Arial"/>
        </w:rPr>
        <w:t>V</w:t>
      </w:r>
      <w:r w:rsidRPr="000F4782">
        <w:rPr>
          <w:rFonts w:ascii="Arial" w:hAnsi="Arial"/>
        </w:rPr>
        <w:t>.</w:t>
      </w:r>
    </w:p>
    <w:p w14:paraId="5E08BCC6" w14:textId="77777777" w:rsidR="000F4782" w:rsidRPr="000F4782" w:rsidRDefault="000F4782" w:rsidP="000F4782">
      <w:pPr>
        <w:rPr>
          <w:rFonts w:ascii="Arial" w:hAnsi="Arial"/>
        </w:rPr>
      </w:pPr>
    </w:p>
    <w:p w14:paraId="42F6139C" w14:textId="2F046FBD" w:rsidR="006D68EB" w:rsidRDefault="000F4782" w:rsidP="006033F4">
      <w:pPr>
        <w:rPr>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If, in the ICG’s opinion, broad public support for the proposal as articulated by the NTIA is not present, the parts of the proposal that are not supported </w:t>
      </w:r>
      <w:r>
        <w:rPr>
          <w:rFonts w:ascii="Arial" w:hAnsi="Arial"/>
        </w:rPr>
        <w:t>will be returned to the operational communities.</w:t>
      </w:r>
    </w:p>
    <w:p w14:paraId="755B22DB" w14:textId="77777777" w:rsidR="006D68EB" w:rsidRDefault="006D68EB" w:rsidP="006033F4">
      <w:pPr>
        <w:rPr>
          <w:rFonts w:ascii="Arial" w:hAnsi="Arial"/>
        </w:rPr>
      </w:pPr>
    </w:p>
    <w:p w14:paraId="196A9590" w14:textId="77777777" w:rsidR="00B364E2" w:rsidRDefault="00B364E2" w:rsidP="006033F4">
      <w:pPr>
        <w:rPr>
          <w:rFonts w:ascii="Arial" w:hAnsi="Arial"/>
        </w:rPr>
      </w:pPr>
    </w:p>
    <w:p w14:paraId="28F8705C" w14:textId="392DF2E1" w:rsidR="00B364E2" w:rsidRDefault="006033F4" w:rsidP="00B364E2">
      <w:pPr>
        <w:ind w:left="720" w:hanging="720"/>
        <w:rPr>
          <w:rFonts w:ascii="Arial" w:hAnsi="Arial"/>
        </w:rPr>
      </w:pPr>
      <w:r>
        <w:rPr>
          <w:rFonts w:ascii="Arial" w:hAnsi="Arial"/>
          <w:b/>
        </w:rPr>
        <w:t>V</w:t>
      </w:r>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32CB7B21" w:rsidR="00B364E2" w:rsidRDefault="00B364E2" w:rsidP="007A030A">
      <w:pPr>
        <w:pStyle w:val="ListParagraph"/>
        <w:numPr>
          <w:ilvl w:val="0"/>
          <w:numId w:val="10"/>
        </w:numPr>
        <w:rPr>
          <w:rFonts w:ascii="Arial" w:hAnsi="Arial"/>
        </w:rPr>
      </w:pPr>
      <w:r w:rsidRPr="00B364E2">
        <w:rPr>
          <w:rFonts w:ascii="Arial" w:hAnsi="Arial"/>
        </w:rPr>
        <w:t>The ICG will post the final proposal on its public web site</w:t>
      </w:r>
      <w:r w:rsidR="00862C10">
        <w:rPr>
          <w:rFonts w:ascii="Arial" w:hAnsi="Arial"/>
        </w:rPr>
        <w:t xml:space="preserve"> and</w:t>
      </w:r>
      <w:r w:rsidR="0025272B">
        <w:rPr>
          <w:rFonts w:ascii="Arial" w:hAnsi="Arial"/>
        </w:rPr>
        <w:t xml:space="preserve"> transmit it to the ICANN Board.</w:t>
      </w:r>
    </w:p>
    <w:p w14:paraId="6589FB32" w14:textId="77777777" w:rsidR="00B364E2" w:rsidRPr="00B364E2" w:rsidRDefault="00B364E2" w:rsidP="00B364E2">
      <w:pPr>
        <w:rPr>
          <w:rFonts w:ascii="Arial" w:hAnsi="Arial"/>
        </w:rPr>
      </w:pPr>
    </w:p>
    <w:p w14:paraId="23962DA6" w14:textId="1C867D61" w:rsidR="00786137" w:rsidRPr="007A030A" w:rsidRDefault="001C58BA" w:rsidP="007A030A">
      <w:pPr>
        <w:pStyle w:val="ListParagraph"/>
        <w:numPr>
          <w:ilvl w:val="0"/>
          <w:numId w:val="10"/>
        </w:numPr>
        <w:rPr>
          <w:rFonts w:ascii="Arial" w:hAnsi="Arial"/>
        </w:rPr>
      </w:pPr>
      <w:r>
        <w:rPr>
          <w:rFonts w:ascii="Helvetica" w:hAnsi="Helvetica" w:cs="Helvetica"/>
        </w:rPr>
        <w:t xml:space="preserve">As </w:t>
      </w:r>
      <w:r w:rsidR="001563A1">
        <w:rPr>
          <w:rFonts w:ascii="Helvetica" w:hAnsi="Helvetica" w:cs="Helvetica"/>
        </w:rPr>
        <w:t>the ICANN Board</w:t>
      </w:r>
      <w:r>
        <w:rPr>
          <w:rFonts w:ascii="Helvetica" w:hAnsi="Helvetica" w:cs="Helvetica"/>
        </w:rPr>
        <w:t xml:space="preserve"> has confirmed to the ICG</w:t>
      </w:r>
      <w:r w:rsidR="001563A1">
        <w:rPr>
          <w:rFonts w:ascii="Helvetica" w:hAnsi="Helvetica" w:cs="Helvetica"/>
        </w:rPr>
        <w:t>, t</w:t>
      </w:r>
      <w:r w:rsidR="003945A0">
        <w:rPr>
          <w:rFonts w:ascii="Helvetica" w:hAnsi="Helvetica" w:cs="Helvetica"/>
        </w:rPr>
        <w:t xml:space="preserve">he Board will send the final </w:t>
      </w:r>
      <w:r w:rsidR="009F7FFC">
        <w:rPr>
          <w:rFonts w:ascii="Helvetica" w:hAnsi="Helvetica" w:cs="Helvetica"/>
        </w:rPr>
        <w:t>proposal</w:t>
      </w:r>
      <w:r w:rsidR="003945A0">
        <w:rPr>
          <w:rFonts w:ascii="Helvetica" w:hAnsi="Helvetica" w:cs="Helvetica"/>
        </w:rPr>
        <w:t xml:space="preserve"> to NTIA without making any changes within </w:t>
      </w:r>
      <w:bookmarkStart w:id="0" w:name="_GoBack"/>
      <w:bookmarkEnd w:id="0"/>
      <w:r w:rsidR="003945A0">
        <w:rPr>
          <w:rFonts w:ascii="Helvetica" w:hAnsi="Helvetica" w:cs="Helvetica"/>
        </w:rPr>
        <w:t>14 days of receiving the proposal</w:t>
      </w:r>
      <w:r w:rsidR="009F7FFC">
        <w:rPr>
          <w:rFonts w:ascii="Helvetica" w:hAnsi="Helvetica" w:cs="Helvetica"/>
        </w:rPr>
        <w:t xml:space="preserve"> from the ICG</w:t>
      </w:r>
      <w:r w:rsidR="0025272B">
        <w:rPr>
          <w:rFonts w:ascii="Helvetica" w:hAnsi="Helvetica" w:cs="Helvetica"/>
        </w:rPr>
        <w:t xml:space="preserve"> and will make public any </w:t>
      </w:r>
      <w:r w:rsidR="001543CC">
        <w:rPr>
          <w:rFonts w:ascii="Helvetica" w:hAnsi="Helvetica" w:cs="Helvetica"/>
        </w:rPr>
        <w:t>communications it sends to NTIA together with the proposal</w:t>
      </w:r>
      <w:r w:rsidR="00672E0D">
        <w:rPr>
          <w:rFonts w:ascii="Helvetica" w:hAnsi="Helvetica" w:cs="Helvetica"/>
        </w:rPr>
        <w:t>.</w:t>
      </w:r>
    </w:p>
    <w:p w14:paraId="38DD9030" w14:textId="77777777" w:rsidR="003945A0" w:rsidRPr="00672E0D" w:rsidRDefault="003945A0" w:rsidP="00672E0D">
      <w:pPr>
        <w:rPr>
          <w:rFonts w:ascii="Arial" w:hAnsi="Arial"/>
        </w:rPr>
      </w:pPr>
    </w:p>
    <w:p w14:paraId="79768B32" w14:textId="4060839D" w:rsidR="00B364E2" w:rsidRPr="00B364E2" w:rsidRDefault="00672E0D" w:rsidP="007A030A">
      <w:pPr>
        <w:pStyle w:val="ListParagraph"/>
        <w:numPr>
          <w:ilvl w:val="0"/>
          <w:numId w:val="10"/>
        </w:numPr>
        <w:rPr>
          <w:rFonts w:ascii="Arial" w:hAnsi="Arial"/>
        </w:rPr>
      </w:pPr>
      <w:r w:rsidRPr="00672E0D">
        <w:rPr>
          <w:rFonts w:ascii="Helvetica" w:hAnsi="Helvetica" w:cs="Helvetica"/>
        </w:rPr>
        <w:t xml:space="preserve">If the ICANN Board has an issue with the proposal, the ICG understands that the ICANN Board will have already shared that with the ICG in a </w:t>
      </w:r>
      <w:r w:rsidRPr="00672E0D">
        <w:rPr>
          <w:rFonts w:ascii="Helvetica" w:hAnsi="Helvetica" w:cs="Helvetica"/>
        </w:rPr>
        <w:lastRenderedPageBreak/>
        <w:t>timely manner</w:t>
      </w:r>
      <w:r w:rsidR="001C58BA">
        <w:rPr>
          <w:rFonts w:ascii="Helvetica" w:hAnsi="Helvetica" w:cs="Helvetica"/>
        </w:rPr>
        <w:t xml:space="preserve"> to avoid any last-minute contention</w:t>
      </w:r>
      <w:r w:rsidRPr="00672E0D">
        <w:rPr>
          <w:rFonts w:ascii="Helvetica" w:hAnsi="Helvetica" w:cs="Helvetica"/>
        </w:rPr>
        <w:t>, through the available opportunities of dialogue and public comment.</w:t>
      </w:r>
    </w:p>
    <w:p w14:paraId="53C6FBCB" w14:textId="77777777" w:rsidR="000F4782" w:rsidRPr="000F4782" w:rsidRDefault="000F4782">
      <w:pPr>
        <w:rPr>
          <w:rFonts w:ascii="Arial" w:hAnsi="Arial"/>
        </w:rPr>
      </w:pPr>
    </w:p>
    <w:sectPr w:rsidR="000F4782" w:rsidRPr="000F4782" w:rsidSect="006251FD">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B56A" w14:textId="77777777" w:rsidR="001C2031" w:rsidRDefault="001C2031" w:rsidP="00134100">
      <w:r>
        <w:separator/>
      </w:r>
    </w:p>
  </w:endnote>
  <w:endnote w:type="continuationSeparator" w:id="0">
    <w:p w14:paraId="00DB4753" w14:textId="77777777" w:rsidR="001C2031" w:rsidRDefault="001C2031"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1C2031" w:rsidRDefault="001C2031"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1C2031" w:rsidRDefault="001C2031"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1C2031" w:rsidRPr="00134100" w:rsidRDefault="001C2031"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ED54A5">
      <w:rPr>
        <w:rStyle w:val="PageNumber"/>
        <w:rFonts w:ascii="Arial" w:hAnsi="Arial"/>
        <w:noProof/>
      </w:rPr>
      <w:t>1</w:t>
    </w:r>
    <w:r w:rsidRPr="00134100">
      <w:rPr>
        <w:rStyle w:val="PageNumber"/>
        <w:rFonts w:ascii="Arial" w:hAnsi="Arial"/>
      </w:rPr>
      <w:fldChar w:fldCharType="end"/>
    </w:r>
  </w:p>
  <w:p w14:paraId="63E5C842" w14:textId="77777777" w:rsidR="001C2031" w:rsidRDefault="001C2031"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8A44" w14:textId="77777777" w:rsidR="001C2031" w:rsidRDefault="001C2031" w:rsidP="00134100">
      <w:r>
        <w:separator/>
      </w:r>
    </w:p>
  </w:footnote>
  <w:footnote w:type="continuationSeparator" w:id="0">
    <w:p w14:paraId="0355F1D6" w14:textId="77777777" w:rsidR="001C2031" w:rsidRDefault="001C2031" w:rsidP="00134100">
      <w:r>
        <w:continuationSeparator/>
      </w:r>
    </w:p>
  </w:footnote>
  <w:footnote w:id="1">
    <w:p w14:paraId="2D173FC7" w14:textId="086B5BCF" w:rsidR="001C2031" w:rsidRPr="008329B3" w:rsidRDefault="001C2031">
      <w:pPr>
        <w:pStyle w:val="FootnoteText"/>
        <w:rPr>
          <w:rFonts w:ascii="Arial" w:hAnsi="Arial" w:cs="Arial"/>
          <w:sz w:val="20"/>
          <w:szCs w:val="20"/>
        </w:rPr>
      </w:pPr>
      <w:r w:rsidRPr="008329B3">
        <w:rPr>
          <w:rStyle w:val="FootnoteReference"/>
          <w:rFonts w:ascii="Arial" w:hAnsi="Arial" w:cs="Arial"/>
          <w:sz w:val="20"/>
          <w:szCs w:val="20"/>
        </w:rPr>
        <w:footnoteRef/>
      </w:r>
      <w:r w:rsidRPr="00DD32F0">
        <w:rPr>
          <w:rFonts w:ascii="Arial" w:hAnsi="Arial" w:cs="Arial"/>
          <w:sz w:val="20"/>
          <w:szCs w:val="20"/>
        </w:rPr>
        <w:t xml:space="preserve"> </w:t>
      </w:r>
      <w:hyperlink r:id="rId1" w:history="1">
        <w:r w:rsidRPr="008329B3">
          <w:rPr>
            <w:rStyle w:val="Hyperlink"/>
            <w:rFonts w:ascii="Arial" w:hAnsi="Arial" w:cs="Arial"/>
            <w:sz w:val="20"/>
            <w:szCs w:val="20"/>
          </w:rPr>
          <w:t>https://www.icann.org/en/system/files/files/icg-process-timeline-08sep14-en.pdf</w:t>
        </w:r>
      </w:hyperlink>
      <w:r w:rsidRPr="008329B3">
        <w:rPr>
          <w:rFonts w:ascii="Arial" w:hAnsi="Arial" w:cs="Arial"/>
          <w:sz w:val="20"/>
          <w:szCs w:val="20"/>
        </w:rPr>
        <w:t xml:space="preserve"> </w:t>
      </w:r>
    </w:p>
  </w:footnote>
  <w:footnote w:id="2">
    <w:p w14:paraId="48DFF199" w14:textId="723510B4" w:rsidR="001C2031" w:rsidRPr="001C2031" w:rsidRDefault="001C2031">
      <w:pPr>
        <w:pStyle w:val="FootnoteText"/>
        <w:rPr>
          <w:rFonts w:ascii="Arial" w:hAnsi="Arial" w:cs="Arial"/>
          <w:sz w:val="20"/>
          <w:szCs w:val="20"/>
        </w:rPr>
      </w:pPr>
      <w:r w:rsidRPr="001C2031">
        <w:rPr>
          <w:rStyle w:val="FootnoteReference"/>
          <w:rFonts w:ascii="Arial" w:hAnsi="Arial" w:cs="Arial"/>
          <w:sz w:val="20"/>
          <w:szCs w:val="20"/>
        </w:rPr>
        <w:footnoteRef/>
      </w:r>
      <w:r w:rsidRPr="001C2031">
        <w:rPr>
          <w:rFonts w:ascii="Arial" w:hAnsi="Arial" w:cs="Arial"/>
          <w:sz w:val="20"/>
          <w:szCs w:val="20"/>
        </w:rPr>
        <w:t xml:space="preserve"> </w:t>
      </w:r>
      <w:hyperlink r:id="rId2" w:history="1">
        <w:r w:rsidR="006F581E" w:rsidRPr="00C63F63">
          <w:rPr>
            <w:rStyle w:val="Hyperlink"/>
            <w:rFonts w:ascii="Arial" w:hAnsi="Arial" w:cs="Arial"/>
            <w:sz w:val="20"/>
            <w:szCs w:val="20"/>
          </w:rPr>
          <w:t>http://www.ntia.doc.gov/press-release/2014/ntia-announces-intent-transition-key-internet-domain-name-functions</w:t>
        </w:r>
      </w:hyperlink>
      <w:r w:rsidR="006F581E">
        <w:rPr>
          <w:rFonts w:ascii="Arial" w:hAnsi="Arial" w:cs="Arial"/>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71620E"/>
    <w:multiLevelType w:val="hybridMultilevel"/>
    <w:tmpl w:val="04E88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C4B1D"/>
    <w:multiLevelType w:val="hybridMultilevel"/>
    <w:tmpl w:val="CDA8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222C9"/>
    <w:multiLevelType w:val="hybridMultilevel"/>
    <w:tmpl w:val="88F0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515A6"/>
    <w:multiLevelType w:val="hybridMultilevel"/>
    <w:tmpl w:val="858EF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B64A3"/>
    <w:multiLevelType w:val="hybridMultilevel"/>
    <w:tmpl w:val="BAE8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0"/>
  </w:num>
  <w:num w:numId="5">
    <w:abstractNumId w:val="5"/>
  </w:num>
  <w:num w:numId="6">
    <w:abstractNumId w:val="1"/>
  </w:num>
  <w:num w:numId="7">
    <w:abstractNumId w:val="3"/>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020DE"/>
    <w:rsid w:val="001025E2"/>
    <w:rsid w:val="00115D66"/>
    <w:rsid w:val="00117C5C"/>
    <w:rsid w:val="00123846"/>
    <w:rsid w:val="001308D6"/>
    <w:rsid w:val="00130AC6"/>
    <w:rsid w:val="00134100"/>
    <w:rsid w:val="001543CC"/>
    <w:rsid w:val="001563A1"/>
    <w:rsid w:val="001C2031"/>
    <w:rsid w:val="001C58BA"/>
    <w:rsid w:val="001D5F1C"/>
    <w:rsid w:val="002433B4"/>
    <w:rsid w:val="0025272B"/>
    <w:rsid w:val="002A1CBB"/>
    <w:rsid w:val="002C202B"/>
    <w:rsid w:val="002C2CE0"/>
    <w:rsid w:val="00302A43"/>
    <w:rsid w:val="0030394C"/>
    <w:rsid w:val="003116F4"/>
    <w:rsid w:val="0032283E"/>
    <w:rsid w:val="00324FD8"/>
    <w:rsid w:val="00325535"/>
    <w:rsid w:val="0035497A"/>
    <w:rsid w:val="00391F29"/>
    <w:rsid w:val="003945A0"/>
    <w:rsid w:val="003960C7"/>
    <w:rsid w:val="003E711B"/>
    <w:rsid w:val="003F3179"/>
    <w:rsid w:val="003F51A0"/>
    <w:rsid w:val="003F67A3"/>
    <w:rsid w:val="004151D6"/>
    <w:rsid w:val="004651E3"/>
    <w:rsid w:val="004C66D6"/>
    <w:rsid w:val="004E6CBF"/>
    <w:rsid w:val="004E6FFF"/>
    <w:rsid w:val="004F24A5"/>
    <w:rsid w:val="004F5D62"/>
    <w:rsid w:val="0055364C"/>
    <w:rsid w:val="005808EC"/>
    <w:rsid w:val="005F6A9D"/>
    <w:rsid w:val="006033F4"/>
    <w:rsid w:val="00622721"/>
    <w:rsid w:val="006251FD"/>
    <w:rsid w:val="00642B64"/>
    <w:rsid w:val="00672E0D"/>
    <w:rsid w:val="00673907"/>
    <w:rsid w:val="00683435"/>
    <w:rsid w:val="00687A5F"/>
    <w:rsid w:val="006923EF"/>
    <w:rsid w:val="0069298B"/>
    <w:rsid w:val="006B36C9"/>
    <w:rsid w:val="006C2AF5"/>
    <w:rsid w:val="006D68EB"/>
    <w:rsid w:val="006F581E"/>
    <w:rsid w:val="007012DA"/>
    <w:rsid w:val="00717402"/>
    <w:rsid w:val="00785E9A"/>
    <w:rsid w:val="00786137"/>
    <w:rsid w:val="007865AC"/>
    <w:rsid w:val="00793DA2"/>
    <w:rsid w:val="007A030A"/>
    <w:rsid w:val="007B711D"/>
    <w:rsid w:val="00817765"/>
    <w:rsid w:val="008329B3"/>
    <w:rsid w:val="00841B18"/>
    <w:rsid w:val="00862C10"/>
    <w:rsid w:val="008810F7"/>
    <w:rsid w:val="00882066"/>
    <w:rsid w:val="008D22B3"/>
    <w:rsid w:val="008E026C"/>
    <w:rsid w:val="00916F91"/>
    <w:rsid w:val="00943E9E"/>
    <w:rsid w:val="009632CE"/>
    <w:rsid w:val="009761D7"/>
    <w:rsid w:val="00990741"/>
    <w:rsid w:val="009B4BB4"/>
    <w:rsid w:val="009F7FFC"/>
    <w:rsid w:val="00A44954"/>
    <w:rsid w:val="00A662DC"/>
    <w:rsid w:val="00A81CD1"/>
    <w:rsid w:val="00AB0CB1"/>
    <w:rsid w:val="00B00328"/>
    <w:rsid w:val="00B11F52"/>
    <w:rsid w:val="00B364E2"/>
    <w:rsid w:val="00B36BED"/>
    <w:rsid w:val="00B4385F"/>
    <w:rsid w:val="00B47424"/>
    <w:rsid w:val="00B5451A"/>
    <w:rsid w:val="00B545E7"/>
    <w:rsid w:val="00B73A34"/>
    <w:rsid w:val="00B90CE5"/>
    <w:rsid w:val="00BD6EBE"/>
    <w:rsid w:val="00BE5D12"/>
    <w:rsid w:val="00C05F87"/>
    <w:rsid w:val="00C12511"/>
    <w:rsid w:val="00C14F90"/>
    <w:rsid w:val="00C72284"/>
    <w:rsid w:val="00C76295"/>
    <w:rsid w:val="00C85067"/>
    <w:rsid w:val="00CC4931"/>
    <w:rsid w:val="00D02F28"/>
    <w:rsid w:val="00D3237D"/>
    <w:rsid w:val="00D40936"/>
    <w:rsid w:val="00D474CC"/>
    <w:rsid w:val="00D551BC"/>
    <w:rsid w:val="00D611E1"/>
    <w:rsid w:val="00DC1735"/>
    <w:rsid w:val="00DD32F0"/>
    <w:rsid w:val="00DF24A9"/>
    <w:rsid w:val="00E4247E"/>
    <w:rsid w:val="00E6555B"/>
    <w:rsid w:val="00E66ED0"/>
    <w:rsid w:val="00EC7578"/>
    <w:rsid w:val="00ED54A5"/>
    <w:rsid w:val="00F02180"/>
    <w:rsid w:val="00F06E1D"/>
    <w:rsid w:val="00F77C15"/>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cg-process-timeline-08sep14-en.pdf" TargetMode="External"/><Relationship Id="rId2" Type="http://schemas.openxmlformats.org/officeDocument/2006/relationships/hyperlink" Target="http://www.ntia.doc.gov/press-release/2014/ntia-announces-intent-transition-key-internet-domain-name-fu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4F52-CC62-6A46-810D-6FBBE32D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5288</Characters>
  <Application>Microsoft Macintosh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Cisco Systems Inc.</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Alissa Cooper</cp:lastModifiedBy>
  <cp:revision>3</cp:revision>
  <cp:lastPrinted>2014-10-23T22:14:00Z</cp:lastPrinted>
  <dcterms:created xsi:type="dcterms:W3CDTF">2014-12-16T20:58:00Z</dcterms:created>
  <dcterms:modified xsi:type="dcterms:W3CDTF">2014-12-16T20:59:00Z</dcterms:modified>
</cp:coreProperties>
</file>