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31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4035"/>
        <w:gridCol w:w="1530"/>
        <w:gridCol w:w="2160"/>
        <w:tblGridChange w:id="0">
          <w:tblGrid>
            <w:gridCol w:w="5430"/>
            <w:gridCol w:w="4035"/>
            <w:gridCol w:w="1530"/>
            <w:gridCol w:w="2160"/>
          </w:tblGrid>
        </w:tblGridChange>
      </w:tblGrid>
      <w:tr>
        <w:tc>
          <w:tcPr>
            <w:shd w:fill="ffff00"/>
          </w:tcPr>
          <w:p w:rsidR="00000000" w:rsidDel="00000000" w:rsidP="00000000" w:rsidRDefault="00000000" w:rsidRPr="00000000">
            <w:pPr>
              <w:spacing w:after="60" w:lineRule="auto"/>
              <w:contextualSpacing w:val="0"/>
              <w:jc w:val="center"/>
            </w:pPr>
            <w:r w:rsidDel="00000000" w:rsidR="00000000" w:rsidRPr="00000000">
              <w:rPr>
                <w:rFonts w:ascii="Arial" w:cs="Arial" w:eastAsia="Arial" w:hAnsi="Arial"/>
                <w:b w:val="1"/>
                <w:rtl w:val="0"/>
              </w:rPr>
              <w:t xml:space="preserve">IPC Criteria</w:t>
            </w:r>
          </w:p>
        </w:tc>
        <w:tc>
          <w:tcPr>
            <w:shd w:fill="ffff00"/>
          </w:tcPr>
          <w:p w:rsidR="00000000" w:rsidDel="00000000" w:rsidP="00000000" w:rsidRDefault="00000000" w:rsidRPr="00000000">
            <w:pPr>
              <w:spacing w:after="60" w:lineRule="auto"/>
              <w:contextualSpacing w:val="0"/>
              <w:jc w:val="center"/>
            </w:pPr>
            <w:r w:rsidDel="00000000" w:rsidR="00000000" w:rsidRPr="00000000">
              <w:rPr>
                <w:rFonts w:ascii="Arial" w:cs="Arial" w:eastAsia="Arial" w:hAnsi="Arial"/>
                <w:b w:val="1"/>
                <w:rtl w:val="0"/>
              </w:rPr>
              <w:t xml:space="preserve">CCWG Position</w:t>
            </w:r>
          </w:p>
        </w:tc>
        <w:tc>
          <w:tcPr>
            <w:shd w:fill="ffff00"/>
          </w:tcPr>
          <w:p w:rsidR="00000000" w:rsidDel="00000000" w:rsidP="00000000" w:rsidRDefault="00000000" w:rsidRPr="00000000">
            <w:pPr>
              <w:spacing w:after="60" w:lineRule="auto"/>
              <w:contextualSpacing w:val="0"/>
              <w:jc w:val="center"/>
            </w:pPr>
            <w:r w:rsidDel="00000000" w:rsidR="00000000" w:rsidRPr="00000000">
              <w:rPr>
                <w:rFonts w:ascii="Arial" w:cs="Arial" w:eastAsia="Arial" w:hAnsi="Arial"/>
                <w:b w:val="1"/>
                <w:rtl w:val="0"/>
              </w:rPr>
              <w:t xml:space="preserve">IPC Criteria Satisfied?</w:t>
            </w:r>
          </w:p>
        </w:tc>
        <w:tc>
          <w:tcPr>
            <w:shd w:fill="ffff00"/>
          </w:tcPr>
          <w:p w:rsidR="00000000" w:rsidDel="00000000" w:rsidP="00000000" w:rsidRDefault="00000000" w:rsidRPr="00000000">
            <w:pPr>
              <w:spacing w:after="60" w:lineRule="auto"/>
              <w:contextualSpacing w:val="0"/>
              <w:jc w:val="center"/>
            </w:pPr>
            <w:r w:rsidDel="00000000" w:rsidR="00000000" w:rsidRPr="00000000">
              <w:rPr>
                <w:rFonts w:ascii="Arial" w:cs="Arial" w:eastAsia="Arial" w:hAnsi="Arial"/>
                <w:b w:val="1"/>
                <w:rtl w:val="0"/>
              </w:rPr>
              <w:t xml:space="preserve">Proposed Revision (if any)</w:t>
            </w:r>
          </w:p>
        </w:tc>
      </w:tr>
      <w:tr>
        <w:tc>
          <w:tcPr/>
          <w:p w:rsidR="00000000" w:rsidDel="00000000" w:rsidP="00000000" w:rsidRDefault="00000000" w:rsidRPr="00000000">
            <w:pPr>
              <w:spacing w:after="60" w:lineRule="auto"/>
              <w:contextualSpacing w:val="0"/>
            </w:pPr>
            <w:bookmarkStart w:colFirst="0" w:colLast="0" w:name="h.gjdgxs" w:id="0"/>
            <w:bookmarkEnd w:id="0"/>
            <w:r w:rsidDel="00000000" w:rsidR="00000000" w:rsidRPr="00000000">
              <w:rPr>
                <w:rFonts w:ascii="Arial" w:cs="Arial" w:eastAsia="Arial" w:hAnsi="Arial"/>
                <w:color w:val="1f497d"/>
                <w:sz w:val="20"/>
                <w:szCs w:val="20"/>
                <w:rtl w:val="0"/>
              </w:rPr>
              <w:t xml:space="preserve">(a) confirm that contractual enforcement is a core responsibility within the ICANN mission and clarify that such enforcement is consistent with ICANN’s “limited technical mission”</w:t>
            </w:r>
            <w:hyperlink r:id="rId5">
              <w:r w:rsidDel="00000000" w:rsidR="00000000" w:rsidRPr="00000000">
                <w:rPr>
                  <w:rFonts w:ascii="Arial" w:cs="Arial" w:eastAsia="Arial" w:hAnsi="Arial"/>
                  <w:color w:val="1f497d"/>
                  <w:sz w:val="20"/>
                  <w:szCs w:val="20"/>
                  <w:u w:val="single"/>
                  <w:rtl w:val="0"/>
                </w:rPr>
                <w:t xml:space="preserve">[1]</w:t>
              </w:r>
            </w:hyperlink>
            <w:r w:rsidDel="00000000" w:rsidR="00000000" w:rsidRPr="00000000">
              <w:rPr>
                <w:rFonts w:ascii="Arial" w:cs="Arial" w:eastAsia="Arial" w:hAnsi="Arial"/>
                <w:color w:val="1f497d"/>
                <w:sz w:val="20"/>
                <w:szCs w:val="20"/>
                <w:rtl w:val="0"/>
              </w:rPr>
              <w:t xml:space="preserve">,</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Still in flux.  Bylaw regarding “content regulation” is being modified.  </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Not yet</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(b) either delete the proposed Bylaws Amendment on Human Rights or embrace all Human Rights listed in the UN Convention,</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embraces all “internationally recognized human rights” [whatever that means]</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Not yet</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(c) reinstate the requirement to balance Commitments and Core Values,</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This has been done.</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Yes</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(d) make certain that AoC Reviews (and particularly the commitment at para. 566) are part of the Fundamental Bylaws and make certain all constituencies, including the IPC,  are directly represented on the Review Teams,</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Virtually certain this is being done.</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Yes (?)</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(e) clarify that the recommended changes in structure do not affect AoC reviews currently in progress,</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I believe this has been done</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Yes (?)</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bookmarkStart w:colFirst="0" w:colLast="0" w:name="h.30j0zll" w:id="1"/>
            <w:bookmarkEnd w:id="1"/>
            <w:r w:rsidDel="00000000" w:rsidR="00000000" w:rsidRPr="00000000">
              <w:rPr>
                <w:rFonts w:ascii="Arial" w:cs="Arial" w:eastAsia="Arial" w:hAnsi="Arial"/>
                <w:color w:val="1f497d"/>
                <w:sz w:val="20"/>
                <w:szCs w:val="20"/>
                <w:rtl w:val="0"/>
              </w:rPr>
              <w:t xml:space="preserve">(f) adjust voting weight in the Single Member Model to more accurately reflect community interests, including intellectual property interests,</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Voting replaced by “consensus,” which basically gives GNSO equal weight with other SO/ACs.  Unclear how fractional/minority interests will be dealt with.</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Not yet</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(g) provide a method for challenging Board decisions even where the majority does not support such a challenge,</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IRP can be used for this.</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Yes, somewhat</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(h) retain Stress Test 18 regarding GAC consensus advice,</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Yes, but language still under review</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So far, so good</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(i) delete Stress Tests 29 and 30 as they are contrary to the concept that robust contractual enforcement is a key part of ICANN’s mission,</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Stress Tests 29 and 30 are still in, but under review</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Not yet</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(j) provide for interim remedies available to the Community pending a reconsideration or IRP which suspends implementation by the Board of a “captured” policy, and</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There are various defined escalation steps, but not sure how that applies to this particular concern</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Unsure</w:t>
            </w:r>
          </w:p>
        </w:tc>
        <w:tc>
          <w:tcPr/>
          <w:p w:rsidR="00000000" w:rsidDel="00000000" w:rsidP="00000000" w:rsidRDefault="00000000" w:rsidRPr="00000000">
            <w:pPr>
              <w:spacing w:after="60" w:lineRule="auto"/>
              <w:contextualSpacing w:val="0"/>
            </w:pPr>
            <w:r w:rsidDel="00000000" w:rsidR="00000000" w:rsidRPr="00000000">
              <w:rPr>
                <w:rtl w:val="0"/>
              </w:rPr>
            </w:r>
          </w:p>
        </w:tc>
      </w:tr>
      <w:tr>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(k) deal with the possibility that the exercise of a Community Power may also be “captured” and provides a remedy for that situation.</w:t>
            </w:r>
            <w:r w:rsidDel="00000000" w:rsidR="00000000" w:rsidRPr="00000000">
              <w:rPr>
                <w:rtl w:val="0"/>
              </w:rPr>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This is an SO/AC accountability issue, which is not a focus for WS1</w:t>
            </w:r>
          </w:p>
        </w:tc>
        <w:tc>
          <w:tcPr/>
          <w:p w:rsidR="00000000" w:rsidDel="00000000" w:rsidP="00000000" w:rsidRDefault="00000000" w:rsidRPr="00000000">
            <w:pPr>
              <w:spacing w:after="60" w:lineRule="auto"/>
              <w:contextualSpacing w:val="0"/>
            </w:pPr>
            <w:r w:rsidDel="00000000" w:rsidR="00000000" w:rsidRPr="00000000">
              <w:rPr>
                <w:rFonts w:ascii="Arial" w:cs="Arial" w:eastAsia="Arial" w:hAnsi="Arial"/>
                <w:color w:val="1f497d"/>
                <w:sz w:val="20"/>
                <w:szCs w:val="20"/>
                <w:rtl w:val="0"/>
              </w:rPr>
              <w:t xml:space="preserve">Not really</w:t>
            </w:r>
          </w:p>
        </w:tc>
        <w:tc>
          <w:tcPr/>
          <w:p w:rsidR="00000000" w:rsidDel="00000000" w:rsidP="00000000" w:rsidRDefault="00000000" w:rsidRPr="00000000">
            <w:pPr>
              <w:spacing w:after="6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headerReference r:id="rId6" w:type="default"/>
      <w:pgSz w:h="12240" w:w="158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center"/>
    </w:pPr>
    <w:r w:rsidDel="00000000" w:rsidR="00000000" w:rsidRPr="00000000">
      <w:rPr>
        <w:rFonts w:ascii="Arial" w:cs="Arial" w:eastAsia="Arial" w:hAnsi="Arial"/>
        <w:b w:val="1"/>
        <w:sz w:val="22"/>
        <w:szCs w:val="22"/>
        <w:rtl w:val="0"/>
      </w:rPr>
      <w:t xml:space="preserve">IPC CCWG Scorecard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mail.google.com/mail/u/0/#150b4bd6970253f6__ftn1" TargetMode="External"/><Relationship Id="rId6" Type="http://schemas.openxmlformats.org/officeDocument/2006/relationships/header" Target="header1.xml"/></Relationships>
</file>