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3472B" w14:textId="77777777" w:rsidR="000F2E79" w:rsidRDefault="000F2E79">
      <w:pPr>
        <w:rPr>
          <w:lang w:val="en-IE"/>
        </w:rPr>
      </w:pPr>
    </w:p>
    <w:p w14:paraId="54C6B536" w14:textId="77777777" w:rsidR="00F241CB" w:rsidRDefault="00F241CB">
      <w:pPr>
        <w:rPr>
          <w:lang w:val="en-IE"/>
        </w:rPr>
      </w:pPr>
    </w:p>
    <w:p w14:paraId="7BB8474A" w14:textId="1426A1B8" w:rsidR="00F241CB" w:rsidRDefault="00CC4AE7">
      <w:pPr>
        <w:rPr>
          <w:lang w:val="en-IE"/>
        </w:rPr>
      </w:pPr>
      <w:r>
        <w:rPr>
          <w:lang w:val="en-IE"/>
        </w:rPr>
        <w:t>GAC IRT members’ input on ICANN org’s p</w:t>
      </w:r>
      <w:r w:rsidR="00F241CB">
        <w:rPr>
          <w:lang w:val="en-IE"/>
        </w:rPr>
        <w:t>roposed language for the registration data policy concerning “urgent requests”</w:t>
      </w:r>
      <w:r>
        <w:rPr>
          <w:lang w:val="en-IE"/>
        </w:rPr>
        <w:t xml:space="preserve">. </w:t>
      </w:r>
    </w:p>
    <w:p w14:paraId="31836FD2" w14:textId="77777777" w:rsidR="00F241CB" w:rsidRDefault="00F241CB">
      <w:pPr>
        <w:rPr>
          <w:lang w:val="en-IE"/>
        </w:rPr>
      </w:pPr>
    </w:p>
    <w:p w14:paraId="497109AB" w14:textId="5DB93E23" w:rsidR="00F241CB" w:rsidRDefault="00F241CB">
      <w:pPr>
        <w:rPr>
          <w:lang w:val="en-IE"/>
        </w:rPr>
      </w:pPr>
    </w:p>
    <w:p w14:paraId="697C116B" w14:textId="77777777" w:rsidR="0004422D" w:rsidRDefault="00F241CB" w:rsidP="0004422D">
      <w:pPr>
        <w:rPr>
          <w:rFonts w:ascii="Calibri" w:eastAsia="Calibri" w:hAnsi="Calibri" w:cs="Calibri"/>
        </w:rPr>
      </w:pPr>
      <w:r>
        <w:rPr>
          <w:lang w:val="en-IE"/>
        </w:rPr>
        <w:t xml:space="preserve">Definition of Urgent Requests: </w:t>
      </w:r>
      <w:commentRangeStart w:id="0"/>
      <w:r w:rsidR="0004422D" w:rsidRPr="0004422D">
        <w:rPr>
          <w:rFonts w:ascii="Calibri" w:eastAsia="Calibri" w:hAnsi="Calibri" w:cs="Calibri"/>
          <w:color w:val="4F81BD" w:themeColor="accent1"/>
          <w:highlight w:val="white"/>
        </w:rPr>
        <w:t xml:space="preserve">requests that are limited to circumstances that pose an imminent threat to life, of serious bodily injury, to critical infrastructure, or of child exploitation in cases where disclosure of the data is necessary in combatting or addressing this threat. Critical infrastructure means the physical and cyber systems that are vital in that their incapacity or destruction would have a debilitating impact on economic security or public safety. </w:t>
      </w:r>
      <w:commentRangeEnd w:id="0"/>
      <w:r w:rsidR="0004422D">
        <w:rPr>
          <w:rStyle w:val="CommentReference"/>
        </w:rPr>
        <w:commentReference w:id="0"/>
      </w:r>
    </w:p>
    <w:p w14:paraId="63B12DFF" w14:textId="57B537DF" w:rsidR="00F241CB" w:rsidRPr="0004422D" w:rsidRDefault="00F241CB"/>
    <w:p w14:paraId="7A680180" w14:textId="77777777" w:rsidR="00F241CB" w:rsidRDefault="00F241CB">
      <w:pPr>
        <w:rPr>
          <w:lang w:val="en-IE"/>
        </w:rPr>
      </w:pPr>
    </w:p>
    <w:p w14:paraId="5C3EFA03" w14:textId="77777777" w:rsidR="00F241CB" w:rsidRDefault="00F241CB">
      <w:pPr>
        <w:rPr>
          <w:lang w:val="en-IE"/>
        </w:rPr>
      </w:pPr>
    </w:p>
    <w:p w14:paraId="467C3A05" w14:textId="77777777" w:rsidR="00802772" w:rsidRDefault="00802772" w:rsidP="00802772">
      <w:pPr>
        <w:rPr>
          <w:lang w:val="en-IE"/>
        </w:rPr>
      </w:pPr>
    </w:p>
    <w:p w14:paraId="64E4F9E0" w14:textId="26CABC71" w:rsidR="00802772" w:rsidRPr="00802772" w:rsidRDefault="00802772" w:rsidP="00802772">
      <w:pPr>
        <w:numPr>
          <w:ilvl w:val="0"/>
          <w:numId w:val="1"/>
        </w:numPr>
        <w:rPr>
          <w:rFonts w:ascii="Calibri" w:eastAsia="Calibri" w:hAnsi="Calibri" w:cs="Calibri"/>
          <w:color w:val="4F81BD" w:themeColor="accent1"/>
        </w:rPr>
      </w:pPr>
      <w:r w:rsidRPr="00802772">
        <w:rPr>
          <w:rFonts w:ascii="Calibri" w:eastAsia="Calibri" w:hAnsi="Calibri" w:cs="Calibri"/>
          <w:color w:val="4F81BD" w:themeColor="accent1"/>
        </w:rPr>
        <w:t xml:space="preserve">Registrar and Registry Operators MUST establish and maintain a dedicated point of contact, including a dedicated email address, to receive Urgent Requests for Lawful Disclosure, and MUST provide this contact information to ICANN for the purpose of maintaining a list of such contacts.  For Registrar operators, this contact MAY be the same as that described in RAA 3.18.3, which describes </w:t>
      </w:r>
      <w:r w:rsidRPr="00802772">
        <w:rPr>
          <w:rFonts w:ascii="Calibri" w:eastAsia="Calibri" w:hAnsi="Calibri" w:cs="Calibri"/>
          <w:i/>
          <w:iCs/>
          <w:color w:val="4F81BD" w:themeColor="accent1"/>
        </w:rPr>
        <w:t xml:space="preserve">“dedicated email address and telephone number that is monitored 24 hours a day, seven days a week, to receive reports of Illegal </w:t>
      </w:r>
      <w:proofErr w:type="gramStart"/>
      <w:r w:rsidRPr="00802772">
        <w:rPr>
          <w:rFonts w:ascii="Calibri" w:eastAsia="Calibri" w:hAnsi="Calibri" w:cs="Calibri"/>
          <w:i/>
          <w:iCs/>
          <w:color w:val="4F81BD" w:themeColor="accent1"/>
        </w:rPr>
        <w:t>Activity ”</w:t>
      </w:r>
      <w:proofErr w:type="gramEnd"/>
      <w:r w:rsidRPr="00802772">
        <w:rPr>
          <w:rFonts w:ascii="Calibri" w:eastAsia="Calibri" w:hAnsi="Calibri" w:cs="Calibri"/>
          <w:color w:val="4F81BD" w:themeColor="accent1"/>
        </w:rPr>
        <w:t>.</w:t>
      </w:r>
    </w:p>
    <w:p w14:paraId="6832F476" w14:textId="77777777" w:rsidR="00802772" w:rsidRDefault="00802772" w:rsidP="00802772">
      <w:pPr>
        <w:ind w:left="720"/>
        <w:rPr>
          <w:rFonts w:ascii="Calibri" w:eastAsia="Calibri" w:hAnsi="Calibri" w:cs="Calibri"/>
        </w:rPr>
      </w:pPr>
    </w:p>
    <w:p w14:paraId="049F0CD1" w14:textId="20973BFC" w:rsidR="00F241CB" w:rsidRPr="007C2D26" w:rsidRDefault="00F241CB" w:rsidP="007C2D26">
      <w:pPr>
        <w:numPr>
          <w:ilvl w:val="0"/>
          <w:numId w:val="1"/>
        </w:numPr>
        <w:rPr>
          <w:rFonts w:ascii="Calibri" w:eastAsia="Calibri" w:hAnsi="Calibri" w:cs="Calibri"/>
        </w:rPr>
      </w:pPr>
      <w:r w:rsidRPr="007C2D26">
        <w:rPr>
          <w:rFonts w:ascii="Calibri" w:eastAsia="Calibri" w:hAnsi="Calibri" w:cs="Calibri"/>
        </w:rPr>
        <w:t xml:space="preserve">For Urgent Requests for Lawful Disclosure from an authenticated entity, Registrar and Registry Operator MUST acknowledge receipt of an Urgent Request for Lawful Disclosure </w:t>
      </w:r>
      <w:r w:rsidRPr="007C2D26">
        <w:rPr>
          <w:rFonts w:ascii="Calibri" w:eastAsia="Calibri" w:hAnsi="Calibri" w:cs="Calibri"/>
          <w:b/>
        </w:rPr>
        <w:t xml:space="preserve">without undue delay, but no more than two hours from receipt. </w:t>
      </w:r>
    </w:p>
    <w:p w14:paraId="64BB65D2" w14:textId="734DFAAD" w:rsidR="00F241CB" w:rsidRPr="00767328" w:rsidRDefault="00F241CB" w:rsidP="00F241CB">
      <w:pPr>
        <w:numPr>
          <w:ilvl w:val="1"/>
          <w:numId w:val="1"/>
        </w:numPr>
        <w:rPr>
          <w:rFonts w:ascii="Calibri" w:eastAsia="Calibri" w:hAnsi="Calibri" w:cs="Calibri"/>
          <w:strike/>
        </w:rPr>
      </w:pPr>
      <w:r w:rsidRPr="00767328">
        <w:rPr>
          <w:rFonts w:ascii="Calibri" w:eastAsia="Calibri" w:hAnsi="Calibri" w:cs="Calibri"/>
          <w:strike/>
        </w:rPr>
        <w:t xml:space="preserve">For avoidance of doubt, Urgent Requests </w:t>
      </w:r>
      <w:r w:rsidRPr="00767328">
        <w:rPr>
          <w:rFonts w:ascii="Calibri" w:eastAsia="Calibri" w:hAnsi="Calibri" w:cs="Calibri"/>
          <w:strike/>
          <w:highlight w:val="white"/>
        </w:rPr>
        <w:t xml:space="preserve">will be defined as </w:t>
      </w:r>
      <w:r w:rsidRPr="00767328">
        <w:rPr>
          <w:rFonts w:ascii="Calibri" w:eastAsia="Calibri" w:hAnsi="Calibri" w:cs="Calibri"/>
          <w:strike/>
          <w:highlight w:val="white"/>
        </w:rPr>
        <w:t xml:space="preserve">requests that are limited to circumstances that pose an imminent threat to life, of serious bodily injury, to critical infrastructure, or of child exploitation in cases where disclosure of the data is necessary in combatting or addressing this threat. Critical infrastructure means the physical and cyber systems that are vital in that their incapacity or destruction would have a debilitating impact on economic security or public safety. </w:t>
      </w:r>
    </w:p>
    <w:p w14:paraId="043E1677" w14:textId="77777777" w:rsidR="00F241CB" w:rsidRDefault="00F241CB" w:rsidP="00F241CB">
      <w:pPr>
        <w:rPr>
          <w:rFonts w:ascii="Calibri" w:eastAsia="Calibri" w:hAnsi="Calibri" w:cs="Calibri"/>
          <w:b/>
        </w:rPr>
      </w:pPr>
    </w:p>
    <w:p w14:paraId="5CF0794B" w14:textId="172A0AE2" w:rsidR="00F241CB" w:rsidRDefault="00F241CB" w:rsidP="00F241CB">
      <w:pPr>
        <w:numPr>
          <w:ilvl w:val="0"/>
          <w:numId w:val="1"/>
        </w:numPr>
        <w:rPr>
          <w:rFonts w:ascii="Calibri" w:eastAsia="Calibri" w:hAnsi="Calibri" w:cs="Calibri"/>
        </w:rPr>
      </w:pPr>
      <w:r>
        <w:rPr>
          <w:rFonts w:ascii="Calibri" w:eastAsia="Calibri" w:hAnsi="Calibri" w:cs="Calibri"/>
        </w:rPr>
        <w:t>Following acknowledgement of the Urgent Requests for Lawful Disclosure, Registrars and Registry Operators MUST consider the request on its merits, considering the specific rationale and basis for each request</w:t>
      </w:r>
      <w:r w:rsidR="004900EA">
        <w:rPr>
          <w:rFonts w:ascii="Calibri" w:eastAsia="Calibri" w:hAnsi="Calibri" w:cs="Calibri"/>
        </w:rPr>
        <w:t xml:space="preserve">, </w:t>
      </w:r>
      <w:r w:rsidR="004900EA">
        <w:rPr>
          <w:rFonts w:ascii="Calibri" w:eastAsia="Calibri" w:hAnsi="Calibri" w:cs="Calibri"/>
          <w:color w:val="4F81BD" w:themeColor="accent1"/>
        </w:rPr>
        <w:t xml:space="preserve">which may include </w:t>
      </w:r>
      <w:proofErr w:type="gramStart"/>
      <w:r w:rsidR="004900EA">
        <w:rPr>
          <w:rFonts w:ascii="Calibri" w:eastAsia="Calibri" w:hAnsi="Calibri" w:cs="Calibri"/>
          <w:color w:val="4F81BD" w:themeColor="accent1"/>
        </w:rPr>
        <w:t>taking into account</w:t>
      </w:r>
      <w:proofErr w:type="gramEnd"/>
      <w:r w:rsidR="004900EA">
        <w:rPr>
          <w:rFonts w:ascii="Calibri" w:eastAsia="Calibri" w:hAnsi="Calibri" w:cs="Calibri"/>
          <w:color w:val="4F81BD" w:themeColor="accent1"/>
        </w:rPr>
        <w:t xml:space="preserve"> jurisdictional issues. </w:t>
      </w:r>
    </w:p>
    <w:p w14:paraId="106A1694" w14:textId="77777777" w:rsidR="00F241CB" w:rsidRDefault="00F241CB" w:rsidP="00F241CB">
      <w:pPr>
        <w:ind w:left="720"/>
        <w:rPr>
          <w:rFonts w:ascii="Calibri" w:eastAsia="Calibri" w:hAnsi="Calibri" w:cs="Calibri"/>
        </w:rPr>
      </w:pPr>
    </w:p>
    <w:p w14:paraId="50F0E78F" w14:textId="407BA0F2" w:rsidR="00F241CB" w:rsidRPr="001A4A16" w:rsidRDefault="00F241CB" w:rsidP="00F241CB">
      <w:pPr>
        <w:numPr>
          <w:ilvl w:val="0"/>
          <w:numId w:val="1"/>
        </w:numPr>
        <w:rPr>
          <w:rFonts w:ascii="Calibri" w:eastAsia="Calibri" w:hAnsi="Calibri" w:cs="Calibri"/>
        </w:rPr>
      </w:pPr>
      <w:r>
        <w:rPr>
          <w:rFonts w:ascii="Calibri" w:eastAsia="Calibri" w:hAnsi="Calibri" w:cs="Calibri"/>
        </w:rPr>
        <w:t xml:space="preserve">Following its consideration, Registrars and Registry Operators MUST provide its response to the authenticated entity </w:t>
      </w:r>
      <w:r>
        <w:rPr>
          <w:rFonts w:ascii="Calibri" w:eastAsia="Calibri" w:hAnsi="Calibri" w:cs="Calibri"/>
          <w:b/>
        </w:rPr>
        <w:t>within 24 hours.</w:t>
      </w:r>
    </w:p>
    <w:p w14:paraId="07FF1B41" w14:textId="77777777" w:rsidR="001A4A16" w:rsidRDefault="001A4A16" w:rsidP="001A4A16">
      <w:pPr>
        <w:pStyle w:val="ListParagraph"/>
        <w:rPr>
          <w:rFonts w:ascii="Calibri" w:eastAsia="Calibri" w:hAnsi="Calibri" w:cs="Calibri"/>
        </w:rPr>
      </w:pPr>
    </w:p>
    <w:p w14:paraId="57D10023" w14:textId="5B545EF4" w:rsidR="001A4A16" w:rsidRPr="00A220EA" w:rsidRDefault="001A4A16" w:rsidP="00A220EA">
      <w:pPr>
        <w:pStyle w:val="ListParagraph"/>
        <w:numPr>
          <w:ilvl w:val="0"/>
          <w:numId w:val="1"/>
        </w:numPr>
        <w:jc w:val="both"/>
        <w:rPr>
          <w:rFonts w:ascii="Calibri" w:eastAsia="Calibri" w:hAnsi="Calibri" w:cs="Calibri"/>
          <w:color w:val="4F81BD" w:themeColor="accent1"/>
        </w:rPr>
      </w:pPr>
      <w:r w:rsidRPr="001A4A16">
        <w:rPr>
          <w:rFonts w:ascii="Calibri" w:eastAsia="Calibri" w:hAnsi="Calibri" w:cs="Calibri"/>
          <w:color w:val="4F81BD" w:themeColor="accent1"/>
        </w:rPr>
        <w:t xml:space="preserve">If exceptional circumstances occur, Registrars and Registry Operators MUST, without undue delay and in all cases within 24 hours, notify the authenticated entity if there is a need for an extension to respond. The notification must include the rationale for the extension and the timeframe within which the Registrar or Registry Operator expects to respond, which cannot exceed </w:t>
      </w:r>
      <w:r w:rsidRPr="00C02889">
        <w:rPr>
          <w:rFonts w:ascii="Calibri" w:eastAsia="Calibri" w:hAnsi="Calibri" w:cs="Calibri"/>
          <w:b/>
          <w:bCs/>
          <w:color w:val="4F81BD" w:themeColor="accent1"/>
        </w:rPr>
        <w:t>72 hours from receipt of the request</w:t>
      </w:r>
      <w:r w:rsidRPr="001A4A16">
        <w:rPr>
          <w:rFonts w:ascii="Calibri" w:eastAsia="Calibri" w:hAnsi="Calibri" w:cs="Calibri"/>
          <w:color w:val="4F81BD" w:themeColor="accent1"/>
        </w:rPr>
        <w:t xml:space="preserve">.  Examples of exceptional circumstances </w:t>
      </w:r>
      <w:proofErr w:type="gramStart"/>
      <w:r w:rsidRPr="001A4A16">
        <w:rPr>
          <w:rFonts w:ascii="Calibri" w:eastAsia="Calibri" w:hAnsi="Calibri" w:cs="Calibri"/>
          <w:color w:val="4F81BD" w:themeColor="accent1"/>
        </w:rPr>
        <w:t>include  events</w:t>
      </w:r>
      <w:proofErr w:type="gramEnd"/>
      <w:r w:rsidRPr="001A4A16">
        <w:rPr>
          <w:rFonts w:ascii="Calibri" w:eastAsia="Calibri" w:hAnsi="Calibri" w:cs="Calibri"/>
          <w:color w:val="4F81BD" w:themeColor="accent1"/>
        </w:rPr>
        <w:t xml:space="preserve"> of force majeure (unforeseen and uncontrollable events), such as those affecting the </w:t>
      </w:r>
      <w:r w:rsidRPr="001A4A16">
        <w:rPr>
          <w:rFonts w:ascii="Calibri" w:eastAsia="Calibri" w:hAnsi="Calibri" w:cs="Calibri"/>
          <w:color w:val="4F81BD" w:themeColor="accent1"/>
        </w:rPr>
        <w:lastRenderedPageBreak/>
        <w:t>availability of the infrastructure,</w:t>
      </w:r>
      <w:r w:rsidR="00C02889">
        <w:rPr>
          <w:rFonts w:ascii="Calibri" w:eastAsia="Calibri" w:hAnsi="Calibri" w:cs="Calibri"/>
          <w:color w:val="4F81BD" w:themeColor="accent1"/>
        </w:rPr>
        <w:t xml:space="preserve"> </w:t>
      </w:r>
      <w:r w:rsidRPr="001A4A16">
        <w:rPr>
          <w:rFonts w:ascii="Calibri" w:eastAsia="Calibri" w:hAnsi="Calibri" w:cs="Calibri"/>
          <w:color w:val="4F81BD" w:themeColor="accent1"/>
        </w:rPr>
        <w:t xml:space="preserve">and circumstances associated with the complexity of the request,  such as </w:t>
      </w:r>
      <w:r w:rsidR="006020AB">
        <w:rPr>
          <w:rFonts w:ascii="Calibri" w:eastAsia="Calibri" w:hAnsi="Calibri" w:cs="Calibri"/>
          <w:color w:val="4F81BD" w:themeColor="accent1"/>
        </w:rPr>
        <w:t xml:space="preserve">a </w:t>
      </w:r>
      <w:r w:rsidRPr="001A4A16">
        <w:rPr>
          <w:rFonts w:ascii="Calibri" w:eastAsia="Calibri" w:hAnsi="Calibri" w:cs="Calibri"/>
          <w:color w:val="4F81BD" w:themeColor="accent1"/>
        </w:rPr>
        <w:t xml:space="preserve">request involving a high number of domain names. For the avoidance of doubt, circumstances which </w:t>
      </w:r>
      <w:r w:rsidRPr="00177269">
        <w:rPr>
          <w:rFonts w:ascii="Calibri" w:eastAsia="Calibri" w:hAnsi="Calibri" w:cs="Calibri"/>
          <w:i/>
          <w:iCs/>
          <w:color w:val="4F81BD" w:themeColor="accent1"/>
        </w:rPr>
        <w:t>do not</w:t>
      </w:r>
      <w:r w:rsidRPr="001A4A16">
        <w:rPr>
          <w:rFonts w:ascii="Calibri" w:eastAsia="Calibri" w:hAnsi="Calibri" w:cs="Calibri"/>
          <w:color w:val="4F81BD" w:themeColor="accent1"/>
        </w:rPr>
        <w:t xml:space="preserve"> justify an extending the 24-hour timeline include </w:t>
      </w:r>
      <w:r w:rsidRPr="000451F3">
        <w:rPr>
          <w:rFonts w:ascii="Calibri" w:eastAsia="Calibri" w:hAnsi="Calibri" w:cs="Calibri"/>
          <w:i/>
          <w:iCs/>
          <w:color w:val="4F81BD" w:themeColor="accent1"/>
        </w:rPr>
        <w:t>foreseeable</w:t>
      </w:r>
      <w:r w:rsidRPr="001A4A16">
        <w:rPr>
          <w:rFonts w:ascii="Calibri" w:eastAsia="Calibri" w:hAnsi="Calibri" w:cs="Calibri"/>
          <w:color w:val="4F81BD" w:themeColor="accent1"/>
        </w:rPr>
        <w:t xml:space="preserve"> circumstances such as calendar holidays, planned leave, or planned travel.   </w:t>
      </w:r>
    </w:p>
    <w:p w14:paraId="44F030D7" w14:textId="77777777" w:rsidR="00F241CB" w:rsidRDefault="00F241CB" w:rsidP="00F241CB">
      <w:pPr>
        <w:ind w:left="720"/>
        <w:rPr>
          <w:rFonts w:ascii="Calibri" w:eastAsia="Calibri" w:hAnsi="Calibri" w:cs="Calibri"/>
          <w:b/>
        </w:rPr>
      </w:pPr>
    </w:p>
    <w:p w14:paraId="4D8E846B" w14:textId="0D4A4DBD" w:rsidR="00F241CB" w:rsidRDefault="00F241CB" w:rsidP="00F241CB">
      <w:pPr>
        <w:numPr>
          <w:ilvl w:val="0"/>
          <w:numId w:val="1"/>
        </w:numPr>
        <w:rPr>
          <w:rFonts w:ascii="Calibri" w:eastAsia="Calibri" w:hAnsi="Calibri" w:cs="Calibri"/>
        </w:rPr>
      </w:pPr>
      <w:r>
        <w:rPr>
          <w:rFonts w:ascii="Calibri" w:eastAsia="Calibri" w:hAnsi="Calibri" w:cs="Calibri"/>
        </w:rPr>
        <w:t>In the event that the Registrar or Registry Operator denies disclosing the data to the requesting authenticated entity, Registrar and Registry Operators MUST provide a rationale for why Registry Operator or Registrar cannot provide the requested data (in whole or in part) that identifies the specific reason(s) for such denial, including a clear explanation of how it arrived at its decision that is sufficient for a requestor to objectively understand the reasons for the decision.</w:t>
      </w:r>
    </w:p>
    <w:p w14:paraId="6F7ACE51" w14:textId="77777777" w:rsidR="00F241CB" w:rsidRDefault="00F241CB" w:rsidP="00F241CB">
      <w:pPr>
        <w:rPr>
          <w:rFonts w:ascii="Calibri" w:eastAsia="Calibri" w:hAnsi="Calibri" w:cs="Calibri"/>
        </w:rPr>
      </w:pPr>
    </w:p>
    <w:p w14:paraId="5A4ADA21" w14:textId="77777777" w:rsidR="00F241CB" w:rsidRPr="00F241CB" w:rsidRDefault="00F241CB"/>
    <w:sectPr w:rsidR="00F241CB" w:rsidRPr="00F241CB">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GAC" w:date="2025-07-18T16:40:00Z" w:initials="GAC">
    <w:p w14:paraId="3D193102" w14:textId="77777777" w:rsidR="0004422D" w:rsidRDefault="0004422D" w:rsidP="0004422D">
      <w:pPr>
        <w:pStyle w:val="CommentText"/>
      </w:pPr>
      <w:r>
        <w:rPr>
          <w:rStyle w:val="CommentReference"/>
        </w:rPr>
        <w:annotationRef/>
      </w:r>
      <w:r>
        <w:rPr>
          <w:lang w:val="en-IE"/>
        </w:rPr>
        <w:t xml:space="preserve">It is suggested to include the definition of urgent requests under the definition section of the registration data policy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D19310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165A45C" w16cex:dateUtc="2025-07-18T14: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D193102" w16cid:durableId="3165A45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CE2601"/>
    <w:multiLevelType w:val="multilevel"/>
    <w:tmpl w:val="635AE0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86813196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AC">
    <w15:presenceInfo w15:providerId="None" w15:userId="G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241CB"/>
    <w:rsid w:val="0004422D"/>
    <w:rsid w:val="000451F3"/>
    <w:rsid w:val="00057E05"/>
    <w:rsid w:val="00075153"/>
    <w:rsid w:val="000D18AA"/>
    <w:rsid w:val="000E48C2"/>
    <w:rsid w:val="000F2E79"/>
    <w:rsid w:val="001729D2"/>
    <w:rsid w:val="00177269"/>
    <w:rsid w:val="001A4A16"/>
    <w:rsid w:val="002866ED"/>
    <w:rsid w:val="002B10B7"/>
    <w:rsid w:val="002B4173"/>
    <w:rsid w:val="0030221B"/>
    <w:rsid w:val="00333395"/>
    <w:rsid w:val="00355847"/>
    <w:rsid w:val="00373184"/>
    <w:rsid w:val="003A5216"/>
    <w:rsid w:val="003F7D81"/>
    <w:rsid w:val="004473E0"/>
    <w:rsid w:val="004900EA"/>
    <w:rsid w:val="004B3C84"/>
    <w:rsid w:val="0055244B"/>
    <w:rsid w:val="005B0D79"/>
    <w:rsid w:val="005B6CAA"/>
    <w:rsid w:val="006020AB"/>
    <w:rsid w:val="00620EEE"/>
    <w:rsid w:val="0064420D"/>
    <w:rsid w:val="006A3769"/>
    <w:rsid w:val="00700C0F"/>
    <w:rsid w:val="00700F7C"/>
    <w:rsid w:val="00767328"/>
    <w:rsid w:val="007C2D26"/>
    <w:rsid w:val="00802772"/>
    <w:rsid w:val="00806738"/>
    <w:rsid w:val="00867C53"/>
    <w:rsid w:val="0090483B"/>
    <w:rsid w:val="00986F8F"/>
    <w:rsid w:val="009E55C5"/>
    <w:rsid w:val="009F3A23"/>
    <w:rsid w:val="00A220EA"/>
    <w:rsid w:val="00A77927"/>
    <w:rsid w:val="00AF06ED"/>
    <w:rsid w:val="00B05253"/>
    <w:rsid w:val="00B220B2"/>
    <w:rsid w:val="00B33BDA"/>
    <w:rsid w:val="00B93D74"/>
    <w:rsid w:val="00C025B6"/>
    <w:rsid w:val="00C02889"/>
    <w:rsid w:val="00C54EEF"/>
    <w:rsid w:val="00CA5AFA"/>
    <w:rsid w:val="00CC4AE7"/>
    <w:rsid w:val="00D62F25"/>
    <w:rsid w:val="00DD0EFF"/>
    <w:rsid w:val="00DD70ED"/>
    <w:rsid w:val="00E33FC2"/>
    <w:rsid w:val="00E36A29"/>
    <w:rsid w:val="00F241CB"/>
    <w:rsid w:val="00FB63F8"/>
    <w:rsid w:val="00FE7E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27FC3"/>
  <w15:chartTrackingRefBased/>
  <w15:docId w15:val="{53E6442F-9941-4783-8159-58F1EDDD8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1CB"/>
    <w:pPr>
      <w:spacing w:after="0"/>
    </w:pPr>
    <w:rPr>
      <w:rFonts w:ascii="Arial" w:eastAsia="Arial" w:hAnsi="Arial" w:cs="Arial"/>
      <w:kern w:val="0"/>
      <w:lang w:val="en" w:eastAsia="en-IE"/>
      <w14:ligatures w14:val="none"/>
    </w:rPr>
  </w:style>
  <w:style w:type="paragraph" w:styleId="Heading1">
    <w:name w:val="heading 1"/>
    <w:basedOn w:val="Normal"/>
    <w:next w:val="Normal"/>
    <w:link w:val="Heading1Char"/>
    <w:uiPriority w:val="9"/>
    <w:qFormat/>
    <w:rsid w:val="00F241C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241C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241CB"/>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241C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241C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241C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41C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41C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41C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41CB"/>
    <w:rPr>
      <w:rFonts w:asciiTheme="majorHAnsi" w:eastAsiaTheme="majorEastAsia" w:hAnsiTheme="majorHAnsi" w:cstheme="majorBidi"/>
      <w:color w:val="365F91" w:themeColor="accent1" w:themeShade="BF"/>
      <w:sz w:val="40"/>
      <w:szCs w:val="40"/>
      <w:lang w:val="fr-BE"/>
    </w:rPr>
  </w:style>
  <w:style w:type="character" w:customStyle="1" w:styleId="Heading2Char">
    <w:name w:val="Heading 2 Char"/>
    <w:basedOn w:val="DefaultParagraphFont"/>
    <w:link w:val="Heading2"/>
    <w:uiPriority w:val="9"/>
    <w:semiHidden/>
    <w:rsid w:val="00F241CB"/>
    <w:rPr>
      <w:rFonts w:asciiTheme="majorHAnsi" w:eastAsiaTheme="majorEastAsia" w:hAnsiTheme="majorHAnsi" w:cstheme="majorBidi"/>
      <w:color w:val="365F91" w:themeColor="accent1" w:themeShade="BF"/>
      <w:sz w:val="32"/>
      <w:szCs w:val="32"/>
      <w:lang w:val="fr-BE"/>
    </w:rPr>
  </w:style>
  <w:style w:type="character" w:customStyle="1" w:styleId="Heading3Char">
    <w:name w:val="Heading 3 Char"/>
    <w:basedOn w:val="DefaultParagraphFont"/>
    <w:link w:val="Heading3"/>
    <w:uiPriority w:val="9"/>
    <w:semiHidden/>
    <w:rsid w:val="00F241CB"/>
    <w:rPr>
      <w:rFonts w:eastAsiaTheme="majorEastAsia" w:cstheme="majorBidi"/>
      <w:color w:val="365F91" w:themeColor="accent1" w:themeShade="BF"/>
      <w:sz w:val="28"/>
      <w:szCs w:val="28"/>
      <w:lang w:val="fr-BE"/>
    </w:rPr>
  </w:style>
  <w:style w:type="character" w:customStyle="1" w:styleId="Heading4Char">
    <w:name w:val="Heading 4 Char"/>
    <w:basedOn w:val="DefaultParagraphFont"/>
    <w:link w:val="Heading4"/>
    <w:uiPriority w:val="9"/>
    <w:semiHidden/>
    <w:rsid w:val="00F241CB"/>
    <w:rPr>
      <w:rFonts w:eastAsiaTheme="majorEastAsia" w:cstheme="majorBidi"/>
      <w:i/>
      <w:iCs/>
      <w:color w:val="365F91" w:themeColor="accent1" w:themeShade="BF"/>
      <w:lang w:val="fr-BE"/>
    </w:rPr>
  </w:style>
  <w:style w:type="character" w:customStyle="1" w:styleId="Heading5Char">
    <w:name w:val="Heading 5 Char"/>
    <w:basedOn w:val="DefaultParagraphFont"/>
    <w:link w:val="Heading5"/>
    <w:uiPriority w:val="9"/>
    <w:semiHidden/>
    <w:rsid w:val="00F241CB"/>
    <w:rPr>
      <w:rFonts w:eastAsiaTheme="majorEastAsia" w:cstheme="majorBidi"/>
      <w:color w:val="365F91" w:themeColor="accent1" w:themeShade="BF"/>
      <w:lang w:val="fr-BE"/>
    </w:rPr>
  </w:style>
  <w:style w:type="character" w:customStyle="1" w:styleId="Heading6Char">
    <w:name w:val="Heading 6 Char"/>
    <w:basedOn w:val="DefaultParagraphFont"/>
    <w:link w:val="Heading6"/>
    <w:uiPriority w:val="9"/>
    <w:semiHidden/>
    <w:rsid w:val="00F241CB"/>
    <w:rPr>
      <w:rFonts w:eastAsiaTheme="majorEastAsia" w:cstheme="majorBidi"/>
      <w:i/>
      <w:iCs/>
      <w:color w:val="595959" w:themeColor="text1" w:themeTint="A6"/>
      <w:lang w:val="fr-BE"/>
    </w:rPr>
  </w:style>
  <w:style w:type="character" w:customStyle="1" w:styleId="Heading7Char">
    <w:name w:val="Heading 7 Char"/>
    <w:basedOn w:val="DefaultParagraphFont"/>
    <w:link w:val="Heading7"/>
    <w:uiPriority w:val="9"/>
    <w:semiHidden/>
    <w:rsid w:val="00F241CB"/>
    <w:rPr>
      <w:rFonts w:eastAsiaTheme="majorEastAsia" w:cstheme="majorBidi"/>
      <w:color w:val="595959" w:themeColor="text1" w:themeTint="A6"/>
      <w:lang w:val="fr-BE"/>
    </w:rPr>
  </w:style>
  <w:style w:type="character" w:customStyle="1" w:styleId="Heading8Char">
    <w:name w:val="Heading 8 Char"/>
    <w:basedOn w:val="DefaultParagraphFont"/>
    <w:link w:val="Heading8"/>
    <w:uiPriority w:val="9"/>
    <w:semiHidden/>
    <w:rsid w:val="00F241CB"/>
    <w:rPr>
      <w:rFonts w:eastAsiaTheme="majorEastAsia" w:cstheme="majorBidi"/>
      <w:i/>
      <w:iCs/>
      <w:color w:val="272727" w:themeColor="text1" w:themeTint="D8"/>
      <w:lang w:val="fr-BE"/>
    </w:rPr>
  </w:style>
  <w:style w:type="character" w:customStyle="1" w:styleId="Heading9Char">
    <w:name w:val="Heading 9 Char"/>
    <w:basedOn w:val="DefaultParagraphFont"/>
    <w:link w:val="Heading9"/>
    <w:uiPriority w:val="9"/>
    <w:semiHidden/>
    <w:rsid w:val="00F241CB"/>
    <w:rPr>
      <w:rFonts w:eastAsiaTheme="majorEastAsia" w:cstheme="majorBidi"/>
      <w:color w:val="272727" w:themeColor="text1" w:themeTint="D8"/>
      <w:lang w:val="fr-BE"/>
    </w:rPr>
  </w:style>
  <w:style w:type="paragraph" w:styleId="Title">
    <w:name w:val="Title"/>
    <w:basedOn w:val="Normal"/>
    <w:next w:val="Normal"/>
    <w:link w:val="TitleChar"/>
    <w:uiPriority w:val="10"/>
    <w:qFormat/>
    <w:rsid w:val="00F241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41CB"/>
    <w:rPr>
      <w:rFonts w:asciiTheme="majorHAnsi" w:eastAsiaTheme="majorEastAsia" w:hAnsiTheme="majorHAnsi" w:cstheme="majorBidi"/>
      <w:spacing w:val="-10"/>
      <w:kern w:val="28"/>
      <w:sz w:val="56"/>
      <w:szCs w:val="56"/>
      <w:lang w:val="fr-BE"/>
    </w:rPr>
  </w:style>
  <w:style w:type="paragraph" w:styleId="Subtitle">
    <w:name w:val="Subtitle"/>
    <w:basedOn w:val="Normal"/>
    <w:next w:val="Normal"/>
    <w:link w:val="SubtitleChar"/>
    <w:uiPriority w:val="11"/>
    <w:qFormat/>
    <w:rsid w:val="00F241C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41CB"/>
    <w:rPr>
      <w:rFonts w:eastAsiaTheme="majorEastAsia" w:cstheme="majorBidi"/>
      <w:color w:val="595959" w:themeColor="text1" w:themeTint="A6"/>
      <w:spacing w:val="15"/>
      <w:sz w:val="28"/>
      <w:szCs w:val="28"/>
      <w:lang w:val="fr-BE"/>
    </w:rPr>
  </w:style>
  <w:style w:type="paragraph" w:styleId="Quote">
    <w:name w:val="Quote"/>
    <w:basedOn w:val="Normal"/>
    <w:next w:val="Normal"/>
    <w:link w:val="QuoteChar"/>
    <w:uiPriority w:val="29"/>
    <w:qFormat/>
    <w:rsid w:val="00F241C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241CB"/>
    <w:rPr>
      <w:i/>
      <w:iCs/>
      <w:color w:val="404040" w:themeColor="text1" w:themeTint="BF"/>
      <w:lang w:val="fr-BE"/>
    </w:rPr>
  </w:style>
  <w:style w:type="paragraph" w:styleId="ListParagraph">
    <w:name w:val="List Paragraph"/>
    <w:basedOn w:val="Normal"/>
    <w:uiPriority w:val="34"/>
    <w:qFormat/>
    <w:rsid w:val="00F241CB"/>
    <w:pPr>
      <w:ind w:left="720"/>
      <w:contextualSpacing/>
    </w:pPr>
  </w:style>
  <w:style w:type="character" w:styleId="IntenseEmphasis">
    <w:name w:val="Intense Emphasis"/>
    <w:basedOn w:val="DefaultParagraphFont"/>
    <w:uiPriority w:val="21"/>
    <w:qFormat/>
    <w:rsid w:val="00F241CB"/>
    <w:rPr>
      <w:i/>
      <w:iCs/>
      <w:color w:val="365F91" w:themeColor="accent1" w:themeShade="BF"/>
    </w:rPr>
  </w:style>
  <w:style w:type="paragraph" w:styleId="IntenseQuote">
    <w:name w:val="Intense Quote"/>
    <w:basedOn w:val="Normal"/>
    <w:next w:val="Normal"/>
    <w:link w:val="IntenseQuoteChar"/>
    <w:uiPriority w:val="30"/>
    <w:qFormat/>
    <w:rsid w:val="00F241C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241CB"/>
    <w:rPr>
      <w:i/>
      <w:iCs/>
      <w:color w:val="365F91" w:themeColor="accent1" w:themeShade="BF"/>
      <w:lang w:val="fr-BE"/>
    </w:rPr>
  </w:style>
  <w:style w:type="character" w:styleId="IntenseReference">
    <w:name w:val="Intense Reference"/>
    <w:basedOn w:val="DefaultParagraphFont"/>
    <w:uiPriority w:val="32"/>
    <w:qFormat/>
    <w:rsid w:val="00F241CB"/>
    <w:rPr>
      <w:b/>
      <w:bCs/>
      <w:smallCaps/>
      <w:color w:val="365F91" w:themeColor="accent1" w:themeShade="BF"/>
      <w:spacing w:val="5"/>
    </w:rPr>
  </w:style>
  <w:style w:type="paragraph" w:styleId="Revision">
    <w:name w:val="Revision"/>
    <w:hidden/>
    <w:uiPriority w:val="99"/>
    <w:semiHidden/>
    <w:rsid w:val="00F241CB"/>
    <w:pPr>
      <w:spacing w:after="0" w:line="240" w:lineRule="auto"/>
    </w:pPr>
    <w:rPr>
      <w:rFonts w:ascii="Arial" w:eastAsia="Arial" w:hAnsi="Arial" w:cs="Arial"/>
      <w:kern w:val="0"/>
      <w:lang w:val="en" w:eastAsia="en-IE"/>
      <w14:ligatures w14:val="none"/>
    </w:rPr>
  </w:style>
  <w:style w:type="character" w:styleId="CommentReference">
    <w:name w:val="annotation reference"/>
    <w:basedOn w:val="DefaultParagraphFont"/>
    <w:uiPriority w:val="99"/>
    <w:semiHidden/>
    <w:unhideWhenUsed/>
    <w:rsid w:val="00F241CB"/>
    <w:rPr>
      <w:sz w:val="16"/>
      <w:szCs w:val="16"/>
    </w:rPr>
  </w:style>
  <w:style w:type="paragraph" w:styleId="CommentText">
    <w:name w:val="annotation text"/>
    <w:basedOn w:val="Normal"/>
    <w:link w:val="CommentTextChar"/>
    <w:uiPriority w:val="99"/>
    <w:unhideWhenUsed/>
    <w:rsid w:val="00F241CB"/>
    <w:pPr>
      <w:spacing w:line="240" w:lineRule="auto"/>
    </w:pPr>
    <w:rPr>
      <w:sz w:val="20"/>
      <w:szCs w:val="20"/>
    </w:rPr>
  </w:style>
  <w:style w:type="character" w:customStyle="1" w:styleId="CommentTextChar">
    <w:name w:val="Comment Text Char"/>
    <w:basedOn w:val="DefaultParagraphFont"/>
    <w:link w:val="CommentText"/>
    <w:uiPriority w:val="99"/>
    <w:rsid w:val="00F241CB"/>
    <w:rPr>
      <w:rFonts w:ascii="Arial" w:eastAsia="Arial" w:hAnsi="Arial" w:cs="Arial"/>
      <w:kern w:val="0"/>
      <w:sz w:val="20"/>
      <w:szCs w:val="20"/>
      <w:lang w:val="en" w:eastAsia="en-IE"/>
      <w14:ligatures w14:val="none"/>
    </w:rPr>
  </w:style>
  <w:style w:type="paragraph" w:styleId="CommentSubject">
    <w:name w:val="annotation subject"/>
    <w:basedOn w:val="CommentText"/>
    <w:next w:val="CommentText"/>
    <w:link w:val="CommentSubjectChar"/>
    <w:uiPriority w:val="99"/>
    <w:semiHidden/>
    <w:unhideWhenUsed/>
    <w:rsid w:val="00F241CB"/>
    <w:rPr>
      <w:b/>
      <w:bCs/>
    </w:rPr>
  </w:style>
  <w:style w:type="character" w:customStyle="1" w:styleId="CommentSubjectChar">
    <w:name w:val="Comment Subject Char"/>
    <w:basedOn w:val="CommentTextChar"/>
    <w:link w:val="CommentSubject"/>
    <w:uiPriority w:val="99"/>
    <w:semiHidden/>
    <w:rsid w:val="00F241CB"/>
    <w:rPr>
      <w:rFonts w:ascii="Arial" w:eastAsia="Arial" w:hAnsi="Arial" w:cs="Arial"/>
      <w:b/>
      <w:bCs/>
      <w:kern w:val="0"/>
      <w:sz w:val="20"/>
      <w:szCs w:val="20"/>
      <w:lang w:val="en"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217AF-5859-40D3-A258-985E31BDE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553</Words>
  <Characters>3122</Characters>
  <Application>Microsoft Office Word</Application>
  <DocSecurity>0</DocSecurity>
  <Lines>60</Lines>
  <Paragraphs>10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CAROLILLO Gemma (CNECT)</dc:creator>
  <cp:keywords/>
  <dc:description/>
  <cp:lastModifiedBy>GAC</cp:lastModifiedBy>
  <cp:revision>13</cp:revision>
  <dcterms:created xsi:type="dcterms:W3CDTF">2025-07-17T14:21:00Z</dcterms:created>
  <dcterms:modified xsi:type="dcterms:W3CDTF">2025-07-18T14:46:00Z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2025-07-16T11:28:01Z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dc3aa138-2cfb-4125-bea7-f02bdbd1f6f1</vt:lpwstr>
  </property>
  <property fmtid="{D5CDD505-2E9C-101B-9397-08002B2CF9AE}" pid="8" name="MSIP_Label_6bd9ddd1-4d20-43f6-abfa-fc3c07406f94_ContentBits">
    <vt:lpwstr>0</vt:lpwstr>
  </property>
</Properties>
</file>