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E77D" w14:textId="77777777" w:rsidR="00C43178" w:rsidRDefault="00C43178">
      <w:pPr>
        <w:rPr>
          <w:sz w:val="20"/>
          <w:szCs w:val="20"/>
        </w:rPr>
      </w:pPr>
      <w:r>
        <w:rPr>
          <w:sz w:val="20"/>
          <w:szCs w:val="20"/>
        </w:rPr>
        <w:t>Dear Fadi:</w:t>
      </w:r>
    </w:p>
    <w:p w14:paraId="1F9A9F7F" w14:textId="77777777" w:rsidR="00C43178" w:rsidRDefault="00C43178">
      <w:pPr>
        <w:rPr>
          <w:sz w:val="20"/>
          <w:szCs w:val="20"/>
        </w:rPr>
      </w:pPr>
    </w:p>
    <w:p w14:paraId="09E592FF" w14:textId="6E4B57A0" w:rsidR="00C43178" w:rsidRDefault="00C43178">
      <w:pPr>
        <w:rPr>
          <w:sz w:val="20"/>
          <w:szCs w:val="20"/>
        </w:rPr>
      </w:pPr>
      <w:r>
        <w:rPr>
          <w:sz w:val="20"/>
          <w:szCs w:val="20"/>
        </w:rPr>
        <w:t xml:space="preserve">Thank you for your e-mail of </w:t>
      </w:r>
      <w:r w:rsidR="00050FA3">
        <w:rPr>
          <w:sz w:val="20"/>
          <w:szCs w:val="20"/>
        </w:rPr>
        <w:t>4</w:t>
      </w:r>
      <w:r>
        <w:rPr>
          <w:sz w:val="20"/>
          <w:szCs w:val="20"/>
        </w:rPr>
        <w:t xml:space="preserve"> December, in which you request the advice of the GNSO Council on TMCH imple</w:t>
      </w:r>
      <w:r w:rsidR="00832F96">
        <w:rPr>
          <w:sz w:val="20"/>
          <w:szCs w:val="20"/>
        </w:rPr>
        <w:t>mentation.  This letter is the C</w:t>
      </w:r>
      <w:r>
        <w:rPr>
          <w:sz w:val="20"/>
          <w:szCs w:val="20"/>
        </w:rPr>
        <w:t>ouncil’s reply to your request.</w:t>
      </w:r>
      <w:r w:rsidR="00216859">
        <w:rPr>
          <w:sz w:val="20"/>
          <w:szCs w:val="20"/>
        </w:rPr>
        <w:t xml:space="preserve"> It represents the view of the majority of the Council. </w:t>
      </w:r>
    </w:p>
    <w:p w14:paraId="4744FB88" w14:textId="77777777" w:rsidR="00C43178" w:rsidRDefault="00C43178">
      <w:pPr>
        <w:rPr>
          <w:sz w:val="20"/>
          <w:szCs w:val="20"/>
        </w:rPr>
      </w:pPr>
    </w:p>
    <w:p w14:paraId="3C726167" w14:textId="07C8EBD6" w:rsidR="00C43178" w:rsidRDefault="00C43178">
      <w:pPr>
        <w:rPr>
          <w:sz w:val="20"/>
          <w:szCs w:val="20"/>
        </w:rPr>
      </w:pPr>
      <w:r>
        <w:rPr>
          <w:sz w:val="20"/>
          <w:szCs w:val="20"/>
        </w:rPr>
        <w:t xml:space="preserve">While our member constituencies and stakeholder groups will comment at their discretion regarding the content </w:t>
      </w:r>
      <w:r w:rsidR="00E94441">
        <w:rPr>
          <w:sz w:val="20"/>
          <w:szCs w:val="20"/>
        </w:rPr>
        <w:t xml:space="preserve">of the </w:t>
      </w:r>
      <w:r w:rsidR="002C1958">
        <w:rPr>
          <w:sz w:val="20"/>
          <w:szCs w:val="20"/>
        </w:rPr>
        <w:t>s</w:t>
      </w:r>
      <w:r w:rsidR="00E94441">
        <w:rPr>
          <w:sz w:val="20"/>
          <w:szCs w:val="20"/>
        </w:rPr>
        <w:t>trawman</w:t>
      </w:r>
      <w:r w:rsidR="002C1958">
        <w:rPr>
          <w:sz w:val="20"/>
          <w:szCs w:val="20"/>
        </w:rPr>
        <w:t xml:space="preserve"> model</w:t>
      </w:r>
      <w:r w:rsidR="00E94441">
        <w:rPr>
          <w:sz w:val="20"/>
          <w:szCs w:val="20"/>
        </w:rPr>
        <w:t>, the C</w:t>
      </w:r>
      <w:r>
        <w:rPr>
          <w:sz w:val="20"/>
          <w:szCs w:val="20"/>
        </w:rPr>
        <w:t>ouncil here addresses the issues identified in your e-mail</w:t>
      </w:r>
      <w:r w:rsidR="002C1958">
        <w:rPr>
          <w:sz w:val="20"/>
          <w:szCs w:val="20"/>
        </w:rPr>
        <w:t xml:space="preserve"> of 4 December</w:t>
      </w:r>
      <w:r w:rsidR="009849F1">
        <w:rPr>
          <w:sz w:val="20"/>
          <w:szCs w:val="20"/>
        </w:rPr>
        <w:t>, and as you so invited, others in the strawman</w:t>
      </w:r>
      <w:r>
        <w:rPr>
          <w:sz w:val="20"/>
          <w:szCs w:val="20"/>
        </w:rPr>
        <w:t>:</w:t>
      </w:r>
    </w:p>
    <w:p w14:paraId="0B0F93D3" w14:textId="77777777" w:rsidR="00C43178" w:rsidRDefault="00C43178">
      <w:pPr>
        <w:rPr>
          <w:sz w:val="20"/>
          <w:szCs w:val="20"/>
        </w:rPr>
      </w:pPr>
    </w:p>
    <w:p w14:paraId="682A8EE7" w14:textId="3ED28135" w:rsidR="00C43178" w:rsidRPr="00397072" w:rsidRDefault="008D22C7">
      <w:pPr>
        <w:rPr>
          <w:b/>
          <w:sz w:val="20"/>
          <w:szCs w:val="20"/>
        </w:rPr>
      </w:pPr>
      <w:r>
        <w:rPr>
          <w:b/>
          <w:sz w:val="20"/>
          <w:szCs w:val="20"/>
        </w:rPr>
        <w:t>Expansion of trademark rights in TLDs</w:t>
      </w:r>
    </w:p>
    <w:p w14:paraId="2198BC27" w14:textId="13E2C5E1" w:rsidR="00E94441" w:rsidRDefault="00E94441">
      <w:pPr>
        <w:rPr>
          <w:sz w:val="20"/>
          <w:szCs w:val="20"/>
        </w:rPr>
      </w:pPr>
      <w:r>
        <w:rPr>
          <w:sz w:val="20"/>
          <w:szCs w:val="20"/>
        </w:rPr>
        <w:t>The Council draws a distinction between the launch of new gTLDs, where policy has been set and agreed to, and a longer-term discussion about amended or additional rights protection mechanisms (RPMs), which would apply to all gTLDs.</w:t>
      </w:r>
    </w:p>
    <w:p w14:paraId="58BFC8B9" w14:textId="77777777" w:rsidR="00E94441" w:rsidRDefault="00E94441">
      <w:pPr>
        <w:rPr>
          <w:sz w:val="20"/>
          <w:szCs w:val="20"/>
        </w:rPr>
      </w:pPr>
    </w:p>
    <w:p w14:paraId="47FA0870" w14:textId="062A4B70" w:rsidR="00672630" w:rsidRDefault="00216859">
      <w:pPr>
        <w:rPr>
          <w:sz w:val="20"/>
          <w:szCs w:val="20"/>
        </w:rPr>
      </w:pPr>
      <w:r>
        <w:rPr>
          <w:sz w:val="20"/>
          <w:szCs w:val="20"/>
        </w:rPr>
        <w:t xml:space="preserve">The majority of the </w:t>
      </w:r>
      <w:r w:rsidR="00E94441">
        <w:rPr>
          <w:sz w:val="20"/>
          <w:szCs w:val="20"/>
        </w:rPr>
        <w:t>C</w:t>
      </w:r>
      <w:r w:rsidR="00C43178">
        <w:rPr>
          <w:sz w:val="20"/>
          <w:szCs w:val="20"/>
        </w:rPr>
        <w:t xml:space="preserve">ouncil believes </w:t>
      </w:r>
      <w:r>
        <w:rPr>
          <w:sz w:val="20"/>
          <w:szCs w:val="20"/>
        </w:rPr>
        <w:t xml:space="preserve">the proposals on TMCH implementation amount to an </w:t>
      </w:r>
      <w:r w:rsidR="00C43178">
        <w:rPr>
          <w:sz w:val="20"/>
          <w:szCs w:val="20"/>
        </w:rPr>
        <w:t xml:space="preserve">expansion of trademark </w:t>
      </w:r>
      <w:r w:rsidR="008D22C7">
        <w:rPr>
          <w:sz w:val="20"/>
          <w:szCs w:val="20"/>
        </w:rPr>
        <w:t xml:space="preserve">rights beyond </w:t>
      </w:r>
      <w:r w:rsidR="00B331CF">
        <w:rPr>
          <w:sz w:val="20"/>
          <w:szCs w:val="20"/>
        </w:rPr>
        <w:t>understood existing legal protections</w:t>
      </w:r>
      <w:r>
        <w:rPr>
          <w:sz w:val="20"/>
          <w:szCs w:val="20"/>
        </w:rPr>
        <w:t>. We believe this, and the potential impact of the proposals on the full community, make them</w:t>
      </w:r>
      <w:r w:rsidR="00C43178">
        <w:rPr>
          <w:sz w:val="20"/>
          <w:szCs w:val="20"/>
        </w:rPr>
        <w:t xml:space="preserve"> a matter of policy</w:t>
      </w:r>
      <w:r>
        <w:rPr>
          <w:sz w:val="20"/>
          <w:szCs w:val="20"/>
        </w:rPr>
        <w:t xml:space="preserve">, not </w:t>
      </w:r>
      <w:proofErr w:type="spellStart"/>
      <w:proofErr w:type="gramStart"/>
      <w:r>
        <w:rPr>
          <w:sz w:val="20"/>
          <w:szCs w:val="20"/>
        </w:rPr>
        <w:t>implementation.</w:t>
      </w:r>
      <w:r w:rsidR="00E94441">
        <w:rPr>
          <w:sz w:val="20"/>
          <w:szCs w:val="20"/>
        </w:rPr>
        <w:t>The</w:t>
      </w:r>
      <w:proofErr w:type="spellEnd"/>
      <w:proofErr w:type="gramEnd"/>
      <w:r w:rsidR="00E94441">
        <w:rPr>
          <w:sz w:val="20"/>
          <w:szCs w:val="20"/>
        </w:rPr>
        <w:t xml:space="preserve"> majority of the C</w:t>
      </w:r>
      <w:r w:rsidR="00672630">
        <w:rPr>
          <w:sz w:val="20"/>
          <w:szCs w:val="20"/>
        </w:rPr>
        <w:t>ouncil believes protection policies for new gTLDs are sufficient and need not be revisited.</w:t>
      </w:r>
      <w:r w:rsidR="000456EE">
        <w:rPr>
          <w:sz w:val="20"/>
          <w:szCs w:val="20"/>
        </w:rPr>
        <w:t xml:space="preserve">  </w:t>
      </w:r>
      <w:r w:rsidR="000D13C6">
        <w:rPr>
          <w:sz w:val="20"/>
          <w:szCs w:val="20"/>
        </w:rPr>
        <w:t xml:space="preserve">If the community seeks to augment existing RPMs, they are appropriately the subjects of </w:t>
      </w:r>
      <w:r w:rsidR="00AC7679">
        <w:rPr>
          <w:sz w:val="20"/>
          <w:szCs w:val="20"/>
        </w:rPr>
        <w:t xml:space="preserve">future </w:t>
      </w:r>
      <w:r w:rsidR="000D13C6">
        <w:rPr>
          <w:sz w:val="20"/>
          <w:szCs w:val="20"/>
        </w:rPr>
        <w:t xml:space="preserve">Council </w:t>
      </w:r>
      <w:r w:rsidR="00AC7679">
        <w:rPr>
          <w:sz w:val="20"/>
          <w:szCs w:val="20"/>
        </w:rPr>
        <w:t xml:space="preserve">managed </w:t>
      </w:r>
      <w:r w:rsidR="000D13C6">
        <w:rPr>
          <w:sz w:val="20"/>
          <w:szCs w:val="20"/>
        </w:rPr>
        <w:t xml:space="preserve">policy </w:t>
      </w:r>
      <w:r w:rsidR="00AC7679">
        <w:rPr>
          <w:sz w:val="20"/>
          <w:szCs w:val="20"/>
        </w:rPr>
        <w:t>activity</w:t>
      </w:r>
      <w:r w:rsidR="000D13C6">
        <w:rPr>
          <w:sz w:val="20"/>
          <w:szCs w:val="20"/>
        </w:rPr>
        <w:t>.</w:t>
      </w:r>
    </w:p>
    <w:p w14:paraId="6C5A6389" w14:textId="77777777" w:rsidR="00672630" w:rsidRDefault="00672630">
      <w:pPr>
        <w:rPr>
          <w:sz w:val="20"/>
          <w:szCs w:val="20"/>
        </w:rPr>
      </w:pPr>
    </w:p>
    <w:p w14:paraId="43B91FBD" w14:textId="699E4617" w:rsidR="00486CFD" w:rsidRDefault="009849F1">
      <w:pPr>
        <w:rPr>
          <w:sz w:val="20"/>
          <w:szCs w:val="20"/>
        </w:rPr>
      </w:pPr>
      <w:r>
        <w:rPr>
          <w:sz w:val="20"/>
          <w:szCs w:val="20"/>
        </w:rPr>
        <w:t>Indeed, ICANN Chairman Steve Crocker and other Board members set an expectation in Toronto that new</w:t>
      </w:r>
      <w:r w:rsidR="00397072">
        <w:rPr>
          <w:sz w:val="20"/>
          <w:szCs w:val="20"/>
        </w:rPr>
        <w:t xml:space="preserve"> RPM proposals should have the C</w:t>
      </w:r>
      <w:r>
        <w:rPr>
          <w:sz w:val="20"/>
          <w:szCs w:val="20"/>
        </w:rPr>
        <w:t>ouncil’s support to b</w:t>
      </w:r>
      <w:r w:rsidR="0094165C">
        <w:rPr>
          <w:sz w:val="20"/>
          <w:szCs w:val="20"/>
        </w:rPr>
        <w:t>e considered now:</w:t>
      </w:r>
    </w:p>
    <w:p w14:paraId="7D3BE1F2" w14:textId="77777777" w:rsidR="0094165C" w:rsidRDefault="0094165C">
      <w:pPr>
        <w:rPr>
          <w:sz w:val="20"/>
          <w:szCs w:val="20"/>
        </w:rPr>
      </w:pPr>
    </w:p>
    <w:p w14:paraId="354F20B7" w14:textId="76E2B107" w:rsidR="0094165C" w:rsidRDefault="0094165C" w:rsidP="0094165C">
      <w:pPr>
        <w:ind w:left="720"/>
        <w:rPr>
          <w:rFonts w:ascii="Cambria" w:hAnsi="Cambria" w:cs="Helvetica"/>
          <w:sz w:val="20"/>
          <w:szCs w:val="20"/>
        </w:rPr>
      </w:pPr>
      <w:r w:rsidRPr="0094165C">
        <w:rPr>
          <w:rFonts w:ascii="Cambria" w:hAnsi="Cambria" w:cs="Helvetica"/>
          <w:sz w:val="20"/>
          <w:szCs w:val="20"/>
        </w:rPr>
        <w:t xml:space="preserve">"Three more items. </w:t>
      </w:r>
      <w:proofErr w:type="gramStart"/>
      <w:r w:rsidRPr="0094165C">
        <w:rPr>
          <w:rFonts w:ascii="Cambria" w:hAnsi="Cambria" w:cs="Helvetica"/>
          <w:sz w:val="20"/>
          <w:szCs w:val="20"/>
        </w:rPr>
        <w:t>The rights protection in new gTLDs.</w:t>
      </w:r>
      <w:proofErr w:type="gramEnd"/>
      <w:r w:rsidRPr="0094165C">
        <w:rPr>
          <w:rFonts w:ascii="Cambria" w:hAnsi="Cambria" w:cs="Helvetica"/>
          <w:sz w:val="20"/>
          <w:szCs w:val="20"/>
        </w:rPr>
        <w:t xml:space="preserve"> The Intellectual Property Constituency and business constituency</w:t>
      </w:r>
      <w:r>
        <w:rPr>
          <w:rFonts w:ascii="Cambria" w:hAnsi="Cambria" w:cs="Helvetica"/>
          <w:sz w:val="20"/>
          <w:szCs w:val="20"/>
        </w:rPr>
        <w:t xml:space="preserve"> (</w:t>
      </w:r>
      <w:r w:rsidRPr="0094165C">
        <w:rPr>
          <w:rFonts w:ascii="Cambria" w:hAnsi="Cambria" w:cs="Helvetica"/>
          <w:i/>
          <w:sz w:val="20"/>
          <w:szCs w:val="20"/>
        </w:rPr>
        <w:t>sic)</w:t>
      </w:r>
      <w:r w:rsidRPr="0094165C">
        <w:rPr>
          <w:rFonts w:ascii="Cambria" w:hAnsi="Cambria" w:cs="Helvetica"/>
          <w:sz w:val="20"/>
          <w:szCs w:val="20"/>
        </w:rPr>
        <w:t xml:space="preserve"> reached consensus on further mechanisms for new gTLD rights protection and agreed to socialize these to the rest of the GNSO </w:t>
      </w:r>
      <w:r>
        <w:rPr>
          <w:rFonts w:ascii="Cambria" w:hAnsi="Cambria" w:cs="Helvetica"/>
          <w:sz w:val="20"/>
          <w:szCs w:val="20"/>
        </w:rPr>
        <w:t xml:space="preserve">and the Board looks forward to </w:t>
      </w:r>
      <w:r w:rsidRPr="0094165C">
        <w:rPr>
          <w:rFonts w:ascii="Cambria" w:hAnsi="Cambria" w:cs="Helvetica"/>
          <w:sz w:val="20"/>
          <w:szCs w:val="20"/>
        </w:rPr>
        <w:t>receiving input on these suggestions</w:t>
      </w:r>
      <w:r>
        <w:rPr>
          <w:rFonts w:ascii="Cambria" w:hAnsi="Cambria" w:cs="Helvetica"/>
          <w:sz w:val="20"/>
          <w:szCs w:val="20"/>
        </w:rPr>
        <w:t xml:space="preserve"> from</w:t>
      </w:r>
      <w:r w:rsidRPr="0094165C">
        <w:rPr>
          <w:rFonts w:ascii="Cambria" w:hAnsi="Cambria" w:cs="Helvetica"/>
          <w:sz w:val="20"/>
          <w:szCs w:val="20"/>
        </w:rPr>
        <w:t xml:space="preserve"> the GNSO. So that is our plan, so to speak,</w:t>
      </w:r>
      <w:r>
        <w:rPr>
          <w:rFonts w:ascii="Cambria" w:hAnsi="Cambria" w:cs="Helvetica"/>
          <w:sz w:val="20"/>
          <w:szCs w:val="20"/>
        </w:rPr>
        <w:t xml:space="preserve"> which is we will continue to listen and wait for this to come up.</w:t>
      </w:r>
      <w:r w:rsidRPr="0094165C">
        <w:rPr>
          <w:rFonts w:ascii="Cambria" w:hAnsi="Cambria" w:cs="Helvetica"/>
          <w:sz w:val="20"/>
          <w:szCs w:val="20"/>
        </w:rPr>
        <w:t xml:space="preserve"> "</w:t>
      </w:r>
    </w:p>
    <w:p w14:paraId="48A0F61E" w14:textId="77777777" w:rsidR="008D5799" w:rsidRDefault="008D5799" w:rsidP="0094165C">
      <w:pPr>
        <w:ind w:left="720"/>
        <w:rPr>
          <w:rFonts w:ascii="Cambria" w:hAnsi="Cambria" w:cs="Helvetica"/>
          <w:sz w:val="20"/>
          <w:szCs w:val="20"/>
        </w:rPr>
      </w:pPr>
    </w:p>
    <w:p w14:paraId="620EC1C0" w14:textId="680001A6" w:rsidR="008D5799" w:rsidRDefault="00A25B4A" w:rsidP="0094165C">
      <w:pPr>
        <w:ind w:left="720"/>
        <w:rPr>
          <w:rFonts w:ascii="Cambria" w:hAnsi="Cambria"/>
          <w:sz w:val="20"/>
          <w:szCs w:val="20"/>
        </w:rPr>
      </w:pPr>
      <w:hyperlink r:id="rId6" w:history="1">
        <w:r w:rsidR="008D5799" w:rsidRPr="00E530A2">
          <w:rPr>
            <w:rStyle w:val="Hyperlink"/>
            <w:rFonts w:ascii="Cambria" w:hAnsi="Cambria"/>
            <w:sz w:val="20"/>
            <w:szCs w:val="20"/>
          </w:rPr>
          <w:t>http://toronto45.icann.org/meetings/toronto2012/transcript-public-forum-18oct12-en.pdf</w:t>
        </w:r>
      </w:hyperlink>
      <w:r w:rsidR="008D5799">
        <w:rPr>
          <w:rFonts w:ascii="Cambria" w:hAnsi="Cambria"/>
          <w:sz w:val="20"/>
          <w:szCs w:val="20"/>
        </w:rPr>
        <w:t>, at p.12.</w:t>
      </w:r>
    </w:p>
    <w:p w14:paraId="47926B6E" w14:textId="77777777" w:rsidR="00DB500C" w:rsidRDefault="00DB500C" w:rsidP="00DB500C">
      <w:pPr>
        <w:rPr>
          <w:rFonts w:ascii="Cambria" w:hAnsi="Cambria"/>
          <w:sz w:val="20"/>
          <w:szCs w:val="20"/>
        </w:rPr>
      </w:pPr>
    </w:p>
    <w:p w14:paraId="5730388C" w14:textId="17B83A20" w:rsidR="00DB500C" w:rsidRPr="0094165C" w:rsidRDefault="00AC7679" w:rsidP="00DB500C">
      <w:pPr>
        <w:rPr>
          <w:rFonts w:ascii="Cambria" w:hAnsi="Cambria"/>
          <w:sz w:val="20"/>
          <w:szCs w:val="20"/>
        </w:rPr>
      </w:pPr>
      <w:r>
        <w:rPr>
          <w:rFonts w:ascii="Cambria" w:hAnsi="Cambria"/>
          <w:sz w:val="20"/>
          <w:szCs w:val="20"/>
        </w:rPr>
        <w:t xml:space="preserve">The Council has carefully considered and reviewed </w:t>
      </w:r>
      <w:r w:rsidR="00DB500C">
        <w:rPr>
          <w:rFonts w:ascii="Cambria" w:hAnsi="Cambria"/>
          <w:sz w:val="20"/>
          <w:szCs w:val="20"/>
        </w:rPr>
        <w:t xml:space="preserve">these proposals </w:t>
      </w:r>
      <w:r>
        <w:rPr>
          <w:rFonts w:ascii="Cambria" w:hAnsi="Cambria"/>
          <w:sz w:val="20"/>
          <w:szCs w:val="20"/>
        </w:rPr>
        <w:t xml:space="preserve">and they </w:t>
      </w:r>
      <w:r w:rsidR="00DB500C">
        <w:rPr>
          <w:rFonts w:ascii="Cambria" w:hAnsi="Cambria"/>
          <w:sz w:val="20"/>
          <w:szCs w:val="20"/>
        </w:rPr>
        <w:t>do not have the support of the Council’s majority.</w:t>
      </w:r>
    </w:p>
    <w:p w14:paraId="30037E1D" w14:textId="77777777" w:rsidR="00C810E8" w:rsidRDefault="00C810E8">
      <w:pPr>
        <w:rPr>
          <w:sz w:val="20"/>
          <w:szCs w:val="20"/>
        </w:rPr>
      </w:pPr>
    </w:p>
    <w:p w14:paraId="1109D9F5" w14:textId="713C09EF" w:rsidR="00C810E8" w:rsidRDefault="00C810E8">
      <w:pPr>
        <w:rPr>
          <w:sz w:val="20"/>
          <w:szCs w:val="20"/>
        </w:rPr>
      </w:pPr>
      <w:r>
        <w:rPr>
          <w:sz w:val="20"/>
          <w:szCs w:val="20"/>
        </w:rPr>
        <w:t>In addition, in the context of ICANN’s goal to advance competition in</w:t>
      </w:r>
      <w:r w:rsidR="00397072">
        <w:rPr>
          <w:sz w:val="20"/>
          <w:szCs w:val="20"/>
        </w:rPr>
        <w:t xml:space="preserve"> the domain name industry, the C</w:t>
      </w:r>
      <w:r>
        <w:rPr>
          <w:sz w:val="20"/>
          <w:szCs w:val="20"/>
        </w:rPr>
        <w:t xml:space="preserve">ouncil finds that </w:t>
      </w:r>
      <w:r w:rsidR="00AC7679">
        <w:rPr>
          <w:sz w:val="20"/>
          <w:szCs w:val="20"/>
        </w:rPr>
        <w:t xml:space="preserve">the </w:t>
      </w:r>
      <w:r>
        <w:rPr>
          <w:sz w:val="20"/>
          <w:szCs w:val="20"/>
        </w:rPr>
        <w:t xml:space="preserve">RPM proposals, or other measures that could impact the </w:t>
      </w:r>
      <w:r w:rsidR="00AC7679">
        <w:rPr>
          <w:sz w:val="20"/>
          <w:szCs w:val="20"/>
        </w:rPr>
        <w:t xml:space="preserve">launch plans and operation </w:t>
      </w:r>
      <w:r>
        <w:rPr>
          <w:sz w:val="20"/>
          <w:szCs w:val="20"/>
        </w:rPr>
        <w:t>of new gTLDs</w:t>
      </w:r>
      <w:r w:rsidR="006840E7">
        <w:rPr>
          <w:sz w:val="20"/>
          <w:szCs w:val="20"/>
        </w:rPr>
        <w:t xml:space="preserve">, </w:t>
      </w:r>
      <w:r w:rsidR="00397072">
        <w:rPr>
          <w:sz w:val="20"/>
          <w:szCs w:val="20"/>
        </w:rPr>
        <w:t xml:space="preserve">would deserve </w:t>
      </w:r>
      <w:r w:rsidR="006840E7">
        <w:rPr>
          <w:sz w:val="20"/>
          <w:szCs w:val="20"/>
        </w:rPr>
        <w:t xml:space="preserve">GNSO </w:t>
      </w:r>
      <w:r w:rsidR="00397072">
        <w:rPr>
          <w:sz w:val="20"/>
          <w:szCs w:val="20"/>
        </w:rPr>
        <w:t xml:space="preserve">policy development </w:t>
      </w:r>
      <w:r w:rsidR="006840E7">
        <w:rPr>
          <w:sz w:val="20"/>
          <w:szCs w:val="20"/>
        </w:rPr>
        <w:t xml:space="preserve">to ensure applicability to all gTLDs, new and existing.  This is consistent with the NTIA’s recent letter to </w:t>
      </w:r>
      <w:r w:rsidR="00383979">
        <w:rPr>
          <w:sz w:val="20"/>
          <w:szCs w:val="20"/>
        </w:rPr>
        <w:t>ICANN</w:t>
      </w:r>
      <w:r w:rsidR="006840E7">
        <w:rPr>
          <w:sz w:val="20"/>
          <w:szCs w:val="20"/>
        </w:rPr>
        <w:t>, which states in part:</w:t>
      </w:r>
    </w:p>
    <w:p w14:paraId="7C393BFF" w14:textId="77777777" w:rsidR="00816472" w:rsidRDefault="00816472">
      <w:pPr>
        <w:rPr>
          <w:sz w:val="20"/>
          <w:szCs w:val="20"/>
        </w:rPr>
      </w:pPr>
    </w:p>
    <w:p w14:paraId="41FB410E" w14:textId="77777777" w:rsidR="006840E7" w:rsidRDefault="006840E7" w:rsidP="006840E7">
      <w:pPr>
        <w:ind w:left="720"/>
        <w:rPr>
          <w:sz w:val="20"/>
          <w:szCs w:val="20"/>
        </w:rPr>
      </w:pPr>
      <w:r>
        <w:rPr>
          <w:sz w:val="20"/>
          <w:szCs w:val="20"/>
        </w:rPr>
        <w:t>“We encourage ICANN to explore additional trademark protections across all TLDs, existing and new, through community dialogues and appropriate policy development processes in the coming year.”</w:t>
      </w:r>
    </w:p>
    <w:p w14:paraId="7D370909" w14:textId="77777777" w:rsidR="008D5799" w:rsidRDefault="008D5799" w:rsidP="006840E7">
      <w:pPr>
        <w:ind w:left="720"/>
        <w:rPr>
          <w:sz w:val="20"/>
          <w:szCs w:val="20"/>
        </w:rPr>
      </w:pPr>
    </w:p>
    <w:p w14:paraId="43629A20" w14:textId="77E8C627" w:rsidR="008D5799" w:rsidRDefault="00A25B4A" w:rsidP="006840E7">
      <w:pPr>
        <w:ind w:left="720"/>
        <w:rPr>
          <w:sz w:val="20"/>
          <w:szCs w:val="20"/>
        </w:rPr>
      </w:pPr>
      <w:hyperlink r:id="rId7" w:history="1">
        <w:r w:rsidR="008D5799" w:rsidRPr="00E530A2">
          <w:rPr>
            <w:rStyle w:val="Hyperlink"/>
            <w:sz w:val="20"/>
            <w:szCs w:val="20"/>
          </w:rPr>
          <w:t>http://www.icann.org/en/news/correspondence/strickling-to-crocker-04oct12-en.pdf</w:t>
        </w:r>
      </w:hyperlink>
      <w:r w:rsidR="008D5799">
        <w:rPr>
          <w:sz w:val="20"/>
          <w:szCs w:val="20"/>
        </w:rPr>
        <w:t xml:space="preserve"> </w:t>
      </w:r>
    </w:p>
    <w:p w14:paraId="5EFB80A3" w14:textId="77777777" w:rsidR="00486CFD" w:rsidRDefault="00486CFD">
      <w:pPr>
        <w:rPr>
          <w:sz w:val="20"/>
          <w:szCs w:val="20"/>
        </w:rPr>
      </w:pPr>
    </w:p>
    <w:p w14:paraId="7182E326" w14:textId="77777777" w:rsidR="00486CFD" w:rsidRPr="00553834" w:rsidRDefault="00553834">
      <w:pPr>
        <w:rPr>
          <w:sz w:val="20"/>
          <w:szCs w:val="20"/>
          <w:u w:val="single"/>
        </w:rPr>
      </w:pPr>
      <w:r>
        <w:rPr>
          <w:sz w:val="20"/>
          <w:szCs w:val="20"/>
          <w:u w:val="single"/>
        </w:rPr>
        <w:t>Extension of Claims 1</w:t>
      </w:r>
    </w:p>
    <w:p w14:paraId="45512543" w14:textId="3EE00ECB" w:rsidR="00486CFD" w:rsidRDefault="00DB500C">
      <w:pPr>
        <w:rPr>
          <w:sz w:val="20"/>
          <w:szCs w:val="20"/>
        </w:rPr>
      </w:pPr>
      <w:r>
        <w:rPr>
          <w:sz w:val="20"/>
          <w:szCs w:val="20"/>
        </w:rPr>
        <w:t xml:space="preserve">The </w:t>
      </w:r>
      <w:r w:rsidR="00383979">
        <w:rPr>
          <w:sz w:val="20"/>
          <w:szCs w:val="20"/>
        </w:rPr>
        <w:t xml:space="preserve">majority of the </w:t>
      </w:r>
      <w:r>
        <w:rPr>
          <w:sz w:val="20"/>
          <w:szCs w:val="20"/>
        </w:rPr>
        <w:t>Council considers the community</w:t>
      </w:r>
      <w:r w:rsidR="00164F53">
        <w:rPr>
          <w:sz w:val="20"/>
          <w:szCs w:val="20"/>
        </w:rPr>
        <w:t xml:space="preserve">’s standing </w:t>
      </w:r>
      <w:bookmarkStart w:id="0" w:name="_GoBack"/>
      <w:bookmarkEnd w:id="0"/>
      <w:r>
        <w:rPr>
          <w:sz w:val="20"/>
          <w:szCs w:val="20"/>
        </w:rPr>
        <w:t xml:space="preserve">agreement for a 60-day Claims 1 period </w:t>
      </w:r>
      <w:r w:rsidR="00CD5362">
        <w:rPr>
          <w:sz w:val="20"/>
          <w:szCs w:val="20"/>
        </w:rPr>
        <w:t xml:space="preserve">to be </w:t>
      </w:r>
      <w:r>
        <w:rPr>
          <w:sz w:val="20"/>
          <w:szCs w:val="20"/>
        </w:rPr>
        <w:t>settled.</w:t>
      </w:r>
    </w:p>
    <w:p w14:paraId="573431E7" w14:textId="77777777" w:rsidR="00DB500C" w:rsidRDefault="00DB500C">
      <w:pPr>
        <w:rPr>
          <w:sz w:val="20"/>
          <w:szCs w:val="20"/>
        </w:rPr>
      </w:pPr>
    </w:p>
    <w:p w14:paraId="086B4476" w14:textId="1138B595" w:rsidR="00DB500C" w:rsidRDefault="00164F53" w:rsidP="00AC2AC0">
      <w:pPr>
        <w:pStyle w:val="ListParagraph"/>
        <w:ind w:left="0"/>
        <w:rPr>
          <w:sz w:val="20"/>
          <w:szCs w:val="20"/>
        </w:rPr>
      </w:pPr>
      <w:r>
        <w:rPr>
          <w:sz w:val="20"/>
          <w:szCs w:val="20"/>
        </w:rPr>
        <w:t>The C</w:t>
      </w:r>
      <w:r w:rsidR="00AC2AC0">
        <w:rPr>
          <w:sz w:val="20"/>
          <w:szCs w:val="20"/>
        </w:rPr>
        <w:t>ouncil’s rationale is t</w:t>
      </w:r>
      <w:r w:rsidR="00DB500C">
        <w:rPr>
          <w:sz w:val="20"/>
          <w:szCs w:val="20"/>
        </w:rPr>
        <w:t>he Board</w:t>
      </w:r>
      <w:r w:rsidR="00AC2AC0">
        <w:rPr>
          <w:sz w:val="20"/>
          <w:szCs w:val="20"/>
        </w:rPr>
        <w:t xml:space="preserve">’s </w:t>
      </w:r>
      <w:r w:rsidR="00C141CF">
        <w:rPr>
          <w:sz w:val="20"/>
          <w:szCs w:val="20"/>
        </w:rPr>
        <w:t>approved</w:t>
      </w:r>
      <w:r w:rsidR="00DB500C">
        <w:rPr>
          <w:sz w:val="20"/>
          <w:szCs w:val="20"/>
        </w:rPr>
        <w:t xml:space="preserve"> timing of trademark claims as “60 days from launch.”  </w:t>
      </w:r>
      <w:r w:rsidR="00AA6B57">
        <w:rPr>
          <w:sz w:val="20"/>
          <w:szCs w:val="20"/>
        </w:rPr>
        <w:t xml:space="preserve">It is important to note here that </w:t>
      </w:r>
      <w:r w:rsidR="00DB500C">
        <w:rPr>
          <w:sz w:val="20"/>
          <w:szCs w:val="20"/>
        </w:rPr>
        <w:t xml:space="preserve">the presence of both sunrise and trademark claims </w:t>
      </w:r>
      <w:r w:rsidR="00AA6B57">
        <w:rPr>
          <w:sz w:val="20"/>
          <w:szCs w:val="20"/>
        </w:rPr>
        <w:t xml:space="preserve">in the final </w:t>
      </w:r>
      <w:r w:rsidR="00AA6B57">
        <w:rPr>
          <w:sz w:val="20"/>
          <w:szCs w:val="20"/>
        </w:rPr>
        <w:lastRenderedPageBreak/>
        <w:t>program already provides extended protection beyond previously agreed policy</w:t>
      </w:r>
      <w:r w:rsidR="00832F96">
        <w:rPr>
          <w:sz w:val="20"/>
          <w:szCs w:val="20"/>
        </w:rPr>
        <w:t>, as the C</w:t>
      </w:r>
      <w:r w:rsidR="00DB500C">
        <w:rPr>
          <w:sz w:val="20"/>
          <w:szCs w:val="20"/>
        </w:rPr>
        <w:t xml:space="preserve">ouncil </w:t>
      </w:r>
      <w:r w:rsidR="00AA6B57">
        <w:rPr>
          <w:sz w:val="20"/>
          <w:szCs w:val="20"/>
        </w:rPr>
        <w:t xml:space="preserve">previously </w:t>
      </w:r>
      <w:r w:rsidR="00DB500C">
        <w:rPr>
          <w:sz w:val="20"/>
          <w:szCs w:val="20"/>
        </w:rPr>
        <w:t xml:space="preserve">voted </w:t>
      </w:r>
      <w:r w:rsidR="00DB500C" w:rsidRPr="00A25B4A">
        <w:rPr>
          <w:sz w:val="20"/>
          <w:szCs w:val="20"/>
          <w:u w:val="single"/>
        </w:rPr>
        <w:t>unanimously</w:t>
      </w:r>
      <w:r w:rsidR="00DB500C">
        <w:rPr>
          <w:sz w:val="20"/>
          <w:szCs w:val="20"/>
        </w:rPr>
        <w:t xml:space="preserve"> to require either sunrise or claims, but not both.</w:t>
      </w:r>
    </w:p>
    <w:p w14:paraId="137A6C6E" w14:textId="77777777" w:rsidR="00DB500C" w:rsidRDefault="00DB500C">
      <w:pPr>
        <w:rPr>
          <w:sz w:val="20"/>
          <w:szCs w:val="20"/>
        </w:rPr>
      </w:pPr>
    </w:p>
    <w:p w14:paraId="550F49F0" w14:textId="29F8BE41" w:rsidR="00553834" w:rsidRPr="009849F1" w:rsidRDefault="00AC2AC0" w:rsidP="009849F1">
      <w:pPr>
        <w:rPr>
          <w:sz w:val="20"/>
          <w:szCs w:val="20"/>
        </w:rPr>
      </w:pPr>
      <w:r>
        <w:rPr>
          <w:sz w:val="20"/>
          <w:szCs w:val="20"/>
        </w:rPr>
        <w:t>With regard to Claims 1, staff’s determina</w:t>
      </w:r>
      <w:r w:rsidR="00164F53">
        <w:rPr>
          <w:sz w:val="20"/>
          <w:szCs w:val="20"/>
        </w:rPr>
        <w:t xml:space="preserve">tion that a timing extension is appropriate </w:t>
      </w:r>
      <w:r>
        <w:rPr>
          <w:sz w:val="20"/>
          <w:szCs w:val="20"/>
        </w:rPr>
        <w:t xml:space="preserve">is </w:t>
      </w:r>
      <w:r w:rsidR="00553834" w:rsidRPr="009849F1">
        <w:rPr>
          <w:sz w:val="20"/>
          <w:szCs w:val="20"/>
        </w:rPr>
        <w:t>inconsistent</w:t>
      </w:r>
      <w:r>
        <w:rPr>
          <w:sz w:val="20"/>
          <w:szCs w:val="20"/>
        </w:rPr>
        <w:t xml:space="preserve"> with previous communications</w:t>
      </w:r>
      <w:r w:rsidR="00553834" w:rsidRPr="009849F1">
        <w:rPr>
          <w:sz w:val="20"/>
          <w:szCs w:val="20"/>
        </w:rPr>
        <w:t xml:space="preserve">.  </w:t>
      </w:r>
      <w:r>
        <w:rPr>
          <w:sz w:val="20"/>
          <w:szCs w:val="20"/>
        </w:rPr>
        <w:t xml:space="preserve">In your </w:t>
      </w:r>
      <w:r w:rsidR="00553834" w:rsidRPr="009849F1">
        <w:rPr>
          <w:sz w:val="20"/>
          <w:szCs w:val="20"/>
        </w:rPr>
        <w:t>19 September 2012 letter to the US Congress</w:t>
      </w:r>
      <w:r>
        <w:rPr>
          <w:sz w:val="20"/>
          <w:szCs w:val="20"/>
        </w:rPr>
        <w:t>, you wrote</w:t>
      </w:r>
      <w:r w:rsidR="00DB500C">
        <w:rPr>
          <w:sz w:val="20"/>
          <w:szCs w:val="20"/>
        </w:rPr>
        <w:t xml:space="preserve"> (emphasis added)</w:t>
      </w:r>
      <w:r w:rsidR="00553834" w:rsidRPr="009849F1">
        <w:rPr>
          <w:sz w:val="20"/>
          <w:szCs w:val="20"/>
        </w:rPr>
        <w:t>:</w:t>
      </w:r>
    </w:p>
    <w:p w14:paraId="46946AC8" w14:textId="77777777" w:rsidR="00553834" w:rsidRDefault="00553834" w:rsidP="00553834">
      <w:pPr>
        <w:rPr>
          <w:sz w:val="20"/>
          <w:szCs w:val="20"/>
        </w:rPr>
      </w:pPr>
    </w:p>
    <w:p w14:paraId="46D15864" w14:textId="77777777" w:rsidR="00553834" w:rsidRDefault="00553834" w:rsidP="00553834">
      <w:pPr>
        <w:ind w:left="720"/>
        <w:rPr>
          <w:sz w:val="20"/>
          <w:szCs w:val="20"/>
        </w:rPr>
      </w:pPr>
      <w:r>
        <w:rPr>
          <w:sz w:val="20"/>
          <w:szCs w:val="20"/>
        </w:rPr>
        <w:t xml:space="preserve">“For the first round of new gTLDs, ICANN is not in a position to unilaterally require today an extension of the 60-day minimum length of the new trademark claims service.  </w:t>
      </w:r>
      <w:r w:rsidRPr="00553834">
        <w:rPr>
          <w:b/>
          <w:sz w:val="20"/>
          <w:szCs w:val="20"/>
        </w:rPr>
        <w:t>The 60-day period was reached through a multi-year, extensive process with the ICANN community.</w:t>
      </w:r>
      <w:r>
        <w:rPr>
          <w:sz w:val="20"/>
          <w:szCs w:val="20"/>
        </w:rPr>
        <w:t>”</w:t>
      </w:r>
    </w:p>
    <w:p w14:paraId="6838D715" w14:textId="77777777" w:rsidR="00553834" w:rsidRDefault="00553834">
      <w:pPr>
        <w:rPr>
          <w:sz w:val="20"/>
          <w:szCs w:val="20"/>
        </w:rPr>
      </w:pPr>
    </w:p>
    <w:p w14:paraId="78620BE8" w14:textId="3F369CC0" w:rsidR="008D5799" w:rsidRDefault="008D5799">
      <w:pPr>
        <w:rPr>
          <w:sz w:val="20"/>
          <w:szCs w:val="20"/>
        </w:rPr>
      </w:pPr>
      <w:r>
        <w:rPr>
          <w:sz w:val="20"/>
          <w:szCs w:val="20"/>
        </w:rPr>
        <w:tab/>
      </w:r>
      <w:hyperlink r:id="rId8" w:history="1">
        <w:r w:rsidRPr="00E530A2">
          <w:rPr>
            <w:rStyle w:val="Hyperlink"/>
            <w:sz w:val="20"/>
            <w:szCs w:val="20"/>
          </w:rPr>
          <w:t>http://www.icann.org/en/news/correspondence/chehade-to-leahy-et-al-19sep12-en</w:t>
        </w:r>
      </w:hyperlink>
      <w:r>
        <w:rPr>
          <w:sz w:val="20"/>
          <w:szCs w:val="20"/>
        </w:rPr>
        <w:t xml:space="preserve"> </w:t>
      </w:r>
    </w:p>
    <w:p w14:paraId="646FB851" w14:textId="77777777" w:rsidR="008D5799" w:rsidRDefault="008D5799">
      <w:pPr>
        <w:rPr>
          <w:sz w:val="20"/>
          <w:szCs w:val="20"/>
        </w:rPr>
      </w:pPr>
    </w:p>
    <w:p w14:paraId="7D92D75F" w14:textId="78E1C02C" w:rsidR="00AC2AC0" w:rsidRDefault="00AC2AC0">
      <w:pPr>
        <w:rPr>
          <w:sz w:val="20"/>
          <w:szCs w:val="20"/>
        </w:rPr>
      </w:pPr>
      <w:r>
        <w:rPr>
          <w:sz w:val="20"/>
          <w:szCs w:val="20"/>
        </w:rPr>
        <w:t xml:space="preserve">The </w:t>
      </w:r>
      <w:r w:rsidR="00B774B0">
        <w:rPr>
          <w:sz w:val="20"/>
          <w:szCs w:val="20"/>
        </w:rPr>
        <w:t>majority of the C</w:t>
      </w:r>
      <w:r>
        <w:rPr>
          <w:sz w:val="20"/>
          <w:szCs w:val="20"/>
        </w:rPr>
        <w:t>ouncil concurs with your message and believes the current 60-day Claims</w:t>
      </w:r>
      <w:r w:rsidR="00383979">
        <w:rPr>
          <w:sz w:val="20"/>
          <w:szCs w:val="20"/>
        </w:rPr>
        <w:t xml:space="preserve"> 1 period is agreed-to policy</w:t>
      </w:r>
      <w:r w:rsidR="00324963">
        <w:rPr>
          <w:sz w:val="20"/>
          <w:szCs w:val="20"/>
        </w:rPr>
        <w:t xml:space="preserve"> and as such should not be changed</w:t>
      </w:r>
      <w:r w:rsidR="00383979">
        <w:rPr>
          <w:sz w:val="20"/>
          <w:szCs w:val="20"/>
        </w:rPr>
        <w:t xml:space="preserve">.  </w:t>
      </w:r>
    </w:p>
    <w:p w14:paraId="067464A1" w14:textId="77777777" w:rsidR="00553834" w:rsidRDefault="00553834" w:rsidP="00553834">
      <w:pPr>
        <w:rPr>
          <w:sz w:val="20"/>
          <w:szCs w:val="20"/>
        </w:rPr>
      </w:pPr>
    </w:p>
    <w:p w14:paraId="478A627D" w14:textId="2BF33015" w:rsidR="008D22C7" w:rsidRPr="00B774B0" w:rsidRDefault="00553834">
      <w:pPr>
        <w:rPr>
          <w:sz w:val="20"/>
          <w:szCs w:val="20"/>
          <w:u w:val="single"/>
        </w:rPr>
      </w:pPr>
      <w:r w:rsidRPr="00553834">
        <w:rPr>
          <w:sz w:val="20"/>
          <w:szCs w:val="20"/>
          <w:u w:val="single"/>
        </w:rPr>
        <w:t>Claims 2</w:t>
      </w:r>
    </w:p>
    <w:p w14:paraId="451D80AE" w14:textId="42D89F44" w:rsidR="000D5724" w:rsidRDefault="00383979">
      <w:pPr>
        <w:rPr>
          <w:sz w:val="20"/>
          <w:szCs w:val="20"/>
        </w:rPr>
      </w:pPr>
      <w:r>
        <w:rPr>
          <w:sz w:val="20"/>
          <w:szCs w:val="20"/>
        </w:rPr>
        <w:t>The Claims 2 proposal is a longer-term RPM with potentially significant impacts and would be subject to a PDP, in order to explore the complex issues therein.</w:t>
      </w:r>
      <w:r w:rsidR="0055223F">
        <w:rPr>
          <w:sz w:val="20"/>
          <w:szCs w:val="20"/>
        </w:rPr>
        <w:t xml:space="preserve"> </w:t>
      </w:r>
      <w:r w:rsidR="000D5724">
        <w:rPr>
          <w:sz w:val="20"/>
          <w:szCs w:val="20"/>
        </w:rPr>
        <w:t>This advice is based on the following:</w:t>
      </w:r>
    </w:p>
    <w:p w14:paraId="17DE6CD4" w14:textId="77777777" w:rsidR="00656789" w:rsidRDefault="00656789">
      <w:pPr>
        <w:rPr>
          <w:sz w:val="20"/>
          <w:szCs w:val="20"/>
        </w:rPr>
      </w:pPr>
    </w:p>
    <w:p w14:paraId="4B01BDC8" w14:textId="2140F63C" w:rsidR="009849F1" w:rsidRDefault="000D5724" w:rsidP="009849F1">
      <w:pPr>
        <w:pStyle w:val="ListParagraph"/>
        <w:numPr>
          <w:ilvl w:val="0"/>
          <w:numId w:val="2"/>
        </w:numPr>
        <w:rPr>
          <w:sz w:val="20"/>
          <w:szCs w:val="20"/>
        </w:rPr>
      </w:pPr>
      <w:r w:rsidRPr="009849F1">
        <w:rPr>
          <w:sz w:val="20"/>
          <w:szCs w:val="20"/>
        </w:rPr>
        <w:t>Claims 2 is a new RPM, not implementation of an agreed-to RPM.</w:t>
      </w:r>
      <w:r w:rsidR="001550D9" w:rsidRPr="009849F1">
        <w:rPr>
          <w:sz w:val="20"/>
          <w:szCs w:val="20"/>
        </w:rPr>
        <w:t xml:space="preserve">  It is fundamentally different from the 60- (or </w:t>
      </w:r>
      <w:r w:rsidR="00FD6691">
        <w:rPr>
          <w:sz w:val="20"/>
          <w:szCs w:val="20"/>
        </w:rPr>
        <w:t xml:space="preserve">the proposed </w:t>
      </w:r>
      <w:r w:rsidR="001550D9" w:rsidRPr="009849F1">
        <w:rPr>
          <w:sz w:val="20"/>
          <w:szCs w:val="20"/>
        </w:rPr>
        <w:t xml:space="preserve">90-) day claims service.  </w:t>
      </w:r>
    </w:p>
    <w:p w14:paraId="1CDA8769" w14:textId="77777777" w:rsidR="009849F1" w:rsidRDefault="009849F1" w:rsidP="009849F1">
      <w:pPr>
        <w:pStyle w:val="ListParagraph"/>
        <w:ind w:left="360"/>
        <w:rPr>
          <w:sz w:val="20"/>
          <w:szCs w:val="20"/>
        </w:rPr>
      </w:pPr>
    </w:p>
    <w:p w14:paraId="06899440" w14:textId="31F0FFD5" w:rsidR="009849F1" w:rsidRDefault="001550D9" w:rsidP="009849F1">
      <w:pPr>
        <w:pStyle w:val="ListParagraph"/>
        <w:numPr>
          <w:ilvl w:val="0"/>
          <w:numId w:val="2"/>
        </w:numPr>
        <w:rPr>
          <w:sz w:val="20"/>
          <w:szCs w:val="20"/>
        </w:rPr>
      </w:pPr>
      <w:r w:rsidRPr="009849F1">
        <w:rPr>
          <w:sz w:val="20"/>
          <w:szCs w:val="20"/>
        </w:rPr>
        <w:t xml:space="preserve">Beyond this important distinction, there are many unanswered questions about a Clams 2 process.  </w:t>
      </w:r>
      <w:r w:rsidR="000B2C30">
        <w:rPr>
          <w:sz w:val="20"/>
          <w:szCs w:val="20"/>
        </w:rPr>
        <w:t xml:space="preserve">Are potential registrants, legitimately entitled to non-infringing registrations, unfairly disenfranchised?  </w:t>
      </w:r>
      <w:r w:rsidRPr="009849F1">
        <w:rPr>
          <w:sz w:val="20"/>
          <w:szCs w:val="20"/>
        </w:rPr>
        <w:t>How would payments be made and allocated?  How do registries and registrars adapt their technical systems to accept the many more commands received over nine to ten additional months?  Is the burden as currently proposed (registries and registrars assume the cost and risk to build these systems with no predictable method of cost recovery) fair to all parties?  What should the claims not</w:t>
      </w:r>
      <w:r w:rsidR="00832F96">
        <w:rPr>
          <w:sz w:val="20"/>
          <w:szCs w:val="20"/>
        </w:rPr>
        <w:t>ice say?  (In this regard, the C</w:t>
      </w:r>
      <w:r w:rsidRPr="009849F1">
        <w:rPr>
          <w:sz w:val="20"/>
          <w:szCs w:val="20"/>
        </w:rPr>
        <w:t>ouncil respectfully points out that Claims 2 should not be characterized as “more lightweight.”)  The purpose of the GNSO Council is to collaboratively answer these types of questions before recommending policy.</w:t>
      </w:r>
    </w:p>
    <w:p w14:paraId="67090B34" w14:textId="77777777" w:rsidR="009849F1" w:rsidRPr="009849F1" w:rsidRDefault="009849F1" w:rsidP="009849F1">
      <w:pPr>
        <w:rPr>
          <w:sz w:val="20"/>
          <w:szCs w:val="20"/>
        </w:rPr>
      </w:pPr>
    </w:p>
    <w:p w14:paraId="3ABF9D99" w14:textId="2047573F" w:rsidR="00816472" w:rsidRPr="009801DF" w:rsidRDefault="00672630">
      <w:pPr>
        <w:rPr>
          <w:sz w:val="20"/>
          <w:szCs w:val="20"/>
          <w:u w:val="single"/>
        </w:rPr>
      </w:pPr>
      <w:r>
        <w:rPr>
          <w:sz w:val="20"/>
          <w:szCs w:val="20"/>
          <w:u w:val="single"/>
        </w:rPr>
        <w:t>Scope of Trademark Claims</w:t>
      </w:r>
    </w:p>
    <w:p w14:paraId="5AA9FE9A" w14:textId="1F9CAC41" w:rsidR="00816472" w:rsidRDefault="00B774B0" w:rsidP="00816472">
      <w:pPr>
        <w:rPr>
          <w:sz w:val="20"/>
          <w:szCs w:val="20"/>
        </w:rPr>
      </w:pPr>
      <w:r>
        <w:rPr>
          <w:sz w:val="20"/>
          <w:szCs w:val="20"/>
        </w:rPr>
        <w:t>The C</w:t>
      </w:r>
      <w:r w:rsidR="009801DF">
        <w:rPr>
          <w:sz w:val="20"/>
          <w:szCs w:val="20"/>
        </w:rPr>
        <w:t>ouncil</w:t>
      </w:r>
      <w:r>
        <w:rPr>
          <w:sz w:val="20"/>
          <w:szCs w:val="20"/>
        </w:rPr>
        <w:t>’s majority</w:t>
      </w:r>
      <w:r w:rsidR="009801DF">
        <w:rPr>
          <w:sz w:val="20"/>
          <w:szCs w:val="20"/>
        </w:rPr>
        <w:t xml:space="preserve"> believes your determination, as documented in your updated blog posting</w:t>
      </w:r>
      <w:r w:rsidR="00CD5362">
        <w:rPr>
          <w:sz w:val="20"/>
          <w:szCs w:val="20"/>
        </w:rPr>
        <w:t xml:space="preserve"> (</w:t>
      </w:r>
      <w:hyperlink r:id="rId9" w:history="1">
        <w:r w:rsidR="00CD5362" w:rsidRPr="008B3F3E">
          <w:rPr>
            <w:rStyle w:val="Hyperlink"/>
            <w:sz w:val="20"/>
            <w:szCs w:val="20"/>
          </w:rPr>
          <w:t>http://blog.icann.org/2012/11/trademark-clearinghouse-update/</w:t>
        </w:r>
      </w:hyperlink>
      <w:proofErr w:type="gramStart"/>
      <w:r w:rsidR="00CD5362">
        <w:rPr>
          <w:sz w:val="20"/>
          <w:szCs w:val="20"/>
        </w:rPr>
        <w:t xml:space="preserve">) </w:t>
      </w:r>
      <w:r w:rsidR="009801DF">
        <w:rPr>
          <w:sz w:val="20"/>
          <w:szCs w:val="20"/>
        </w:rPr>
        <w:t>,</w:t>
      </w:r>
      <w:proofErr w:type="gramEnd"/>
      <w:r w:rsidR="009801DF">
        <w:rPr>
          <w:sz w:val="20"/>
          <w:szCs w:val="20"/>
        </w:rPr>
        <w:t xml:space="preserve"> that an expansion of trademark claim scope</w:t>
      </w:r>
      <w:r w:rsidR="00672630">
        <w:rPr>
          <w:sz w:val="20"/>
          <w:szCs w:val="20"/>
        </w:rPr>
        <w:t xml:space="preserve"> (beyond exact match)</w:t>
      </w:r>
      <w:r w:rsidR="009801DF">
        <w:rPr>
          <w:sz w:val="20"/>
          <w:szCs w:val="20"/>
        </w:rPr>
        <w:t xml:space="preserve"> is a matter of policy, is correct.  It is </w:t>
      </w:r>
      <w:r w:rsidR="00CD5362">
        <w:rPr>
          <w:sz w:val="20"/>
          <w:szCs w:val="20"/>
        </w:rPr>
        <w:t xml:space="preserve">also </w:t>
      </w:r>
      <w:r w:rsidR="009801DF">
        <w:rPr>
          <w:sz w:val="20"/>
          <w:szCs w:val="20"/>
        </w:rPr>
        <w:t>consistent with the following section of your letter to Congress:</w:t>
      </w:r>
    </w:p>
    <w:p w14:paraId="3081B792" w14:textId="77777777" w:rsidR="009801DF" w:rsidRDefault="009801DF" w:rsidP="00816472">
      <w:pPr>
        <w:rPr>
          <w:sz w:val="20"/>
          <w:szCs w:val="20"/>
        </w:rPr>
      </w:pPr>
    </w:p>
    <w:p w14:paraId="3002D16A" w14:textId="0F97372F" w:rsidR="009801DF" w:rsidRDefault="009801DF" w:rsidP="009801DF">
      <w:pPr>
        <w:ind w:left="720"/>
        <w:rPr>
          <w:sz w:val="20"/>
          <w:szCs w:val="20"/>
        </w:rPr>
      </w:pPr>
      <w:r>
        <w:rPr>
          <w:sz w:val="20"/>
          <w:szCs w:val="20"/>
        </w:rPr>
        <w:t>“It is important to note that the Trademark Clearinghouse is intended to be a repository for existing legal rights, and not an adjudicator of such rights or creator of new rights.  Extending the protections offered through the Trademark Clearinghouse to any form of name would potentially expand rights beyond those granted under trademark law and put the Clearinghouse in the role of making determination as to the scope of particular rights.  The principle that rights protections ‘should protect the existing rights of trademark owners, but neither expand those rights nor create add</w:t>
      </w:r>
      <w:r w:rsidR="0044233C">
        <w:rPr>
          <w:sz w:val="20"/>
          <w:szCs w:val="20"/>
        </w:rPr>
        <w:t>itional rights by trademark law’</w:t>
      </w:r>
      <w:r>
        <w:rPr>
          <w:sz w:val="20"/>
          <w:szCs w:val="20"/>
        </w:rPr>
        <w:t xml:space="preserve"> was key to work of the Implementation Recommendation Team…”</w:t>
      </w:r>
    </w:p>
    <w:p w14:paraId="01D1A51D" w14:textId="77777777" w:rsidR="009801DF" w:rsidRDefault="009801DF" w:rsidP="00816472">
      <w:pPr>
        <w:rPr>
          <w:sz w:val="20"/>
          <w:szCs w:val="20"/>
        </w:rPr>
      </w:pPr>
    </w:p>
    <w:p w14:paraId="18C2C687" w14:textId="2C33810E" w:rsidR="008D22C7" w:rsidRDefault="004A58CA" w:rsidP="00816472">
      <w:pPr>
        <w:rPr>
          <w:sz w:val="20"/>
          <w:szCs w:val="20"/>
        </w:rPr>
      </w:pPr>
      <w:r>
        <w:rPr>
          <w:sz w:val="20"/>
          <w:szCs w:val="20"/>
        </w:rPr>
        <w:t>Consistent with this, the Limited Preventative Registration (LPR) proposal</w:t>
      </w:r>
      <w:r w:rsidR="00E9094B">
        <w:rPr>
          <w:sz w:val="20"/>
          <w:szCs w:val="20"/>
        </w:rPr>
        <w:t>, or any other blocking mechanism,</w:t>
      </w:r>
      <w:r>
        <w:rPr>
          <w:sz w:val="20"/>
          <w:szCs w:val="20"/>
        </w:rPr>
        <w:t xml:space="preserve"> also represents a change in po</w:t>
      </w:r>
      <w:r w:rsidR="00832F96">
        <w:rPr>
          <w:sz w:val="20"/>
          <w:szCs w:val="20"/>
        </w:rPr>
        <w:t>licy and should be a matter of C</w:t>
      </w:r>
      <w:r>
        <w:rPr>
          <w:sz w:val="20"/>
          <w:szCs w:val="20"/>
        </w:rPr>
        <w:t>ouncil policy business if it is to be considered.</w:t>
      </w:r>
      <w:r w:rsidR="008D22C7">
        <w:rPr>
          <w:sz w:val="20"/>
          <w:szCs w:val="20"/>
        </w:rPr>
        <w:t xml:space="preserve"> </w:t>
      </w:r>
    </w:p>
    <w:p w14:paraId="551B7739" w14:textId="77777777" w:rsidR="008D22C7" w:rsidRDefault="008D22C7" w:rsidP="00816472">
      <w:pPr>
        <w:rPr>
          <w:sz w:val="20"/>
          <w:szCs w:val="20"/>
        </w:rPr>
      </w:pPr>
    </w:p>
    <w:p w14:paraId="588905AA" w14:textId="77777777" w:rsidR="00A25B4A" w:rsidRDefault="00A25B4A" w:rsidP="00816472">
      <w:pPr>
        <w:rPr>
          <w:sz w:val="20"/>
          <w:szCs w:val="20"/>
        </w:rPr>
      </w:pPr>
    </w:p>
    <w:p w14:paraId="1BAB329C" w14:textId="77777777" w:rsidR="00A25B4A" w:rsidRDefault="00A25B4A" w:rsidP="00816472">
      <w:pPr>
        <w:rPr>
          <w:sz w:val="20"/>
          <w:szCs w:val="20"/>
        </w:rPr>
      </w:pPr>
    </w:p>
    <w:p w14:paraId="0AC5C6E8" w14:textId="028845E5" w:rsidR="000D5724" w:rsidRPr="00B774B0" w:rsidRDefault="00A43CCF">
      <w:pPr>
        <w:rPr>
          <w:sz w:val="20"/>
          <w:szCs w:val="20"/>
          <w:u w:val="single"/>
        </w:rPr>
      </w:pPr>
      <w:r w:rsidRPr="00A43CCF">
        <w:rPr>
          <w:sz w:val="20"/>
          <w:szCs w:val="20"/>
          <w:u w:val="single"/>
        </w:rPr>
        <w:lastRenderedPageBreak/>
        <w:t>Staff activity and input</w:t>
      </w:r>
    </w:p>
    <w:p w14:paraId="4AAEDE7F" w14:textId="11AFB267" w:rsidR="008D22C7" w:rsidRDefault="00B774B0">
      <w:pPr>
        <w:rPr>
          <w:sz w:val="20"/>
          <w:szCs w:val="20"/>
        </w:rPr>
      </w:pPr>
      <w:r>
        <w:rPr>
          <w:sz w:val="20"/>
          <w:szCs w:val="20"/>
        </w:rPr>
        <w:t>The C</w:t>
      </w:r>
      <w:r w:rsidR="00E73612">
        <w:rPr>
          <w:sz w:val="20"/>
          <w:szCs w:val="20"/>
        </w:rPr>
        <w:t xml:space="preserve">ouncil </w:t>
      </w:r>
      <w:r w:rsidR="0055223F">
        <w:rPr>
          <w:sz w:val="20"/>
          <w:szCs w:val="20"/>
        </w:rPr>
        <w:t>appreciates your determination t</w:t>
      </w:r>
      <w:r>
        <w:rPr>
          <w:sz w:val="20"/>
          <w:szCs w:val="20"/>
        </w:rPr>
        <w:t>o focus on implementation; the C</w:t>
      </w:r>
      <w:r w:rsidR="0055223F">
        <w:rPr>
          <w:sz w:val="20"/>
          <w:szCs w:val="20"/>
        </w:rPr>
        <w:t>ouncil expects</w:t>
      </w:r>
      <w:r w:rsidR="00E9094B">
        <w:rPr>
          <w:sz w:val="20"/>
          <w:szCs w:val="20"/>
        </w:rPr>
        <w:t xml:space="preserve"> however</w:t>
      </w:r>
      <w:r w:rsidR="0055223F">
        <w:rPr>
          <w:sz w:val="20"/>
          <w:szCs w:val="20"/>
        </w:rPr>
        <w:t xml:space="preserve"> that implementation will be of agreed-to issues, and not new </w:t>
      </w:r>
      <w:proofErr w:type="gramStart"/>
      <w:r w:rsidR="0055223F">
        <w:rPr>
          <w:sz w:val="20"/>
          <w:szCs w:val="20"/>
        </w:rPr>
        <w:t xml:space="preserve">proposals </w:t>
      </w:r>
      <w:r w:rsidR="00AA6B57">
        <w:rPr>
          <w:sz w:val="20"/>
          <w:szCs w:val="20"/>
        </w:rPr>
        <w:t>which</w:t>
      </w:r>
      <w:proofErr w:type="gramEnd"/>
      <w:r w:rsidR="00AA6B57">
        <w:rPr>
          <w:sz w:val="20"/>
          <w:szCs w:val="20"/>
        </w:rPr>
        <w:t xml:space="preserve"> have </w:t>
      </w:r>
      <w:r w:rsidR="0055223F">
        <w:rPr>
          <w:sz w:val="20"/>
          <w:szCs w:val="20"/>
        </w:rPr>
        <w:t xml:space="preserve">not </w:t>
      </w:r>
      <w:r w:rsidR="00AA6B57">
        <w:rPr>
          <w:sz w:val="20"/>
          <w:szCs w:val="20"/>
        </w:rPr>
        <w:t xml:space="preserve">been </w:t>
      </w:r>
      <w:r w:rsidR="0055223F">
        <w:rPr>
          <w:sz w:val="20"/>
          <w:szCs w:val="20"/>
        </w:rPr>
        <w:t>subject to adequate community review and input.</w:t>
      </w:r>
    </w:p>
    <w:sectPr w:rsidR="008D22C7" w:rsidSect="005361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529D"/>
    <w:multiLevelType w:val="hybridMultilevel"/>
    <w:tmpl w:val="5F4A0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3326C4"/>
    <w:multiLevelType w:val="hybridMultilevel"/>
    <w:tmpl w:val="4F18B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78"/>
    <w:rsid w:val="000456EE"/>
    <w:rsid w:val="00050FA3"/>
    <w:rsid w:val="000B2C30"/>
    <w:rsid w:val="000D13C6"/>
    <w:rsid w:val="000D5724"/>
    <w:rsid w:val="000F3CB6"/>
    <w:rsid w:val="001550D9"/>
    <w:rsid w:val="00157B18"/>
    <w:rsid w:val="00164F53"/>
    <w:rsid w:val="00216859"/>
    <w:rsid w:val="00220D0F"/>
    <w:rsid w:val="00235238"/>
    <w:rsid w:val="002C1958"/>
    <w:rsid w:val="00324963"/>
    <w:rsid w:val="00383979"/>
    <w:rsid w:val="00397072"/>
    <w:rsid w:val="004060AB"/>
    <w:rsid w:val="0044233C"/>
    <w:rsid w:val="00486CFD"/>
    <w:rsid w:val="004A58CA"/>
    <w:rsid w:val="00536115"/>
    <w:rsid w:val="005403E5"/>
    <w:rsid w:val="0055223F"/>
    <w:rsid w:val="00553834"/>
    <w:rsid w:val="00656789"/>
    <w:rsid w:val="00672630"/>
    <w:rsid w:val="006840E7"/>
    <w:rsid w:val="00812BAD"/>
    <w:rsid w:val="00812C8B"/>
    <w:rsid w:val="00816472"/>
    <w:rsid w:val="00832F96"/>
    <w:rsid w:val="008D22C7"/>
    <w:rsid w:val="008D5799"/>
    <w:rsid w:val="0094165C"/>
    <w:rsid w:val="009801DF"/>
    <w:rsid w:val="009849F1"/>
    <w:rsid w:val="009C1BD6"/>
    <w:rsid w:val="00A25B4A"/>
    <w:rsid w:val="00A43CCF"/>
    <w:rsid w:val="00A724FF"/>
    <w:rsid w:val="00AA6B57"/>
    <w:rsid w:val="00AC2AC0"/>
    <w:rsid w:val="00AC7679"/>
    <w:rsid w:val="00B00B47"/>
    <w:rsid w:val="00B331CF"/>
    <w:rsid w:val="00B774B0"/>
    <w:rsid w:val="00C141CF"/>
    <w:rsid w:val="00C43178"/>
    <w:rsid w:val="00C451B3"/>
    <w:rsid w:val="00C810E8"/>
    <w:rsid w:val="00CD5362"/>
    <w:rsid w:val="00D843BD"/>
    <w:rsid w:val="00DB500C"/>
    <w:rsid w:val="00E73612"/>
    <w:rsid w:val="00E9094B"/>
    <w:rsid w:val="00E94441"/>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9C74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oronto45.icann.org/meetings/toronto2012/transcript-public-forum-18oct12-en.pdf" TargetMode="External"/><Relationship Id="rId7" Type="http://schemas.openxmlformats.org/officeDocument/2006/relationships/hyperlink" Target="http://www.icann.org/en/news/correspondence/strickling-to-crocker-04oct12-en.pdf" TargetMode="External"/><Relationship Id="rId8" Type="http://schemas.openxmlformats.org/officeDocument/2006/relationships/hyperlink" Target="http://www.icann.org/en/news/correspondence/chehade-to-leahy-et-al-19sep12-en" TargetMode="External"/><Relationship Id="rId9" Type="http://schemas.openxmlformats.org/officeDocument/2006/relationships/hyperlink" Target="http://blog.icann.org/2012/11/trademark-clearinghouse-updat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1068</Words>
  <Characters>6089</Characters>
  <Application>Microsoft Macintosh Word</Application>
  <DocSecurity>0</DocSecurity>
  <Lines>50</Lines>
  <Paragraphs>14</Paragraphs>
  <ScaleCrop>false</ScaleCrop>
  <Company>Donuts Inc</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Cole</dc:creator>
  <cp:keywords/>
  <dc:description/>
  <cp:lastModifiedBy>Mason Cole</cp:lastModifiedBy>
  <cp:revision>3</cp:revision>
  <dcterms:created xsi:type="dcterms:W3CDTF">2013-02-12T22:32:00Z</dcterms:created>
  <dcterms:modified xsi:type="dcterms:W3CDTF">2013-02-12T22:55:00Z</dcterms:modified>
</cp:coreProperties>
</file>