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5ECEB" w14:textId="77777777" w:rsidR="00987066" w:rsidRPr="005F5353" w:rsidRDefault="00987066" w:rsidP="005F5353">
      <w:pPr>
        <w:jc w:val="center"/>
        <w:rPr>
          <w:rFonts w:ascii="Helvetica" w:hAnsi="Helvetica"/>
          <w:b/>
        </w:rPr>
      </w:pPr>
      <w:r w:rsidRPr="005F5353">
        <w:rPr>
          <w:rFonts w:ascii="Helvetica" w:hAnsi="Helvetica"/>
          <w:b/>
        </w:rPr>
        <w:t>Agenda for TLD Universal Acceptance session at ICANN 49</w:t>
      </w:r>
    </w:p>
    <w:p w14:paraId="422EEB55" w14:textId="77777777" w:rsidR="00987066" w:rsidRPr="00987066" w:rsidRDefault="00987066" w:rsidP="005F5353">
      <w:pPr>
        <w:jc w:val="center"/>
        <w:rPr>
          <w:rFonts w:ascii="Helvetica" w:hAnsi="Helvetica"/>
        </w:rPr>
      </w:pPr>
      <w:r w:rsidRPr="00987066">
        <w:rPr>
          <w:rFonts w:ascii="Helvetica" w:hAnsi="Helvetica"/>
        </w:rPr>
        <w:t>Monday 24 March 2014, 15:15-16:45 (SGT/+0800)</w:t>
      </w:r>
    </w:p>
    <w:p w14:paraId="1D06EE61" w14:textId="77777777" w:rsidR="00987066" w:rsidRPr="00987066" w:rsidRDefault="00987066" w:rsidP="005F5353">
      <w:pPr>
        <w:jc w:val="center"/>
        <w:rPr>
          <w:rFonts w:ascii="Helvetica" w:hAnsi="Helvetica"/>
        </w:rPr>
      </w:pPr>
      <w:r w:rsidRPr="00987066">
        <w:rPr>
          <w:rFonts w:ascii="Helvetica" w:hAnsi="Helvetica"/>
        </w:rPr>
        <w:t>Location: Sophia Room, Raffles City Convention Center, Singapore</w:t>
      </w:r>
    </w:p>
    <w:p w14:paraId="2DF3B231" w14:textId="77777777" w:rsidR="00987066" w:rsidRPr="005F5353" w:rsidRDefault="00987066" w:rsidP="00987066">
      <w:pPr>
        <w:rPr>
          <w:rFonts w:ascii="Helvetica" w:hAnsi="Helvetica"/>
          <w:i/>
        </w:rPr>
      </w:pPr>
    </w:p>
    <w:p w14:paraId="7907C90E" w14:textId="77777777" w:rsidR="00786228" w:rsidRPr="005F5353" w:rsidRDefault="00786228" w:rsidP="00987066">
      <w:pPr>
        <w:rPr>
          <w:rFonts w:ascii="Helvetica" w:hAnsi="Helvetica"/>
          <w:i/>
        </w:rPr>
      </w:pPr>
      <w:r w:rsidRPr="005F5353">
        <w:rPr>
          <w:rFonts w:ascii="Helvetica" w:hAnsi="Helvetica"/>
          <w:i/>
        </w:rPr>
        <w:t>Remote access and overview of session:</w:t>
      </w:r>
    </w:p>
    <w:p w14:paraId="3AB91453" w14:textId="77777777" w:rsidR="00987066" w:rsidRPr="005F5353" w:rsidRDefault="00987066" w:rsidP="00987066">
      <w:pPr>
        <w:rPr>
          <w:rFonts w:ascii="Helvetica" w:hAnsi="Helvetica"/>
          <w:i/>
        </w:rPr>
      </w:pPr>
      <w:r w:rsidRPr="005F5353">
        <w:rPr>
          <w:rFonts w:ascii="Helvetica" w:hAnsi="Helvetica"/>
          <w:i/>
        </w:rPr>
        <w:t>http://singapore49.icann.org/en/schedule/mon-tld-acceptance</w:t>
      </w:r>
    </w:p>
    <w:p w14:paraId="694D7FE7" w14:textId="77777777" w:rsidR="00987066" w:rsidRPr="005F5353" w:rsidRDefault="00987066" w:rsidP="00987066">
      <w:pPr>
        <w:rPr>
          <w:rFonts w:ascii="Helvetica" w:hAnsi="Helvetica"/>
          <w:i/>
        </w:rPr>
      </w:pPr>
    </w:p>
    <w:p w14:paraId="5D30B342" w14:textId="0FD6AFE9" w:rsidR="00987066" w:rsidRPr="00987066" w:rsidRDefault="00987066" w:rsidP="00987066">
      <w:pPr>
        <w:rPr>
          <w:rFonts w:ascii="Helvetica" w:hAnsi="Helvetica"/>
        </w:rPr>
      </w:pPr>
      <w:r w:rsidRPr="005F5353">
        <w:rPr>
          <w:rFonts w:ascii="Helvetica" w:hAnsi="Helvetica"/>
          <w:u w:val="single"/>
        </w:rPr>
        <w:t>Abstract</w:t>
      </w:r>
      <w:r>
        <w:rPr>
          <w:rFonts w:ascii="Helvetica" w:hAnsi="Helvetica"/>
        </w:rPr>
        <w:t xml:space="preserve">: During this session various stakeholders will describe the challenges faced in making full use of new top-level domains, from experiences of those who've started and operated new TLDs, those who produce the software used on the Internet, and experiences of consumers who </w:t>
      </w:r>
      <w:r w:rsidR="005F5353">
        <w:rPr>
          <w:rFonts w:ascii="Helvetica" w:hAnsi="Helvetica"/>
        </w:rPr>
        <w:t xml:space="preserve">expect "better."  The principal </w:t>
      </w:r>
      <w:r>
        <w:rPr>
          <w:rFonts w:ascii="Helvetica" w:hAnsi="Helvetica"/>
        </w:rPr>
        <w:t>goal of the session is to determine the role ICANN will play in attaining a successful state of TLD acceptance.</w:t>
      </w:r>
    </w:p>
    <w:p w14:paraId="3059CBDC" w14:textId="77777777" w:rsidR="00987066" w:rsidRPr="00987066" w:rsidRDefault="00987066" w:rsidP="00987066">
      <w:pPr>
        <w:rPr>
          <w:rFonts w:ascii="Helvetica" w:hAnsi="Helvetica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4068"/>
        <w:gridCol w:w="3690"/>
        <w:gridCol w:w="1674"/>
      </w:tblGrid>
      <w:tr w:rsidR="00987066" w14:paraId="418008F5" w14:textId="77777777" w:rsidTr="00987066">
        <w:tc>
          <w:tcPr>
            <w:tcW w:w="4068" w:type="dxa"/>
          </w:tcPr>
          <w:p w14:paraId="7FEE8B70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Agenda Item</w:t>
            </w:r>
          </w:p>
        </w:tc>
        <w:tc>
          <w:tcPr>
            <w:tcW w:w="3690" w:type="dxa"/>
          </w:tcPr>
          <w:p w14:paraId="7D6843B1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Presenter(s)</w:t>
            </w:r>
          </w:p>
        </w:tc>
        <w:tc>
          <w:tcPr>
            <w:tcW w:w="1674" w:type="dxa"/>
          </w:tcPr>
          <w:p w14:paraId="23F9CED2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Duration</w:t>
            </w:r>
          </w:p>
        </w:tc>
      </w:tr>
      <w:tr w:rsidR="00987066" w14:paraId="115C5F24" w14:textId="77777777" w:rsidTr="00987066">
        <w:tc>
          <w:tcPr>
            <w:tcW w:w="4068" w:type="dxa"/>
          </w:tcPr>
          <w:p w14:paraId="67E48175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Opening Remarks</w:t>
            </w:r>
          </w:p>
        </w:tc>
        <w:tc>
          <w:tcPr>
            <w:tcW w:w="3690" w:type="dxa"/>
          </w:tcPr>
          <w:p w14:paraId="44475945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Cyrus </w:t>
            </w:r>
            <w:proofErr w:type="spellStart"/>
            <w:r>
              <w:rPr>
                <w:rFonts w:ascii="Helvetica" w:hAnsi="Helvetica"/>
              </w:rPr>
              <w:t>Namazi</w:t>
            </w:r>
            <w:proofErr w:type="spellEnd"/>
            <w:r>
              <w:rPr>
                <w:rFonts w:ascii="Helvetica" w:hAnsi="Helvetica"/>
              </w:rPr>
              <w:t>/ICANN</w:t>
            </w:r>
          </w:p>
        </w:tc>
        <w:tc>
          <w:tcPr>
            <w:tcW w:w="1674" w:type="dxa"/>
          </w:tcPr>
          <w:p w14:paraId="003877E6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5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</w:p>
        </w:tc>
      </w:tr>
      <w:tr w:rsidR="00987066" w14:paraId="3641F5C9" w14:textId="77777777" w:rsidTr="00987066">
        <w:tc>
          <w:tcPr>
            <w:tcW w:w="4068" w:type="dxa"/>
          </w:tcPr>
          <w:p w14:paraId="1FBA9E7B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Early Analysis</w:t>
            </w:r>
          </w:p>
        </w:tc>
        <w:tc>
          <w:tcPr>
            <w:tcW w:w="3690" w:type="dxa"/>
          </w:tcPr>
          <w:p w14:paraId="555E9195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Edward Lewis/ICANN</w:t>
            </w:r>
          </w:p>
        </w:tc>
        <w:tc>
          <w:tcPr>
            <w:tcW w:w="1674" w:type="dxa"/>
          </w:tcPr>
          <w:p w14:paraId="2803D653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5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</w:p>
        </w:tc>
      </w:tr>
      <w:tr w:rsidR="00987066" w14:paraId="0187987A" w14:textId="77777777" w:rsidTr="00987066">
        <w:tc>
          <w:tcPr>
            <w:tcW w:w="4068" w:type="dxa"/>
          </w:tcPr>
          <w:p w14:paraId="1B7EEC60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Experience of Russia's Cyrillic TLD</w:t>
            </w:r>
          </w:p>
        </w:tc>
        <w:tc>
          <w:tcPr>
            <w:tcW w:w="3690" w:type="dxa"/>
          </w:tcPr>
          <w:p w14:paraId="6F3ED5DF" w14:textId="23AB298A" w:rsidR="00987066" w:rsidRPr="00710341" w:rsidRDefault="00987066" w:rsidP="00987066">
            <w:pPr>
              <w:ind w:right="-162"/>
              <w:rPr>
                <w:rFonts w:ascii="Helvetica" w:hAnsi="Helvetica"/>
              </w:rPr>
            </w:pPr>
            <w:r w:rsidRPr="00710341">
              <w:rPr>
                <w:rFonts w:ascii="Helvetica" w:hAnsi="Helvetica"/>
              </w:rPr>
              <w:t xml:space="preserve">Andrei </w:t>
            </w:r>
            <w:proofErr w:type="spellStart"/>
            <w:r w:rsidRPr="00710341">
              <w:rPr>
                <w:rFonts w:ascii="Helvetica" w:hAnsi="Helvetica"/>
              </w:rPr>
              <w:t>Kolenikov</w:t>
            </w:r>
            <w:proofErr w:type="spellEnd"/>
            <w:r w:rsidR="00710341" w:rsidRPr="00710341">
              <w:rPr>
                <w:rFonts w:ascii="Helvetica" w:hAnsi="Helvetica"/>
              </w:rPr>
              <w:t>/Coordination Center for .RU/</w:t>
            </w:r>
            <w:proofErr w:type="gramStart"/>
            <w:r w:rsidR="00710341" w:rsidRPr="00710341">
              <w:rPr>
                <w:rFonts w:ascii="Helvetica" w:eastAsia="Times New Roman" w:hAnsi="Helvetica" w:cs="Times New Roman"/>
              </w:rPr>
              <w:t>.РФ</w:t>
            </w:r>
            <w:proofErr w:type="gramEnd"/>
          </w:p>
        </w:tc>
        <w:tc>
          <w:tcPr>
            <w:tcW w:w="1674" w:type="dxa"/>
          </w:tcPr>
          <w:p w14:paraId="589FB24A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10mins</w:t>
            </w:r>
          </w:p>
        </w:tc>
      </w:tr>
      <w:tr w:rsidR="00987066" w14:paraId="16570683" w14:textId="77777777" w:rsidTr="00987066">
        <w:tc>
          <w:tcPr>
            <w:tcW w:w="4068" w:type="dxa"/>
          </w:tcPr>
          <w:p w14:paraId="49F140C2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Panel Session</w:t>
            </w:r>
          </w:p>
        </w:tc>
        <w:tc>
          <w:tcPr>
            <w:tcW w:w="3690" w:type="dxa"/>
          </w:tcPr>
          <w:p w14:paraId="474E3469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Gerv</w:t>
            </w:r>
            <w:proofErr w:type="spellEnd"/>
            <w:r>
              <w:rPr>
                <w:rFonts w:ascii="Helvetica" w:hAnsi="Helvetica"/>
              </w:rPr>
              <w:t xml:space="preserve"> Markham/Mozilla</w:t>
            </w:r>
          </w:p>
          <w:p w14:paraId="1E3D6E99" w14:textId="77777777" w:rsidR="00987066" w:rsidRPr="00377CF2" w:rsidRDefault="00987066" w:rsidP="00987066">
            <w:pPr>
              <w:ind w:right="-162"/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Jordyn</w:t>
            </w:r>
            <w:proofErr w:type="spellEnd"/>
            <w:r>
              <w:rPr>
                <w:rFonts w:ascii="Helvetica" w:hAnsi="Helvetica"/>
              </w:rPr>
              <w:t xml:space="preserve"> Buchan</w:t>
            </w:r>
            <w:r w:rsidRPr="00377CF2">
              <w:rPr>
                <w:rFonts w:ascii="Helvetica" w:hAnsi="Helvetica"/>
              </w:rPr>
              <w:t>an/Google</w:t>
            </w:r>
          </w:p>
          <w:p w14:paraId="35C89DE1" w14:textId="0D51FB67" w:rsidR="00987066" w:rsidRPr="00377CF2" w:rsidRDefault="00987066" w:rsidP="00987066">
            <w:pPr>
              <w:ind w:right="-162"/>
              <w:rPr>
                <w:rFonts w:ascii="Helvetica" w:hAnsi="Helvetica"/>
              </w:rPr>
            </w:pPr>
            <w:proofErr w:type="spellStart"/>
            <w:r w:rsidRPr="00377CF2">
              <w:rPr>
                <w:rFonts w:ascii="Helvetica" w:hAnsi="Helvetica"/>
              </w:rPr>
              <w:t>Rinalia</w:t>
            </w:r>
            <w:proofErr w:type="spellEnd"/>
            <w:r w:rsidRPr="00377CF2">
              <w:rPr>
                <w:rFonts w:ascii="Helvetica" w:hAnsi="Helvetica"/>
              </w:rPr>
              <w:t xml:space="preserve"> Abdul Rahim/</w:t>
            </w:r>
            <w:r w:rsidR="00377CF2">
              <w:rPr>
                <w:rFonts w:ascii="Helvetica" w:eastAsia="Times New Roman" w:hAnsi="Helvetica" w:cs="Times New Roman"/>
              </w:rPr>
              <w:t>A</w:t>
            </w:r>
            <w:r w:rsidR="005F5353">
              <w:rPr>
                <w:rFonts w:ascii="Helvetica" w:eastAsia="Times New Roman" w:hAnsi="Helvetica" w:cs="Times New Roman"/>
              </w:rPr>
              <w:t xml:space="preserve">t </w:t>
            </w:r>
            <w:r w:rsidR="00377CF2">
              <w:rPr>
                <w:rFonts w:ascii="Helvetica" w:eastAsia="Times New Roman" w:hAnsi="Helvetica" w:cs="Times New Roman"/>
              </w:rPr>
              <w:t>L</w:t>
            </w:r>
            <w:r w:rsidR="005F5353">
              <w:rPr>
                <w:rFonts w:ascii="Helvetica" w:eastAsia="Times New Roman" w:hAnsi="Helvetica" w:cs="Times New Roman"/>
              </w:rPr>
              <w:t>arge</w:t>
            </w:r>
            <w:r w:rsidR="00377CF2">
              <w:rPr>
                <w:rFonts w:ascii="Helvetica" w:eastAsia="Times New Roman" w:hAnsi="Helvetica" w:cs="Times New Roman"/>
              </w:rPr>
              <w:t xml:space="preserve"> IDN WG</w:t>
            </w:r>
          </w:p>
          <w:p w14:paraId="6C5D805A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r w:rsidRPr="00377CF2">
              <w:rPr>
                <w:rFonts w:ascii="Helvetica" w:hAnsi="Helvetica"/>
              </w:rPr>
              <w:t>Ram Mohan/</w:t>
            </w:r>
            <w:proofErr w:type="spellStart"/>
            <w:r w:rsidRPr="00377CF2">
              <w:rPr>
                <w:rFonts w:ascii="Helvetica" w:hAnsi="Helvetica"/>
              </w:rPr>
              <w:t>Af</w:t>
            </w:r>
            <w:r>
              <w:rPr>
                <w:rFonts w:ascii="Helvetica" w:hAnsi="Helvetica"/>
              </w:rPr>
              <w:t>ilias</w:t>
            </w:r>
            <w:proofErr w:type="spellEnd"/>
          </w:p>
          <w:p w14:paraId="5A11DEB3" w14:textId="0B04F4AF" w:rsidR="00987066" w:rsidRDefault="00F417E3" w:rsidP="00F417E3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Michael Thatcher</w:t>
            </w:r>
            <w:r w:rsidR="00987066">
              <w:rPr>
                <w:rFonts w:ascii="Helvetica" w:hAnsi="Helvetica"/>
              </w:rPr>
              <w:t>/</w:t>
            </w:r>
            <w:r>
              <w:rPr>
                <w:rFonts w:ascii="Helvetica" w:hAnsi="Helvetica"/>
              </w:rPr>
              <w:t>Microsoft</w:t>
            </w:r>
          </w:p>
        </w:tc>
        <w:tc>
          <w:tcPr>
            <w:tcW w:w="1674" w:type="dxa"/>
          </w:tcPr>
          <w:p w14:paraId="7A996957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5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  <w:r>
              <w:rPr>
                <w:rFonts w:ascii="Helvetica" w:hAnsi="Helvetica"/>
              </w:rPr>
              <w:t xml:space="preserve"> each;</w:t>
            </w:r>
          </w:p>
          <w:p w14:paraId="6A6B3985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25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  <w:r>
              <w:rPr>
                <w:rFonts w:ascii="Helvetica" w:hAnsi="Helvetica"/>
              </w:rPr>
              <w:t xml:space="preserve"> total</w:t>
            </w:r>
          </w:p>
          <w:p w14:paraId="2E8A9A87" w14:textId="77777777" w:rsidR="00987066" w:rsidRDefault="00987066" w:rsidP="00987066">
            <w:pPr>
              <w:rPr>
                <w:rFonts w:ascii="Helvetica" w:hAnsi="Helvetica"/>
              </w:rPr>
            </w:pPr>
          </w:p>
        </w:tc>
      </w:tr>
      <w:tr w:rsidR="00987066" w14:paraId="3D41A65C" w14:textId="77777777" w:rsidTr="00987066">
        <w:tc>
          <w:tcPr>
            <w:tcW w:w="4068" w:type="dxa"/>
          </w:tcPr>
          <w:p w14:paraId="23A17E6C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Moderated Session</w:t>
            </w:r>
          </w:p>
        </w:tc>
        <w:tc>
          <w:tcPr>
            <w:tcW w:w="3690" w:type="dxa"/>
          </w:tcPr>
          <w:p w14:paraId="057BBCDF" w14:textId="26048E78" w:rsidR="00987066" w:rsidRDefault="00987066" w:rsidP="00987066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Brad White/ICANN </w:t>
            </w:r>
            <w:r w:rsidR="005F5353">
              <w:rPr>
                <w:rFonts w:ascii="Helvetica" w:hAnsi="Helvetica"/>
              </w:rPr>
              <w:t>(</w:t>
            </w:r>
            <w:bookmarkStart w:id="0" w:name="_GoBack"/>
            <w:bookmarkEnd w:id="0"/>
            <w:r>
              <w:rPr>
                <w:rFonts w:ascii="Helvetica" w:hAnsi="Helvetica"/>
              </w:rPr>
              <w:t>moderat</w:t>
            </w:r>
            <w:r w:rsidR="005F5353">
              <w:rPr>
                <w:rFonts w:ascii="Helvetica" w:hAnsi="Helvetica"/>
              </w:rPr>
              <w:t>or)</w:t>
            </w:r>
          </w:p>
        </w:tc>
        <w:tc>
          <w:tcPr>
            <w:tcW w:w="1674" w:type="dxa"/>
          </w:tcPr>
          <w:p w14:paraId="77095CFF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20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</w:p>
        </w:tc>
      </w:tr>
      <w:tr w:rsidR="00987066" w14:paraId="37EEEBF9" w14:textId="77777777" w:rsidTr="00987066">
        <w:tc>
          <w:tcPr>
            <w:tcW w:w="4068" w:type="dxa"/>
          </w:tcPr>
          <w:p w14:paraId="1A97FDDA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Audience Q&amp;A</w:t>
            </w:r>
          </w:p>
        </w:tc>
        <w:tc>
          <w:tcPr>
            <w:tcW w:w="3690" w:type="dxa"/>
          </w:tcPr>
          <w:p w14:paraId="53F25349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Open Microphone</w:t>
            </w:r>
          </w:p>
        </w:tc>
        <w:tc>
          <w:tcPr>
            <w:tcW w:w="1674" w:type="dxa"/>
          </w:tcPr>
          <w:p w14:paraId="1271EF1D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20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</w:p>
        </w:tc>
      </w:tr>
      <w:tr w:rsidR="00987066" w14:paraId="0AA41FFD" w14:textId="77777777" w:rsidTr="00987066">
        <w:tc>
          <w:tcPr>
            <w:tcW w:w="4068" w:type="dxa"/>
          </w:tcPr>
          <w:p w14:paraId="63DF9163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Closing Remarks</w:t>
            </w:r>
          </w:p>
        </w:tc>
        <w:tc>
          <w:tcPr>
            <w:tcW w:w="3690" w:type="dxa"/>
          </w:tcPr>
          <w:p w14:paraId="12D96C51" w14:textId="77777777" w:rsidR="00987066" w:rsidRDefault="00987066" w:rsidP="00987066">
            <w:pPr>
              <w:ind w:right="-16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Cyrus </w:t>
            </w:r>
            <w:proofErr w:type="spellStart"/>
            <w:r>
              <w:rPr>
                <w:rFonts w:ascii="Helvetica" w:hAnsi="Helvetica"/>
              </w:rPr>
              <w:t>Namazi</w:t>
            </w:r>
            <w:proofErr w:type="spellEnd"/>
            <w:r>
              <w:rPr>
                <w:rFonts w:ascii="Helvetica" w:hAnsi="Helvetica"/>
              </w:rPr>
              <w:t>/ICANN</w:t>
            </w:r>
          </w:p>
        </w:tc>
        <w:tc>
          <w:tcPr>
            <w:tcW w:w="1674" w:type="dxa"/>
          </w:tcPr>
          <w:p w14:paraId="3A1D21BD" w14:textId="77777777" w:rsidR="00987066" w:rsidRDefault="00987066" w:rsidP="0098706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5 </w:t>
            </w:r>
            <w:proofErr w:type="spellStart"/>
            <w:r>
              <w:rPr>
                <w:rFonts w:ascii="Helvetica" w:hAnsi="Helvetica"/>
              </w:rPr>
              <w:t>mins</w:t>
            </w:r>
            <w:proofErr w:type="spellEnd"/>
          </w:p>
        </w:tc>
      </w:tr>
    </w:tbl>
    <w:p w14:paraId="556BD598" w14:textId="77777777" w:rsidR="00987066" w:rsidRDefault="00987066" w:rsidP="00987066">
      <w:pPr>
        <w:rPr>
          <w:rFonts w:ascii="Helvetica" w:hAnsi="Helvetica"/>
        </w:rPr>
      </w:pPr>
    </w:p>
    <w:p w14:paraId="24EE1A43" w14:textId="77777777" w:rsidR="00F97FB5" w:rsidRDefault="00F97FB5"/>
    <w:sectPr w:rsidR="00F97FB5" w:rsidSect="00F97F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66"/>
    <w:rsid w:val="00150BB1"/>
    <w:rsid w:val="00377CF2"/>
    <w:rsid w:val="005F5353"/>
    <w:rsid w:val="00710341"/>
    <w:rsid w:val="00786228"/>
    <w:rsid w:val="00987066"/>
    <w:rsid w:val="00F417E3"/>
    <w:rsid w:val="00F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41D8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Macintosh Word</Application>
  <DocSecurity>4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Mary Wong</cp:lastModifiedBy>
  <cp:revision>2</cp:revision>
  <dcterms:created xsi:type="dcterms:W3CDTF">2014-03-17T16:19:00Z</dcterms:created>
  <dcterms:modified xsi:type="dcterms:W3CDTF">2014-03-17T16:19:00Z</dcterms:modified>
</cp:coreProperties>
</file>