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722D0" w14:textId="139BB660" w:rsidR="007A7DE0" w:rsidRPr="007A7DE0" w:rsidRDefault="007A7DE0" w:rsidP="007A7DE0">
      <w:pPr>
        <w:spacing w:after="0"/>
        <w:jc w:val="center"/>
        <w:rPr>
          <w:rFonts w:ascii="Calibri" w:hAnsi="Calibri" w:cs="Calibri"/>
          <w:b/>
          <w:bCs/>
          <w:caps/>
          <w:color w:val="1F4E79" w:themeColor="accent1" w:themeShade="80"/>
          <w:sz w:val="32"/>
          <w:szCs w:val="32"/>
        </w:rPr>
      </w:pPr>
      <w:r w:rsidRPr="007A7DE0">
        <w:rPr>
          <w:rFonts w:ascii="Calibri" w:hAnsi="Calibri" w:cs="Calibri"/>
          <w:b/>
          <w:bCs/>
          <w:caps/>
          <w:noProof/>
          <w:color w:val="1F4E79" w:themeColor="accent1" w:themeShade="80"/>
          <w:sz w:val="32"/>
          <w:szCs w:val="32"/>
        </w:rPr>
        <w:drawing>
          <wp:anchor distT="0" distB="0" distL="114300" distR="114300" simplePos="0" relativeHeight="251658240" behindDoc="0" locked="0" layoutInCell="1" allowOverlap="1" wp14:anchorId="6FC9D55C" wp14:editId="7D6801BA">
            <wp:simplePos x="0" y="0"/>
            <wp:positionH relativeFrom="margin">
              <wp:align>left</wp:align>
            </wp:positionH>
            <wp:positionV relativeFrom="paragraph">
              <wp:posOffset>-541020</wp:posOffset>
            </wp:positionV>
            <wp:extent cx="1153160" cy="923925"/>
            <wp:effectExtent l="0" t="0" r="889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ANN.png"/>
                    <pic:cNvPicPr/>
                  </pic:nvPicPr>
                  <pic:blipFill>
                    <a:blip r:embed="rId5">
                      <a:extLst>
                        <a:ext uri="{28A0092B-C50C-407E-A947-70E740481C1C}">
                          <a14:useLocalDpi xmlns:a14="http://schemas.microsoft.com/office/drawing/2010/main" val="0"/>
                        </a:ext>
                      </a:extLst>
                    </a:blip>
                    <a:stretch>
                      <a:fillRect/>
                    </a:stretch>
                  </pic:blipFill>
                  <pic:spPr>
                    <a:xfrm>
                      <a:off x="0" y="0"/>
                      <a:ext cx="1153160" cy="923925"/>
                    </a:xfrm>
                    <a:prstGeom prst="rect">
                      <a:avLst/>
                    </a:prstGeom>
                  </pic:spPr>
                </pic:pic>
              </a:graphicData>
            </a:graphic>
            <wp14:sizeRelH relativeFrom="margin">
              <wp14:pctWidth>0</wp14:pctWidth>
            </wp14:sizeRelH>
            <wp14:sizeRelV relativeFrom="margin">
              <wp14:pctHeight>0</wp14:pctHeight>
            </wp14:sizeRelV>
          </wp:anchor>
        </w:drawing>
      </w:r>
      <w:r w:rsidRPr="007A7DE0">
        <w:rPr>
          <w:rFonts w:ascii="Calibri" w:hAnsi="Calibri" w:cs="Calibri"/>
          <w:b/>
          <w:bCs/>
          <w:caps/>
          <w:color w:val="1F4E79" w:themeColor="accent1" w:themeShade="80"/>
          <w:sz w:val="32"/>
          <w:szCs w:val="32"/>
        </w:rPr>
        <w:t>GNSO Review</w:t>
      </w:r>
    </w:p>
    <w:p w14:paraId="352F81A5" w14:textId="77777777" w:rsidR="007A7DE0" w:rsidRDefault="007A7DE0" w:rsidP="007A7DE0">
      <w:pPr>
        <w:spacing w:after="0"/>
        <w:rPr>
          <w:rFonts w:ascii="Calibri" w:hAnsi="Calibri" w:cs="Calibri"/>
          <w:b/>
          <w:bCs/>
        </w:rPr>
      </w:pPr>
    </w:p>
    <w:p w14:paraId="1FB174F5" w14:textId="77777777" w:rsidR="007A7DE0" w:rsidRPr="007C04A0" w:rsidRDefault="007A7DE0" w:rsidP="007A7DE0">
      <w:pPr>
        <w:spacing w:after="0"/>
        <w:rPr>
          <w:rFonts w:ascii="Calibri" w:hAnsi="Calibri" w:cs="Calibri"/>
          <w:b/>
          <w:bCs/>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2E74B5" w:themeFill="accent1" w:themeFillShade="BF"/>
        <w:tblLook w:val="04A0" w:firstRow="1" w:lastRow="0" w:firstColumn="1" w:lastColumn="0" w:noHBand="0" w:noVBand="1"/>
      </w:tblPr>
      <w:tblGrid>
        <w:gridCol w:w="9350"/>
      </w:tblGrid>
      <w:tr w:rsidR="007A7DE0" w14:paraId="1E0187C8" w14:textId="77777777" w:rsidTr="001A2C24">
        <w:tc>
          <w:tcPr>
            <w:tcW w:w="9576" w:type="dxa"/>
            <w:shd w:val="clear" w:color="auto" w:fill="2E74B5" w:themeFill="accent1" w:themeFillShade="BF"/>
            <w:vAlign w:val="center"/>
          </w:tcPr>
          <w:p w14:paraId="7A8D68FC" w14:textId="43CC6717" w:rsidR="007A7DE0" w:rsidRDefault="007A7DE0" w:rsidP="001A2C24">
            <w:pPr>
              <w:spacing w:before="80" w:after="80" w:line="276" w:lineRule="auto"/>
              <w:jc w:val="center"/>
              <w:rPr>
                <w:rFonts w:ascii="Calibri" w:hAnsi="Calibri" w:cs="Calibri"/>
                <w:b/>
                <w:bCs/>
                <w:caps/>
                <w:color w:val="404040" w:themeColor="text1" w:themeTint="BF"/>
              </w:rPr>
            </w:pPr>
            <w:r>
              <w:rPr>
                <w:rFonts w:ascii="Calibri" w:hAnsi="Calibri" w:cs="Calibri"/>
                <w:b/>
                <w:bCs/>
                <w:caps/>
                <w:color w:val="FFFFFF" w:themeColor="background1"/>
              </w:rPr>
              <w:t>Update</w:t>
            </w:r>
          </w:p>
        </w:tc>
      </w:tr>
    </w:tbl>
    <w:p w14:paraId="3BC2BD6D" w14:textId="77777777" w:rsidR="007A7DE0" w:rsidRPr="007C04A0" w:rsidRDefault="007A7DE0" w:rsidP="007A7DE0">
      <w:pPr>
        <w:spacing w:after="0" w:line="240" w:lineRule="auto"/>
        <w:rPr>
          <w:rFonts w:ascii="Calibri" w:hAnsi="Calibri" w:cs="Calibri"/>
        </w:rPr>
      </w:pPr>
    </w:p>
    <w:p w14:paraId="20BB540B" w14:textId="77777777" w:rsidR="00FC462F" w:rsidRDefault="00FC462F" w:rsidP="00FC462F">
      <w:pPr>
        <w:pStyle w:val="ListParagraph"/>
        <w:numPr>
          <w:ilvl w:val="0"/>
          <w:numId w:val="11"/>
        </w:numPr>
        <w:spacing w:after="0" w:line="240" w:lineRule="auto"/>
        <w:contextualSpacing w:val="0"/>
      </w:pPr>
      <w:r w:rsidRPr="00FC462F">
        <w:t xml:space="preserve">The SIC is planning a 360 </w:t>
      </w:r>
      <w:r w:rsidRPr="00FC462F">
        <w:t>Assessment</w:t>
      </w:r>
      <w:r w:rsidRPr="00FC462F">
        <w:t xml:space="preserve"> </w:t>
      </w:r>
      <w:r w:rsidRPr="00FC462F">
        <w:t xml:space="preserve">to gather data for the independent examiner to use in the GNSO Review process.  </w:t>
      </w:r>
      <w:r w:rsidRPr="00FC462F">
        <w:t xml:space="preserve">As one of the components of the overall GNSO Review, the 360 Assessment is envisioned as an online tool that will collect feedback from the GNSO community, other ICANN structures and community members, the Board and staff.  The 360 Assessment questions will be developed based on criteria that will be used for the overall GNSO Review.  </w:t>
      </w:r>
    </w:p>
    <w:p w14:paraId="3FB21974" w14:textId="77777777" w:rsidR="00FC462F" w:rsidRDefault="00FC462F" w:rsidP="00FC462F">
      <w:pPr>
        <w:pStyle w:val="ListParagraph"/>
        <w:spacing w:after="0" w:line="240" w:lineRule="auto"/>
        <w:contextualSpacing w:val="0"/>
      </w:pPr>
    </w:p>
    <w:p w14:paraId="30BFBDEB" w14:textId="4D93F1DA" w:rsidR="00FC462F" w:rsidRDefault="00FC462F" w:rsidP="00FC462F">
      <w:pPr>
        <w:pStyle w:val="ListParagraph"/>
        <w:numPr>
          <w:ilvl w:val="0"/>
          <w:numId w:val="11"/>
        </w:numPr>
        <w:spacing w:after="0" w:line="240" w:lineRule="auto"/>
        <w:contextualSpacing w:val="0"/>
      </w:pPr>
      <w:r>
        <w:t>Working Committee formed to provide input and serve as a liaison between the GNSO/GNSO Council and the SIC for the review of the GNSO.</w:t>
      </w:r>
      <w:r>
        <w:br/>
      </w:r>
    </w:p>
    <w:p w14:paraId="37B186CA" w14:textId="3A4BAE62" w:rsidR="003214FD" w:rsidRDefault="00FC462F" w:rsidP="00FC462F">
      <w:pPr>
        <w:pStyle w:val="ListParagraph"/>
        <w:numPr>
          <w:ilvl w:val="0"/>
          <w:numId w:val="11"/>
        </w:numPr>
        <w:spacing w:after="0" w:line="240" w:lineRule="auto"/>
        <w:contextualSpacing w:val="0"/>
      </w:pPr>
      <w:r w:rsidRPr="00FC462F">
        <w:t>The proposed scope for the GNSO Review Worki</w:t>
      </w:r>
      <w:r>
        <w:t xml:space="preserve">ng Committee includes it providing </w:t>
      </w:r>
      <w:r w:rsidRPr="00FC462F">
        <w:t xml:space="preserve">feedback on review criteria and the 360 Assessment.  </w:t>
      </w:r>
      <w:r>
        <w:t>Accordingly, w</w:t>
      </w:r>
      <w:r w:rsidR="003214FD">
        <w:t xml:space="preserve">e will have the opportunity to contribute to how that 360 </w:t>
      </w:r>
      <w:r>
        <w:t>Assessment</w:t>
      </w:r>
      <w:r w:rsidR="003214FD">
        <w:t xml:space="preserve"> is framed</w:t>
      </w:r>
      <w:r w:rsidR="007A7DE0">
        <w:t xml:space="preserve"> and structured</w:t>
      </w:r>
      <w:r w:rsidR="003214FD">
        <w:t>, but the SIC will make final decisions on the scope and structure of the 360 review.</w:t>
      </w:r>
      <w:r w:rsidR="007A7DE0">
        <w:br/>
      </w:r>
    </w:p>
    <w:p w14:paraId="308CBC5D" w14:textId="54A17FF5" w:rsidR="003214FD" w:rsidRDefault="003214FD" w:rsidP="007A7DE0">
      <w:pPr>
        <w:pStyle w:val="ListParagraph"/>
        <w:numPr>
          <w:ilvl w:val="0"/>
          <w:numId w:val="5"/>
        </w:numPr>
      </w:pPr>
      <w:r>
        <w:t>If we think it would be in our best interest to conduct an additional</w:t>
      </w:r>
      <w:r w:rsidR="00FC462F">
        <w:t xml:space="preserve"> or</w:t>
      </w:r>
      <w:r>
        <w:t xml:space="preserve"> </w:t>
      </w:r>
      <w:r w:rsidR="001F67B8">
        <w:t xml:space="preserve">supplemental </w:t>
      </w:r>
      <w:r>
        <w:t xml:space="preserve">self-review to address topics not included in the 360 </w:t>
      </w:r>
      <w:r w:rsidR="00FC462F">
        <w:t>Assessment</w:t>
      </w:r>
      <w:r>
        <w:t>, we will propose a framework to do so.</w:t>
      </w:r>
      <w:r w:rsidR="007A7DE0">
        <w:br/>
      </w:r>
    </w:p>
    <w:p w14:paraId="2223127B" w14:textId="307AD373" w:rsidR="003214FD" w:rsidRDefault="003214FD" w:rsidP="007A7DE0">
      <w:pPr>
        <w:pStyle w:val="ListParagraph"/>
        <w:numPr>
          <w:ilvl w:val="0"/>
          <w:numId w:val="5"/>
        </w:numPr>
      </w:pPr>
      <w:r>
        <w:t xml:space="preserve">If we think the 360 </w:t>
      </w:r>
      <w:r w:rsidR="00FC462F">
        <w:t>Assessment</w:t>
      </w:r>
      <w:r>
        <w:t xml:space="preserve"> sufficiently covers the </w:t>
      </w:r>
      <w:r w:rsidR="0018366F">
        <w:t>areas of interest</w:t>
      </w:r>
      <w:r>
        <w:t>, we will review the data gathered as part of an independent</w:t>
      </w:r>
      <w:r w:rsidR="00FC462F">
        <w:t xml:space="preserve"> self-r</w:t>
      </w:r>
      <w:r>
        <w:t>eview.</w:t>
      </w:r>
      <w:r w:rsidR="007A7DE0">
        <w:br/>
      </w:r>
    </w:p>
    <w:p w14:paraId="492C6DF8" w14:textId="5B6C0261" w:rsidR="007A7DE0" w:rsidRPr="00FC462F" w:rsidRDefault="003214FD" w:rsidP="00CA3492">
      <w:pPr>
        <w:pStyle w:val="ListParagraph"/>
        <w:numPr>
          <w:ilvl w:val="1"/>
          <w:numId w:val="5"/>
        </w:numPr>
        <w:spacing w:after="0"/>
        <w:rPr>
          <w:rFonts w:ascii="Calibri" w:hAnsi="Calibri" w:cs="Calibri"/>
          <w:b/>
          <w:bCs/>
        </w:rPr>
      </w:pPr>
      <w:r>
        <w:t xml:space="preserve">The key </w:t>
      </w:r>
      <w:r w:rsidR="007A7DE0">
        <w:t>aspect of the Self-R</w:t>
      </w:r>
      <w:r w:rsidR="0018366F">
        <w:t xml:space="preserve">eview </w:t>
      </w:r>
      <w:r>
        <w:t>is that we</w:t>
      </w:r>
      <w:r w:rsidR="0018366F">
        <w:t xml:space="preserve"> (as the GNSO)</w:t>
      </w:r>
      <w:r>
        <w:t xml:space="preserve"> self-determine the scope of the review and analyze data through our lens for comparison with the independent </w:t>
      </w:r>
      <w:r w:rsidR="00FC462F">
        <w:t>examiner</w:t>
      </w:r>
      <w:r>
        <w:t xml:space="preserve"> review</w:t>
      </w:r>
      <w:r w:rsidR="0018366F">
        <w:t xml:space="preserve"> and conclusions</w:t>
      </w:r>
      <w:r>
        <w:t>.  This will allow us to compare and contrast results in a meaningful and efficient manner.</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2E74B5" w:themeFill="accent1" w:themeFillShade="BF"/>
        <w:tblLook w:val="04A0" w:firstRow="1" w:lastRow="0" w:firstColumn="1" w:lastColumn="0" w:noHBand="0" w:noVBand="1"/>
      </w:tblPr>
      <w:tblGrid>
        <w:gridCol w:w="9350"/>
      </w:tblGrid>
      <w:tr w:rsidR="007A7DE0" w14:paraId="7C9B4952" w14:textId="77777777" w:rsidTr="001A2C24">
        <w:tc>
          <w:tcPr>
            <w:tcW w:w="9576" w:type="dxa"/>
            <w:shd w:val="clear" w:color="auto" w:fill="2E74B5" w:themeFill="accent1" w:themeFillShade="BF"/>
            <w:vAlign w:val="center"/>
          </w:tcPr>
          <w:p w14:paraId="48839FEE" w14:textId="75AABB0E" w:rsidR="007A7DE0" w:rsidRDefault="007A7DE0" w:rsidP="001A2C24">
            <w:pPr>
              <w:spacing w:before="80" w:after="80" w:line="276" w:lineRule="auto"/>
              <w:jc w:val="center"/>
              <w:rPr>
                <w:rFonts w:ascii="Calibri" w:hAnsi="Calibri" w:cs="Calibri"/>
                <w:b/>
                <w:bCs/>
                <w:caps/>
                <w:color w:val="404040" w:themeColor="text1" w:themeTint="BF"/>
              </w:rPr>
            </w:pPr>
            <w:r>
              <w:rPr>
                <w:rFonts w:ascii="Calibri" w:hAnsi="Calibri" w:cs="Calibri"/>
                <w:b/>
                <w:bCs/>
                <w:caps/>
                <w:color w:val="FFFFFF" w:themeColor="background1"/>
              </w:rPr>
              <w:t>Questions to Council</w:t>
            </w:r>
          </w:p>
        </w:tc>
      </w:tr>
    </w:tbl>
    <w:p w14:paraId="6C58C326" w14:textId="77777777" w:rsidR="007A7DE0" w:rsidRPr="007C04A0" w:rsidRDefault="007A7DE0" w:rsidP="007A7DE0">
      <w:pPr>
        <w:spacing w:after="0" w:line="240" w:lineRule="auto"/>
        <w:rPr>
          <w:rFonts w:ascii="Calibri" w:hAnsi="Calibri" w:cs="Calibri"/>
        </w:rPr>
      </w:pPr>
    </w:p>
    <w:p w14:paraId="321C7F36" w14:textId="2673880F" w:rsidR="003214FD" w:rsidRDefault="003214FD" w:rsidP="007A7DE0">
      <w:pPr>
        <w:pStyle w:val="ListParagraph"/>
        <w:numPr>
          <w:ilvl w:val="0"/>
          <w:numId w:val="9"/>
        </w:numPr>
      </w:pPr>
      <w:r>
        <w:t>Do you agree with this approach?</w:t>
      </w:r>
      <w:r w:rsidR="0018366F">
        <w:br/>
      </w:r>
    </w:p>
    <w:p w14:paraId="0A4900D4" w14:textId="74302C33" w:rsidR="003214FD" w:rsidRDefault="003214FD" w:rsidP="007A7DE0">
      <w:pPr>
        <w:pStyle w:val="ListParagraph"/>
        <w:numPr>
          <w:ilvl w:val="0"/>
          <w:numId w:val="9"/>
        </w:numPr>
      </w:pPr>
      <w:r>
        <w:t>Should we extend invitations to the broader community to participate or observe this working committee?</w:t>
      </w:r>
      <w:r w:rsidR="0018366F">
        <w:br/>
      </w:r>
    </w:p>
    <w:p w14:paraId="2DB18010" w14:textId="77777777" w:rsidR="003214FD" w:rsidRDefault="003214FD" w:rsidP="007A7DE0">
      <w:pPr>
        <w:pStyle w:val="ListParagraph"/>
        <w:numPr>
          <w:ilvl w:val="1"/>
          <w:numId w:val="9"/>
        </w:numPr>
      </w:pPr>
      <w:r>
        <w:t>Specifically the BRG has requested the opportunity to participate.</w:t>
      </w:r>
    </w:p>
    <w:p w14:paraId="0D8A9E63" w14:textId="2C444BAB" w:rsidR="003214FD" w:rsidRDefault="003214FD" w:rsidP="007A7DE0">
      <w:pPr>
        <w:pStyle w:val="ListParagraph"/>
        <w:numPr>
          <w:ilvl w:val="1"/>
          <w:numId w:val="9"/>
        </w:numPr>
      </w:pPr>
      <w:r>
        <w:t>Should each stak</w:t>
      </w:r>
      <w:r w:rsidR="001F67B8">
        <w:t xml:space="preserve">eholder group have at least one (but limit </w:t>
      </w:r>
      <w:r w:rsidR="00FC462F">
        <w:t xml:space="preserve">to 3 </w:t>
      </w:r>
      <w:r w:rsidR="001F67B8">
        <w:t>so we don’t get too large of a group)?</w:t>
      </w:r>
    </w:p>
    <w:p w14:paraId="19EAF4C3" w14:textId="711984C4" w:rsidR="003214FD" w:rsidRDefault="003214FD" w:rsidP="007A7DE0">
      <w:pPr>
        <w:pStyle w:val="ListParagraph"/>
        <w:numPr>
          <w:ilvl w:val="1"/>
          <w:numId w:val="9"/>
        </w:numPr>
      </w:pPr>
      <w:r>
        <w:t>We need to keep the size of the group manageable, but ensure everyone has the opportunity to be heard</w:t>
      </w:r>
      <w:r w:rsidR="0018366F">
        <w:t xml:space="preserve"> and provide for full transparency</w:t>
      </w:r>
      <w:r>
        <w:t>.</w:t>
      </w:r>
      <w:r w:rsidR="0018366F">
        <w:br/>
      </w:r>
    </w:p>
    <w:p w14:paraId="11E757D6" w14:textId="77777777" w:rsidR="003214FD" w:rsidRDefault="003214FD" w:rsidP="007A7DE0">
      <w:pPr>
        <w:pStyle w:val="ListParagraph"/>
        <w:numPr>
          <w:ilvl w:val="0"/>
          <w:numId w:val="9"/>
        </w:numPr>
      </w:pPr>
      <w:r>
        <w:t>Other comments?</w:t>
      </w:r>
    </w:p>
    <w:p w14:paraId="070CC960" w14:textId="77777777" w:rsidR="0018366F" w:rsidRPr="007C04A0" w:rsidRDefault="0018366F" w:rsidP="007A7DE0">
      <w:pPr>
        <w:spacing w:after="0"/>
        <w:rPr>
          <w:rFonts w:ascii="Calibri" w:hAnsi="Calibri" w:cs="Calibri"/>
          <w:b/>
          <w:bCs/>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2E74B5" w:themeFill="accent1" w:themeFillShade="BF"/>
        <w:tblLook w:val="04A0" w:firstRow="1" w:lastRow="0" w:firstColumn="1" w:lastColumn="0" w:noHBand="0" w:noVBand="1"/>
      </w:tblPr>
      <w:tblGrid>
        <w:gridCol w:w="9350"/>
      </w:tblGrid>
      <w:tr w:rsidR="007A7DE0" w14:paraId="544CE4A7" w14:textId="77777777" w:rsidTr="001A2C24">
        <w:tc>
          <w:tcPr>
            <w:tcW w:w="9576" w:type="dxa"/>
            <w:shd w:val="clear" w:color="auto" w:fill="2E74B5" w:themeFill="accent1" w:themeFillShade="BF"/>
            <w:vAlign w:val="center"/>
          </w:tcPr>
          <w:p w14:paraId="202F5E99" w14:textId="71D5EEC9" w:rsidR="007A7DE0" w:rsidRDefault="007A7DE0" w:rsidP="001A2C24">
            <w:pPr>
              <w:spacing w:before="80" w:after="80" w:line="276" w:lineRule="auto"/>
              <w:jc w:val="center"/>
              <w:rPr>
                <w:rFonts w:ascii="Calibri" w:hAnsi="Calibri" w:cs="Calibri"/>
                <w:b/>
                <w:bCs/>
                <w:caps/>
                <w:color w:val="404040" w:themeColor="text1" w:themeTint="BF"/>
              </w:rPr>
            </w:pPr>
            <w:r>
              <w:rPr>
                <w:rFonts w:ascii="Calibri" w:hAnsi="Calibri" w:cs="Calibri"/>
                <w:b/>
                <w:bCs/>
                <w:caps/>
                <w:color w:val="FFFFFF" w:themeColor="background1"/>
              </w:rPr>
              <w:t>Time Frame and NExt STeps</w:t>
            </w:r>
          </w:p>
        </w:tc>
      </w:tr>
    </w:tbl>
    <w:p w14:paraId="24ECC90A" w14:textId="77777777" w:rsidR="007A7DE0" w:rsidRPr="007C04A0" w:rsidRDefault="007A7DE0" w:rsidP="007A7DE0">
      <w:pPr>
        <w:spacing w:after="0" w:line="240" w:lineRule="auto"/>
        <w:rPr>
          <w:rFonts w:ascii="Calibri" w:hAnsi="Calibri" w:cs="Calibri"/>
        </w:rPr>
      </w:pPr>
    </w:p>
    <w:p w14:paraId="64B3FC26" w14:textId="5CEF9A94" w:rsidR="003214FD" w:rsidRDefault="003214FD" w:rsidP="007A7DE0">
      <w:pPr>
        <w:pStyle w:val="ListParagraph"/>
        <w:numPr>
          <w:ilvl w:val="1"/>
          <w:numId w:val="7"/>
        </w:numPr>
      </w:pPr>
      <w:bookmarkStart w:id="0" w:name="_GoBack"/>
      <w:bookmarkEnd w:id="0"/>
      <w:r>
        <w:t xml:space="preserve">Working committee to meet weekly through London to provide feedback to the SIC on the structure and scope of the 360 </w:t>
      </w:r>
      <w:r w:rsidR="00FC462F">
        <w:t>Assessment</w:t>
      </w:r>
      <w:r>
        <w:t xml:space="preserve">.  Thereafter, we will set a schedule tied to the </w:t>
      </w:r>
      <w:r w:rsidR="00FC462F">
        <w:t>overall GNSO Review</w:t>
      </w:r>
      <w:r>
        <w:t xml:space="preserve"> schedule.  </w:t>
      </w:r>
      <w:r w:rsidR="0018366F">
        <w:br/>
      </w:r>
    </w:p>
    <w:p w14:paraId="67DD2B1F" w14:textId="6FB83F84" w:rsidR="003214FD" w:rsidRDefault="003214FD" w:rsidP="007A7DE0">
      <w:pPr>
        <w:pStyle w:val="ListParagraph"/>
        <w:numPr>
          <w:ilvl w:val="1"/>
          <w:numId w:val="7"/>
        </w:numPr>
      </w:pPr>
      <w:r>
        <w:t>Our goal is to come to the London meeting with recommendations on whether or not a self-review is needed</w:t>
      </w:r>
      <w:r w:rsidR="0018366F">
        <w:t>,</w:t>
      </w:r>
      <w:r>
        <w:t xml:space="preserve"> and if so, propose a framework for doing so.</w:t>
      </w:r>
      <w:r w:rsidR="0018366F">
        <w:br/>
      </w:r>
    </w:p>
    <w:p w14:paraId="2ACC44FD" w14:textId="77777777" w:rsidR="003214FD" w:rsidRDefault="003214FD" w:rsidP="007A7DE0">
      <w:pPr>
        <w:pStyle w:val="ListParagraph"/>
        <w:numPr>
          <w:ilvl w:val="1"/>
          <w:numId w:val="7"/>
        </w:numPr>
      </w:pPr>
      <w:r>
        <w:t xml:space="preserve">The Review is scheduled to continue through summer with GNSO response during the October meeting.  </w:t>
      </w:r>
    </w:p>
    <w:sectPr w:rsidR="00321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35D7E"/>
    <w:multiLevelType w:val="hybridMultilevel"/>
    <w:tmpl w:val="CD9A3EFE"/>
    <w:lvl w:ilvl="0" w:tplc="75B4E384">
      <w:start w:val="1"/>
      <w:numFmt w:val="bullet"/>
      <w:lvlText w:val="•"/>
      <w:lvlJc w:val="left"/>
      <w:pPr>
        <w:ind w:left="720" w:hanging="360"/>
      </w:pPr>
      <w:rPr>
        <w:rFonts w:ascii="Calibri" w:hAnsi="Calibri" w:hint="default"/>
        <w:color w:val="2E74B5"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CA20DE"/>
    <w:multiLevelType w:val="hybridMultilevel"/>
    <w:tmpl w:val="18C22322"/>
    <w:lvl w:ilvl="0" w:tplc="75B4E384">
      <w:start w:val="1"/>
      <w:numFmt w:val="bullet"/>
      <w:lvlText w:val="•"/>
      <w:lvlJc w:val="left"/>
      <w:pPr>
        <w:ind w:left="720" w:hanging="360"/>
      </w:pPr>
      <w:rPr>
        <w:rFonts w:ascii="Calibri" w:hAnsi="Calibri" w:hint="default"/>
        <w:color w:val="2E74B5"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DAB70A6"/>
    <w:multiLevelType w:val="hybridMultilevel"/>
    <w:tmpl w:val="CF127AA2"/>
    <w:lvl w:ilvl="0" w:tplc="1FD45E84">
      <w:start w:val="1"/>
      <w:numFmt w:val="bullet"/>
      <w:lvlText w:val="o"/>
      <w:lvlJc w:val="left"/>
      <w:pPr>
        <w:ind w:left="720" w:hanging="360"/>
      </w:pPr>
      <w:rPr>
        <w:rFonts w:ascii="Courier New" w:hAnsi="Courier New" w:hint="default"/>
        <w:color w:val="2E74B5"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A5177D"/>
    <w:multiLevelType w:val="hybridMultilevel"/>
    <w:tmpl w:val="9A4A7638"/>
    <w:lvl w:ilvl="0" w:tplc="75B4E384">
      <w:start w:val="1"/>
      <w:numFmt w:val="bullet"/>
      <w:lvlText w:val="•"/>
      <w:lvlJc w:val="left"/>
      <w:pPr>
        <w:ind w:left="720" w:hanging="360"/>
      </w:pPr>
      <w:rPr>
        <w:rFonts w:ascii="Calibri" w:hAnsi="Calibri" w:hint="default"/>
        <w:color w:val="2E74B5"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FE6EC6"/>
    <w:multiLevelType w:val="hybridMultilevel"/>
    <w:tmpl w:val="08449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3A60529"/>
    <w:multiLevelType w:val="hybridMultilevel"/>
    <w:tmpl w:val="6226E028"/>
    <w:lvl w:ilvl="0" w:tplc="75B4E384">
      <w:start w:val="1"/>
      <w:numFmt w:val="bullet"/>
      <w:lvlText w:val="•"/>
      <w:lvlJc w:val="left"/>
      <w:pPr>
        <w:ind w:left="1080" w:hanging="360"/>
      </w:pPr>
      <w:rPr>
        <w:rFonts w:ascii="Calibri" w:hAnsi="Calibri" w:hint="default"/>
        <w:color w:val="2E74B5" w:themeColor="accent1" w:themeShade="BF"/>
      </w:rPr>
    </w:lvl>
    <w:lvl w:ilvl="1" w:tplc="1FD45E84">
      <w:start w:val="1"/>
      <w:numFmt w:val="bullet"/>
      <w:lvlText w:val="o"/>
      <w:lvlJc w:val="left"/>
      <w:pPr>
        <w:ind w:left="1800" w:hanging="360"/>
      </w:pPr>
      <w:rPr>
        <w:rFonts w:ascii="Courier New" w:hAnsi="Courier New" w:hint="default"/>
        <w:color w:val="2E74B5" w:themeColor="accent1" w:themeShade="BF"/>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BD329DE"/>
    <w:multiLevelType w:val="hybridMultilevel"/>
    <w:tmpl w:val="C4EAE644"/>
    <w:lvl w:ilvl="0" w:tplc="0409000F">
      <w:start w:val="1"/>
      <w:numFmt w:val="decimal"/>
      <w:lvlText w:val="%1."/>
      <w:lvlJc w:val="left"/>
      <w:pPr>
        <w:ind w:left="720" w:hanging="360"/>
      </w:pPr>
      <w:rPr>
        <w:rFonts w:hint="default"/>
      </w:rPr>
    </w:lvl>
    <w:lvl w:ilvl="1" w:tplc="75B4E384">
      <w:start w:val="1"/>
      <w:numFmt w:val="bullet"/>
      <w:lvlText w:val="•"/>
      <w:lvlJc w:val="left"/>
      <w:pPr>
        <w:ind w:left="1440" w:hanging="360"/>
      </w:pPr>
      <w:rPr>
        <w:rFonts w:ascii="Calibri" w:hAnsi="Calibri" w:hint="default"/>
        <w:color w:val="2E74B5" w:themeColor="accent1" w:themeShade="BF"/>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AF031F"/>
    <w:multiLevelType w:val="hybridMultilevel"/>
    <w:tmpl w:val="E61421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0C76CA"/>
    <w:multiLevelType w:val="hybridMultilevel"/>
    <w:tmpl w:val="D1BE147A"/>
    <w:lvl w:ilvl="0" w:tplc="75B4E384">
      <w:start w:val="1"/>
      <w:numFmt w:val="bullet"/>
      <w:lvlText w:val="•"/>
      <w:lvlJc w:val="left"/>
      <w:pPr>
        <w:ind w:left="720" w:hanging="360"/>
      </w:pPr>
      <w:rPr>
        <w:rFonts w:ascii="Calibri" w:hAnsi="Calibri" w:hint="default"/>
        <w:color w:val="2E74B5"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642A1E"/>
    <w:multiLevelType w:val="hybridMultilevel"/>
    <w:tmpl w:val="DDDE4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81087F"/>
    <w:multiLevelType w:val="hybridMultilevel"/>
    <w:tmpl w:val="2142277A"/>
    <w:lvl w:ilvl="0" w:tplc="75B4E384">
      <w:start w:val="1"/>
      <w:numFmt w:val="bullet"/>
      <w:lvlText w:val="•"/>
      <w:lvlJc w:val="left"/>
      <w:pPr>
        <w:ind w:left="720" w:hanging="360"/>
      </w:pPr>
      <w:rPr>
        <w:rFonts w:ascii="Calibri" w:hAnsi="Calibri" w:hint="default"/>
        <w:color w:val="2E74B5"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2"/>
  </w:num>
  <w:num w:numId="5">
    <w:abstractNumId w:val="3"/>
  </w:num>
  <w:num w:numId="6">
    <w:abstractNumId w:val="8"/>
  </w:num>
  <w:num w:numId="7">
    <w:abstractNumId w:val="6"/>
  </w:num>
  <w:num w:numId="8">
    <w:abstractNumId w:val="0"/>
  </w:num>
  <w:num w:numId="9">
    <w:abstractNumId w:val="10"/>
  </w:num>
  <w:num w:numId="10">
    <w:abstractNumId w:val="4"/>
    <w:lvlOverride w:ilvl="0"/>
    <w:lvlOverride w:ilvl="1"/>
    <w:lvlOverride w:ilvl="2"/>
    <w:lvlOverride w:ilvl="3"/>
    <w:lvlOverride w:ilvl="4"/>
    <w:lvlOverride w:ilvl="5"/>
    <w:lvlOverride w:ilvl="6"/>
    <w:lvlOverride w:ilvl="7"/>
    <w:lvlOverride w:ilv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4FD"/>
    <w:rsid w:val="0018366F"/>
    <w:rsid w:val="001F67B8"/>
    <w:rsid w:val="003214FD"/>
    <w:rsid w:val="007A7DE0"/>
    <w:rsid w:val="007E2718"/>
    <w:rsid w:val="00AF2B89"/>
    <w:rsid w:val="00FC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89C0"/>
  <w15:chartTrackingRefBased/>
  <w15:docId w15:val="{DA483801-9D9B-4204-A808-B175AA0B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4FD"/>
    <w:pPr>
      <w:ind w:left="720"/>
      <w:contextualSpacing/>
    </w:pPr>
  </w:style>
  <w:style w:type="table" w:styleId="TableGrid">
    <w:name w:val="Table Grid"/>
    <w:basedOn w:val="TableNormal"/>
    <w:uiPriority w:val="59"/>
    <w:rsid w:val="007A7D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141240">
      <w:bodyDiv w:val="1"/>
      <w:marLeft w:val="0"/>
      <w:marRight w:val="0"/>
      <w:marTop w:val="0"/>
      <w:marBottom w:val="0"/>
      <w:divBdr>
        <w:top w:val="none" w:sz="0" w:space="0" w:color="auto"/>
        <w:left w:val="none" w:sz="0" w:space="0" w:color="auto"/>
        <w:bottom w:val="none" w:sz="0" w:space="0" w:color="auto"/>
        <w:right w:val="none" w:sz="0" w:space="0" w:color="auto"/>
      </w:divBdr>
    </w:div>
    <w:div w:id="204940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Wolfe</dc:creator>
  <cp:keywords/>
  <dc:description/>
  <cp:lastModifiedBy>Jennifer Wolfe</cp:lastModifiedBy>
  <cp:revision>4</cp:revision>
  <dcterms:created xsi:type="dcterms:W3CDTF">2014-05-06T13:15:00Z</dcterms:created>
  <dcterms:modified xsi:type="dcterms:W3CDTF">2014-05-06T16:25:00Z</dcterms:modified>
</cp:coreProperties>
</file>