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655FD" w14:textId="77777777" w:rsidR="00C25AF0" w:rsidRDefault="00C25AF0" w:rsidP="00E51700">
      <w:pPr>
        <w:ind w:left="-810"/>
        <w:rPr>
          <w:sz w:val="28"/>
        </w:rPr>
      </w:pPr>
    </w:p>
    <w:p w14:paraId="3ECD7ADD" w14:textId="6E1D7CCC" w:rsidR="005A15AF" w:rsidRDefault="00E51700" w:rsidP="00E51700">
      <w:pPr>
        <w:ind w:left="-810"/>
        <w:rPr>
          <w:sz w:val="28"/>
        </w:rPr>
      </w:pPr>
      <w:r>
        <w:rPr>
          <w:sz w:val="28"/>
        </w:rPr>
        <w:t xml:space="preserve">All questions and completed forms should be </w:t>
      </w:r>
      <w:r w:rsidR="00C90AA9">
        <w:rPr>
          <w:sz w:val="28"/>
        </w:rPr>
        <w:t>sent to c</w:t>
      </w:r>
      <w:r w:rsidR="00C90AA9" w:rsidRPr="00B57027">
        <w:rPr>
          <w:sz w:val="28"/>
        </w:rPr>
        <w:t>ontroller@icann.org.</w:t>
      </w:r>
    </w:p>
    <w:p w14:paraId="6BEF53B6" w14:textId="20536440" w:rsidR="00E51700" w:rsidRPr="00E51700" w:rsidRDefault="00E51700" w:rsidP="00E51700">
      <w:pPr>
        <w:ind w:left="-810"/>
        <w:rPr>
          <w:sz w:val="28"/>
        </w:rPr>
      </w:pPr>
      <w:r>
        <w:rPr>
          <w:sz w:val="28"/>
        </w:rPr>
        <w:t>Please remember that the deadline for FY1</w:t>
      </w:r>
      <w:r w:rsidR="00C90AA9">
        <w:rPr>
          <w:sz w:val="28"/>
        </w:rPr>
        <w:t>5</w:t>
      </w:r>
      <w:r>
        <w:rPr>
          <w:sz w:val="28"/>
        </w:rPr>
        <w:t xml:space="preserve"> Budget consideration is </w:t>
      </w:r>
      <w:r w:rsidR="002F444A">
        <w:rPr>
          <w:b/>
          <w:sz w:val="28"/>
        </w:rPr>
        <w:t xml:space="preserve">March </w:t>
      </w:r>
      <w:r w:rsidR="00C90AA9">
        <w:rPr>
          <w:b/>
          <w:sz w:val="28"/>
        </w:rPr>
        <w:t>7</w:t>
      </w:r>
      <w:r w:rsidR="00D51A69" w:rsidRPr="00D51A69">
        <w:rPr>
          <w:b/>
          <w:sz w:val="28"/>
          <w:vertAlign w:val="superscript"/>
        </w:rPr>
        <w:t>th</w:t>
      </w:r>
      <w:r w:rsidRPr="00E51700">
        <w:rPr>
          <w:b/>
          <w:sz w:val="28"/>
        </w:rPr>
        <w:t xml:space="preserve"> 201</w:t>
      </w:r>
      <w:r w:rsidR="00C90AA9">
        <w:rPr>
          <w:b/>
          <w:sz w:val="28"/>
        </w:rPr>
        <w:t>4</w:t>
      </w:r>
      <w:r>
        <w:rPr>
          <w:sz w:val="28"/>
        </w:rPr>
        <w:t xml:space="preserve"> </w:t>
      </w:r>
    </w:p>
    <w:p w14:paraId="576B6EBE" w14:textId="77777777" w:rsidR="00946200" w:rsidRDefault="00946200">
      <w:pPr>
        <w:pStyle w:val="Kopfzeile"/>
        <w:rPr>
          <w:rFonts w:ascii="Arial" w:hAnsi="Arial"/>
        </w:rPr>
      </w:pPr>
    </w:p>
    <w:p w14:paraId="4F845227" w14:textId="77777777" w:rsidR="00C25AF0" w:rsidRDefault="00C25AF0">
      <w:pPr>
        <w:pStyle w:val="Kopfzeile"/>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946200" w14:paraId="067B35D7" w14:textId="77777777" w:rsidTr="006003A1">
        <w:trPr>
          <w:cantSplit/>
          <w:trHeight w:hRule="exact" w:val="528"/>
        </w:trPr>
        <w:tc>
          <w:tcPr>
            <w:tcW w:w="10260" w:type="dxa"/>
            <w:gridSpan w:val="3"/>
            <w:tcBorders>
              <w:bottom w:val="single" w:sz="6" w:space="0" w:color="auto"/>
            </w:tcBorders>
            <w:shd w:val="clear" w:color="auto" w:fill="808080"/>
          </w:tcPr>
          <w:p w14:paraId="225087EC" w14:textId="77777777" w:rsidR="00946200" w:rsidRDefault="00946200">
            <w:pPr>
              <w:pStyle w:val="FormHeading1"/>
              <w:keepNext/>
              <w:rPr>
                <w:noProof w:val="0"/>
                <w:color w:val="FFFFFF"/>
                <w:sz w:val="16"/>
              </w:rPr>
            </w:pPr>
            <w:r w:rsidRPr="006003A1">
              <w:rPr>
                <w:noProof w:val="0"/>
                <w:color w:val="FFFFFF"/>
                <w:sz w:val="32"/>
              </w:rPr>
              <w:t>REQUEST</w:t>
            </w:r>
            <w:r w:rsidR="006003A1" w:rsidRPr="006003A1">
              <w:rPr>
                <w:noProof w:val="0"/>
                <w:color w:val="FFFFFF"/>
                <w:sz w:val="32"/>
              </w:rPr>
              <w:t xml:space="preserve"> </w:t>
            </w:r>
            <w:r w:rsidRPr="006003A1">
              <w:rPr>
                <w:noProof w:val="0"/>
                <w:color w:val="FFFFFF"/>
                <w:sz w:val="32"/>
              </w:rPr>
              <w:t xml:space="preserve"> INFORMATION</w:t>
            </w:r>
          </w:p>
        </w:tc>
      </w:tr>
      <w:tr w:rsidR="00946200" w14:paraId="7FCFC8FA" w14:textId="77777777" w:rsidTr="005A15AF">
        <w:tc>
          <w:tcPr>
            <w:tcW w:w="4770" w:type="dxa"/>
            <w:tcBorders>
              <w:bottom w:val="single" w:sz="4" w:space="0" w:color="auto"/>
              <w:right w:val="nil"/>
            </w:tcBorders>
            <w:shd w:val="clear" w:color="auto" w:fill="C0C0C0"/>
          </w:tcPr>
          <w:p w14:paraId="3FCD290F" w14:textId="77777777" w:rsidR="00946200" w:rsidRDefault="00946200" w:rsidP="006F34E0">
            <w:pPr>
              <w:pStyle w:val="FormHeading1"/>
              <w:rPr>
                <w:noProof w:val="0"/>
              </w:rPr>
            </w:pPr>
            <w:r w:rsidRPr="00BA4C59">
              <w:rPr>
                <w:smallCaps w:val="0"/>
                <w:noProof w:val="0"/>
                <w:sz w:val="18"/>
              </w:rPr>
              <w:t>Title</w:t>
            </w:r>
            <w:r w:rsidR="006F34E0">
              <w:rPr>
                <w:smallCaps w:val="0"/>
                <w:noProof w:val="0"/>
                <w:sz w:val="18"/>
              </w:rPr>
              <w:t xml:space="preserve"> of Proposed Activity</w:t>
            </w:r>
            <w:r>
              <w:rPr>
                <w:noProof w:val="0"/>
              </w:rPr>
              <w:t xml:space="preserve">  </w:t>
            </w:r>
          </w:p>
        </w:tc>
        <w:tc>
          <w:tcPr>
            <w:tcW w:w="2520" w:type="dxa"/>
            <w:tcBorders>
              <w:left w:val="nil"/>
              <w:bottom w:val="single" w:sz="4" w:space="0" w:color="auto"/>
              <w:right w:val="nil"/>
            </w:tcBorders>
            <w:shd w:val="clear" w:color="auto" w:fill="C0C0C0"/>
          </w:tcPr>
          <w:p w14:paraId="3CAD07E1" w14:textId="77777777" w:rsidR="00946200" w:rsidRDefault="00946200">
            <w:pPr>
              <w:pStyle w:val="FormLabel1"/>
              <w:keepNext/>
              <w:spacing w:before="40" w:after="40"/>
              <w:rPr>
                <w:noProof w:val="0"/>
              </w:rPr>
            </w:pPr>
          </w:p>
        </w:tc>
        <w:tc>
          <w:tcPr>
            <w:tcW w:w="2970" w:type="dxa"/>
            <w:tcBorders>
              <w:left w:val="nil"/>
              <w:bottom w:val="single" w:sz="4" w:space="0" w:color="auto"/>
            </w:tcBorders>
            <w:shd w:val="clear" w:color="auto" w:fill="C0C0C0"/>
          </w:tcPr>
          <w:p w14:paraId="55141E00" w14:textId="77777777" w:rsidR="00946200" w:rsidRDefault="00946200" w:rsidP="00946200">
            <w:pPr>
              <w:pStyle w:val="FormHeading1"/>
              <w:rPr>
                <w:noProof w:val="0"/>
              </w:rPr>
            </w:pPr>
          </w:p>
        </w:tc>
      </w:tr>
      <w:tr w:rsidR="00946200" w14:paraId="46261164" w14:textId="77777777" w:rsidTr="005A15AF">
        <w:trPr>
          <w:trHeight w:val="315"/>
        </w:trPr>
        <w:tc>
          <w:tcPr>
            <w:tcW w:w="4770" w:type="dxa"/>
            <w:tcBorders>
              <w:top w:val="single" w:sz="4" w:space="0" w:color="auto"/>
              <w:bottom w:val="nil"/>
              <w:right w:val="nil"/>
            </w:tcBorders>
          </w:tcPr>
          <w:p w14:paraId="615E1CFF" w14:textId="4A55471E" w:rsidR="005A15AF" w:rsidRDefault="00C862AB" w:rsidP="009A206F">
            <w:pPr>
              <w:pStyle w:val="TableText"/>
              <w:rPr>
                <w:noProof w:val="0"/>
              </w:rPr>
            </w:pPr>
            <w:r>
              <w:rPr>
                <w:noProof w:val="0"/>
              </w:rPr>
              <w:t xml:space="preserve">Constituency outreach </w:t>
            </w:r>
            <w:r w:rsidR="003A2DB0">
              <w:rPr>
                <w:noProof w:val="0"/>
              </w:rPr>
              <w:t>support</w:t>
            </w:r>
          </w:p>
        </w:tc>
        <w:tc>
          <w:tcPr>
            <w:tcW w:w="2520" w:type="dxa"/>
            <w:tcBorders>
              <w:top w:val="single" w:sz="4" w:space="0" w:color="auto"/>
              <w:left w:val="nil"/>
              <w:bottom w:val="nil"/>
              <w:right w:val="nil"/>
            </w:tcBorders>
          </w:tcPr>
          <w:p w14:paraId="728B5E57" w14:textId="77777777" w:rsidR="00946200" w:rsidRDefault="00946200">
            <w:pPr>
              <w:pStyle w:val="TableText"/>
              <w:rPr>
                <w:noProof w:val="0"/>
              </w:rPr>
            </w:pPr>
          </w:p>
        </w:tc>
        <w:tc>
          <w:tcPr>
            <w:tcW w:w="2970" w:type="dxa"/>
            <w:tcBorders>
              <w:top w:val="single" w:sz="4" w:space="0" w:color="auto"/>
              <w:left w:val="nil"/>
              <w:bottom w:val="nil"/>
            </w:tcBorders>
          </w:tcPr>
          <w:p w14:paraId="67AF2B89" w14:textId="77777777" w:rsidR="00946200" w:rsidRDefault="00946200" w:rsidP="00946200">
            <w:pPr>
              <w:rPr>
                <w:rFonts w:ascii="Arial" w:hAnsi="Arial"/>
              </w:rPr>
            </w:pPr>
          </w:p>
        </w:tc>
      </w:tr>
      <w:tr w:rsidR="00946200" w14:paraId="18BF4C12" w14:textId="77777777">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3D761560" w14:textId="77777777" w:rsidR="00946200" w:rsidRDefault="00F838DA" w:rsidP="006003A1">
            <w:pPr>
              <w:pStyle w:val="FormHeading1"/>
              <w:rPr>
                <w:noProof w:val="0"/>
                <w:highlight w:val="lightGray"/>
              </w:rPr>
            </w:pPr>
            <w:r>
              <w:rPr>
                <w:smallCaps w:val="0"/>
                <w:noProof w:val="0"/>
                <w:sz w:val="18"/>
              </w:rPr>
              <w:t>Community</w:t>
            </w:r>
            <w:r w:rsidR="00946200" w:rsidRPr="00BA4C59">
              <w:rPr>
                <w:smallCaps w:val="0"/>
                <w:noProof w:val="0"/>
                <w:sz w:val="18"/>
              </w:rPr>
              <w:t xml:space="preserve"> Requestor Name</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761EDADD" w14:textId="77777777" w:rsidR="00946200" w:rsidRDefault="00F838DA" w:rsidP="00F838DA">
            <w:pPr>
              <w:pStyle w:val="FormHeading1"/>
              <w:rPr>
                <w:noProof w:val="0"/>
                <w:highlight w:val="lightGray"/>
              </w:rPr>
            </w:pPr>
            <w:r>
              <w:rPr>
                <w:smallCaps w:val="0"/>
                <w:noProof w:val="0"/>
                <w:sz w:val="18"/>
              </w:rPr>
              <w:t>Chair</w:t>
            </w:r>
          </w:p>
        </w:tc>
      </w:tr>
      <w:tr w:rsidR="00946200" w14:paraId="393BFA3B" w14:textId="77777777">
        <w:trPr>
          <w:trHeight w:val="315"/>
        </w:trPr>
        <w:tc>
          <w:tcPr>
            <w:tcW w:w="4770" w:type="dxa"/>
            <w:tcBorders>
              <w:top w:val="nil"/>
              <w:left w:val="single" w:sz="4" w:space="0" w:color="auto"/>
              <w:bottom w:val="single" w:sz="4" w:space="0" w:color="auto"/>
              <w:right w:val="single" w:sz="6" w:space="0" w:color="auto"/>
            </w:tcBorders>
          </w:tcPr>
          <w:p w14:paraId="7DD604B5" w14:textId="77777777" w:rsidR="005A15AF" w:rsidRDefault="003A2DB0">
            <w:pPr>
              <w:pStyle w:val="Kopfzeile"/>
              <w:rPr>
                <w:rFonts w:ascii="Arial" w:hAnsi="Arial"/>
              </w:rPr>
            </w:pPr>
            <w:r>
              <w:rPr>
                <w:rFonts w:ascii="Arial" w:hAnsi="Arial"/>
              </w:rPr>
              <w:t>ISPCP – GNSO</w:t>
            </w:r>
          </w:p>
        </w:tc>
        <w:tc>
          <w:tcPr>
            <w:tcW w:w="5490" w:type="dxa"/>
            <w:gridSpan w:val="2"/>
            <w:tcBorders>
              <w:top w:val="nil"/>
              <w:left w:val="single" w:sz="6" w:space="0" w:color="auto"/>
              <w:bottom w:val="single" w:sz="4" w:space="0" w:color="auto"/>
              <w:right w:val="single" w:sz="4" w:space="0" w:color="auto"/>
            </w:tcBorders>
          </w:tcPr>
          <w:p w14:paraId="167FA079" w14:textId="77777777" w:rsidR="00946200" w:rsidRDefault="003A2DB0">
            <w:pPr>
              <w:pStyle w:val="Kopfzeile"/>
              <w:rPr>
                <w:rFonts w:ascii="Arial" w:hAnsi="Arial"/>
              </w:rPr>
            </w:pPr>
            <w:r>
              <w:rPr>
                <w:rFonts w:ascii="Arial" w:hAnsi="Arial"/>
              </w:rPr>
              <w:t>Tony Holmes</w:t>
            </w:r>
          </w:p>
        </w:tc>
      </w:tr>
      <w:tr w:rsidR="00946200" w14:paraId="1DA8CBBF" w14:textId="77777777">
        <w:trPr>
          <w:trHeight w:val="315"/>
        </w:trPr>
        <w:tc>
          <w:tcPr>
            <w:tcW w:w="4770" w:type="dxa"/>
            <w:tcBorders>
              <w:top w:val="nil"/>
              <w:left w:val="single" w:sz="4" w:space="0" w:color="auto"/>
              <w:bottom w:val="nil"/>
              <w:right w:val="single" w:sz="6" w:space="0" w:color="auto"/>
            </w:tcBorders>
            <w:shd w:val="clear" w:color="auto" w:fill="C0C0C0"/>
          </w:tcPr>
          <w:p w14:paraId="4CFB6CB8" w14:textId="77777777" w:rsidR="00946200" w:rsidRPr="00B41D9D" w:rsidRDefault="006F34E0" w:rsidP="00946200">
            <w:pPr>
              <w:pStyle w:val="FormHeading1"/>
              <w:rPr>
                <w:smallCaps w:val="0"/>
                <w:noProof w:val="0"/>
                <w:sz w:val="18"/>
              </w:rPr>
            </w:pPr>
            <w:r>
              <w:rPr>
                <w:smallCaps w:val="0"/>
                <w:noProof w:val="0"/>
                <w:sz w:val="18"/>
              </w:rPr>
              <w:t>ICANN Staff</w:t>
            </w:r>
            <w:r w:rsidRPr="00BA4C59">
              <w:rPr>
                <w:smallCaps w:val="0"/>
                <w:noProof w:val="0"/>
                <w:sz w:val="18"/>
              </w:rPr>
              <w:t xml:space="preserve"> </w:t>
            </w:r>
            <w:r>
              <w:rPr>
                <w:smallCaps w:val="0"/>
                <w:noProof w:val="0"/>
                <w:sz w:val="18"/>
              </w:rPr>
              <w:t xml:space="preserve">Community </w:t>
            </w:r>
            <w:r w:rsidR="00946200" w:rsidRPr="00BA4C59">
              <w:rPr>
                <w:smallCaps w:val="0"/>
                <w:noProof w:val="0"/>
                <w:sz w:val="18"/>
              </w:rPr>
              <w:t>Liaison</w:t>
            </w:r>
          </w:p>
        </w:tc>
        <w:tc>
          <w:tcPr>
            <w:tcW w:w="5490" w:type="dxa"/>
            <w:gridSpan w:val="2"/>
            <w:tcBorders>
              <w:top w:val="nil"/>
              <w:left w:val="single" w:sz="6" w:space="0" w:color="auto"/>
              <w:bottom w:val="nil"/>
              <w:right w:val="single" w:sz="4" w:space="0" w:color="auto"/>
            </w:tcBorders>
            <w:shd w:val="clear" w:color="auto" w:fill="C0C0C0"/>
          </w:tcPr>
          <w:p w14:paraId="6486AD07" w14:textId="77777777" w:rsidR="00946200" w:rsidRPr="00B41D9D" w:rsidRDefault="00946200">
            <w:pPr>
              <w:pStyle w:val="FormLabel1"/>
              <w:keepNext/>
              <w:spacing w:before="40" w:after="40"/>
              <w:rPr>
                <w:noProof w:val="0"/>
                <w:sz w:val="18"/>
              </w:rPr>
            </w:pPr>
          </w:p>
        </w:tc>
      </w:tr>
      <w:tr w:rsidR="00946200" w14:paraId="4F098B68" w14:textId="77777777">
        <w:trPr>
          <w:trHeight w:val="315"/>
        </w:trPr>
        <w:tc>
          <w:tcPr>
            <w:tcW w:w="4770" w:type="dxa"/>
            <w:tcBorders>
              <w:top w:val="single" w:sz="4" w:space="0" w:color="auto"/>
              <w:bottom w:val="single" w:sz="4" w:space="0" w:color="auto"/>
            </w:tcBorders>
          </w:tcPr>
          <w:p w14:paraId="6F9D2EEF" w14:textId="77777777" w:rsidR="00946200" w:rsidRDefault="00946200">
            <w:pPr>
              <w:pStyle w:val="Kopfzeile"/>
              <w:rPr>
                <w:rFonts w:ascii="Arial" w:hAnsi="Arial"/>
              </w:rPr>
            </w:pPr>
          </w:p>
          <w:p w14:paraId="7C1E6AC6" w14:textId="77777777" w:rsidR="005A15AF" w:rsidRDefault="005A15AF">
            <w:pPr>
              <w:pStyle w:val="Kopfzeile"/>
              <w:rPr>
                <w:rFonts w:ascii="Arial" w:hAnsi="Arial"/>
              </w:rPr>
            </w:pPr>
          </w:p>
        </w:tc>
        <w:tc>
          <w:tcPr>
            <w:tcW w:w="5490" w:type="dxa"/>
            <w:gridSpan w:val="2"/>
            <w:tcBorders>
              <w:top w:val="single" w:sz="4" w:space="0" w:color="auto"/>
              <w:bottom w:val="single" w:sz="4" w:space="0" w:color="auto"/>
            </w:tcBorders>
          </w:tcPr>
          <w:p w14:paraId="35F33A1F" w14:textId="77777777" w:rsidR="00946200" w:rsidRPr="00A628A7" w:rsidRDefault="00946200">
            <w:pPr>
              <w:autoSpaceDE w:val="0"/>
              <w:autoSpaceDN w:val="0"/>
              <w:adjustRightInd w:val="0"/>
              <w:rPr>
                <w:rFonts w:ascii="Arial" w:hAnsi="Arial"/>
              </w:rPr>
            </w:pPr>
          </w:p>
        </w:tc>
      </w:tr>
    </w:tbl>
    <w:p w14:paraId="3C35EDF2" w14:textId="77777777" w:rsidR="00946200" w:rsidRDefault="00946200">
      <w:pPr>
        <w:rPr>
          <w:rFonts w:ascii="Arial" w:hAnsi="Arial"/>
        </w:rPr>
      </w:pPr>
    </w:p>
    <w:p w14:paraId="7BF63C98" w14:textId="77777777" w:rsidR="00B91DDC" w:rsidRDefault="00B91DDC"/>
    <w:tbl>
      <w:tblPr>
        <w:tblW w:w="10260" w:type="dxa"/>
        <w:tblInd w:w="-702" w:type="dxa"/>
        <w:tblLayout w:type="fixed"/>
        <w:tblLook w:val="0000" w:firstRow="0" w:lastRow="0" w:firstColumn="0" w:lastColumn="0" w:noHBand="0" w:noVBand="0"/>
      </w:tblPr>
      <w:tblGrid>
        <w:gridCol w:w="10260"/>
      </w:tblGrid>
      <w:tr w:rsidR="005428F3" w14:paraId="3A00480C" w14:textId="77777777" w:rsidTr="001B79F2">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307F91B3" w14:textId="77777777" w:rsidR="005428F3" w:rsidRPr="006003A1" w:rsidRDefault="005428F3" w:rsidP="001B79F2">
            <w:pPr>
              <w:pStyle w:val="FormHeading1"/>
              <w:keepNext/>
              <w:rPr>
                <w:noProof w:val="0"/>
                <w:color w:val="FFFFFF"/>
                <w:sz w:val="32"/>
              </w:rPr>
            </w:pPr>
            <w:r w:rsidRPr="006003A1">
              <w:rPr>
                <w:noProof w:val="0"/>
                <w:color w:val="FFFFFF"/>
                <w:sz w:val="32"/>
              </w:rPr>
              <w:t>request description</w:t>
            </w:r>
          </w:p>
          <w:p w14:paraId="29054AE2" w14:textId="77777777" w:rsidR="005428F3" w:rsidRDefault="005428F3" w:rsidP="001B79F2">
            <w:pPr>
              <w:pStyle w:val="FormHeading1"/>
              <w:keepNext/>
              <w:rPr>
                <w:noProof w:val="0"/>
                <w:color w:val="FFFFFF"/>
                <w:sz w:val="32"/>
              </w:rPr>
            </w:pPr>
          </w:p>
          <w:p w14:paraId="4B16852F" w14:textId="77777777" w:rsidR="005428F3" w:rsidRPr="001D3783" w:rsidRDefault="005428F3" w:rsidP="001B79F2">
            <w:pPr>
              <w:pStyle w:val="FormHeading1"/>
              <w:keepNext/>
              <w:rPr>
                <w:noProof w:val="0"/>
                <w:color w:val="FFFFFF"/>
                <w:sz w:val="28"/>
              </w:rPr>
            </w:pPr>
            <w:r w:rsidRPr="001D3783">
              <w:rPr>
                <w:noProof w:val="0"/>
                <w:color w:val="FFFFFF"/>
                <w:sz w:val="32"/>
              </w:rPr>
              <w:t xml:space="preserve"> </w:t>
            </w:r>
          </w:p>
        </w:tc>
      </w:tr>
      <w:tr w:rsidR="005428F3" w:rsidRPr="00243A44" w14:paraId="11F2BD25" w14:textId="77777777" w:rsidTr="001B79F2">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37D8C462" w14:textId="77777777" w:rsidR="005428F3" w:rsidRPr="00243A44" w:rsidRDefault="00542865" w:rsidP="00CD143C">
            <w:pPr>
              <w:pStyle w:val="FormHeading1"/>
              <w:rPr>
                <w:smallCaps w:val="0"/>
                <w:noProof w:val="0"/>
                <w:sz w:val="16"/>
              </w:rPr>
            </w:pPr>
            <w:r w:rsidRPr="00CD143C">
              <w:rPr>
                <w:i/>
                <w:smallCaps w:val="0"/>
                <w:noProof w:val="0"/>
                <w:sz w:val="18"/>
              </w:rPr>
              <w:t xml:space="preserve">1. </w:t>
            </w:r>
            <w:r w:rsidR="00CD143C" w:rsidRPr="00CD143C">
              <w:rPr>
                <w:i/>
                <w:smallCaps w:val="0"/>
                <w:noProof w:val="0"/>
                <w:sz w:val="18"/>
              </w:rPr>
              <w:t>Activity</w:t>
            </w:r>
            <w:r w:rsidRPr="00CD143C">
              <w:rPr>
                <w:i/>
                <w:smallCaps w:val="0"/>
                <w:noProof w:val="0"/>
                <w:sz w:val="18"/>
              </w:rPr>
              <w:t>:</w:t>
            </w:r>
            <w:r w:rsidRPr="00542865">
              <w:rPr>
                <w:smallCaps w:val="0"/>
                <w:noProof w:val="0"/>
                <w:sz w:val="18"/>
              </w:rPr>
              <w:t xml:space="preserve"> Pleas</w:t>
            </w:r>
            <w:r>
              <w:rPr>
                <w:smallCaps w:val="0"/>
                <w:noProof w:val="0"/>
                <w:sz w:val="18"/>
              </w:rPr>
              <w:t>e describe your proposed activity in detail</w:t>
            </w:r>
          </w:p>
        </w:tc>
      </w:tr>
      <w:tr w:rsidR="005428F3" w14:paraId="31D557AA" w14:textId="77777777" w:rsidTr="001B79F2">
        <w:trPr>
          <w:trHeight w:val="426"/>
        </w:trPr>
        <w:tc>
          <w:tcPr>
            <w:tcW w:w="10260" w:type="dxa"/>
            <w:tcBorders>
              <w:top w:val="single" w:sz="6" w:space="0" w:color="auto"/>
              <w:left w:val="single" w:sz="6" w:space="0" w:color="auto"/>
              <w:bottom w:val="single" w:sz="6" w:space="0" w:color="auto"/>
              <w:right w:val="single" w:sz="6" w:space="0" w:color="auto"/>
            </w:tcBorders>
          </w:tcPr>
          <w:p w14:paraId="6CBB36AD" w14:textId="77777777" w:rsidR="00067B0F" w:rsidRDefault="00067B0F" w:rsidP="00A920F3">
            <w:pPr>
              <w:rPr>
                <w:b/>
              </w:rPr>
            </w:pPr>
          </w:p>
          <w:p w14:paraId="1E168709" w14:textId="652D6E20" w:rsidR="001323A5" w:rsidRDefault="00067B0F" w:rsidP="00A920F3">
            <w:pPr>
              <w:rPr>
                <w:b/>
              </w:rPr>
            </w:pPr>
            <w:r>
              <w:rPr>
                <w:b/>
              </w:rPr>
              <w:t>S</w:t>
            </w:r>
            <w:r w:rsidR="00A920F3">
              <w:rPr>
                <w:b/>
              </w:rPr>
              <w:t xml:space="preserve">upport of an outreach program continuing from FY14 </w:t>
            </w:r>
            <w:r w:rsidR="00AA5E69">
              <w:rPr>
                <w:b/>
              </w:rPr>
              <w:t>which</w:t>
            </w:r>
            <w:r w:rsidR="003A2DB0">
              <w:rPr>
                <w:b/>
              </w:rPr>
              <w:t xml:space="preserve"> will result in on-going, active engagement. </w:t>
            </w:r>
          </w:p>
          <w:p w14:paraId="00B43D10" w14:textId="77777777" w:rsidR="001323A5" w:rsidRDefault="001323A5" w:rsidP="001323A5">
            <w:pPr>
              <w:rPr>
                <w:b/>
              </w:rPr>
            </w:pPr>
          </w:p>
          <w:p w14:paraId="666F71A8" w14:textId="77777777" w:rsidR="009A206F" w:rsidRDefault="00E31743" w:rsidP="001323A5">
            <w:pPr>
              <w:rPr>
                <w:b/>
              </w:rPr>
            </w:pPr>
            <w:r>
              <w:rPr>
                <w:b/>
              </w:rPr>
              <w:t>It is also important to</w:t>
            </w:r>
            <w:r w:rsidR="00983876">
              <w:rPr>
                <w:b/>
              </w:rPr>
              <w:t xml:space="preserve"> </w:t>
            </w:r>
            <w:r w:rsidR="001323A5">
              <w:rPr>
                <w:b/>
              </w:rPr>
              <w:t>develop</w:t>
            </w:r>
            <w:r w:rsidR="00983876">
              <w:rPr>
                <w:b/>
              </w:rPr>
              <w:t xml:space="preserve"> a </w:t>
            </w:r>
            <w:r w:rsidR="003A2DB0">
              <w:rPr>
                <w:b/>
              </w:rPr>
              <w:t xml:space="preserve">focal point within the Constituency charged with the task of </w:t>
            </w:r>
            <w:r w:rsidR="00BD314A">
              <w:rPr>
                <w:b/>
              </w:rPr>
              <w:t xml:space="preserve">onboarding new participants with the goal of </w:t>
            </w:r>
            <w:r w:rsidR="003A2DB0">
              <w:rPr>
                <w:b/>
              </w:rPr>
              <w:t xml:space="preserve">growing and sustaining regular participation. </w:t>
            </w:r>
            <w:r w:rsidR="00AA5E69">
              <w:rPr>
                <w:b/>
              </w:rPr>
              <w:t xml:space="preserve"> </w:t>
            </w:r>
            <w:r w:rsidR="001323A5">
              <w:rPr>
                <w:b/>
              </w:rPr>
              <w:t xml:space="preserve"> One of our goals is to provide a very positive experience for new members just joining the constituency – so that the efforts of the outreach effort produce lasting results rather than leaving new-recruits bewildered and regretting their decision to participate in ICANN.</w:t>
            </w:r>
          </w:p>
          <w:p w14:paraId="5C682387" w14:textId="77777777" w:rsidR="00A920F3" w:rsidRDefault="00A920F3" w:rsidP="001323A5">
            <w:pPr>
              <w:rPr>
                <w:b/>
              </w:rPr>
            </w:pPr>
          </w:p>
          <w:p w14:paraId="0C175A12" w14:textId="76E7244D" w:rsidR="00381371" w:rsidRPr="00381371" w:rsidRDefault="00381371" w:rsidP="001323A5">
            <w:pPr>
              <w:rPr>
                <w:b/>
                <w:i/>
                <w:color w:val="0070C0"/>
              </w:rPr>
            </w:pPr>
            <w:r w:rsidRPr="00381371">
              <w:rPr>
                <w:b/>
                <w:i/>
                <w:color w:val="0070C0"/>
              </w:rPr>
              <w:t>Note:</w:t>
            </w:r>
            <w:bookmarkStart w:id="0" w:name="_GoBack"/>
            <w:bookmarkEnd w:id="0"/>
          </w:p>
          <w:p w14:paraId="65897D91" w14:textId="77777777" w:rsidR="00A920F3" w:rsidRPr="00381371" w:rsidRDefault="00A920F3" w:rsidP="001323A5">
            <w:pPr>
              <w:rPr>
                <w:b/>
                <w:i/>
                <w:color w:val="0070C0"/>
              </w:rPr>
            </w:pPr>
            <w:r w:rsidRPr="00381371">
              <w:rPr>
                <w:b/>
                <w:i/>
                <w:color w:val="0070C0"/>
              </w:rPr>
              <w:t xml:space="preserve">Following the results of the FY14 budget request cycle we assume that these activities shall be covered by the </w:t>
            </w:r>
            <w:r w:rsidRPr="00381371">
              <w:rPr>
                <w:b/>
                <w:i/>
                <w:color w:val="0070C0"/>
                <w:u w:val="single"/>
              </w:rPr>
              <w:t>ongoing Community Outreach Travel Pilot Program</w:t>
            </w:r>
            <w:r w:rsidRPr="00381371">
              <w:rPr>
                <w:b/>
                <w:i/>
                <w:color w:val="0070C0"/>
              </w:rPr>
              <w:t>,</w:t>
            </w:r>
          </w:p>
          <w:p w14:paraId="66A300A9" w14:textId="77777777" w:rsidR="00A920F3" w:rsidRPr="00381371" w:rsidRDefault="00A920F3" w:rsidP="001323A5">
            <w:pPr>
              <w:rPr>
                <w:b/>
                <w:i/>
                <w:color w:val="0070C0"/>
              </w:rPr>
            </w:pPr>
          </w:p>
          <w:p w14:paraId="106946FF" w14:textId="165D3D32" w:rsidR="00A920F3" w:rsidRPr="00A920F3" w:rsidRDefault="00A920F3" w:rsidP="001323A5">
            <w:pPr>
              <w:rPr>
                <w:b/>
                <w:i/>
              </w:rPr>
            </w:pPr>
            <w:r w:rsidRPr="00381371">
              <w:rPr>
                <w:b/>
                <w:i/>
                <w:color w:val="0070C0"/>
              </w:rPr>
              <w:t>Outreach material is a separate request.</w:t>
            </w:r>
          </w:p>
        </w:tc>
      </w:tr>
      <w:tr w:rsidR="005428F3" w:rsidRPr="00243A44" w14:paraId="3160A94D"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6090E2FB" w14:textId="77777777" w:rsidR="005428F3" w:rsidRPr="00243A44" w:rsidRDefault="005428F3" w:rsidP="00F34D86">
            <w:pPr>
              <w:pStyle w:val="FormHeading1"/>
              <w:rPr>
                <w:smallCaps w:val="0"/>
                <w:noProof w:val="0"/>
                <w:sz w:val="16"/>
              </w:rPr>
            </w:pPr>
            <w:r w:rsidRPr="00CD143C">
              <w:rPr>
                <w:i/>
                <w:smallCaps w:val="0"/>
                <w:noProof w:val="0"/>
                <w:sz w:val="18"/>
              </w:rPr>
              <w:t>2. Type of Activity</w:t>
            </w:r>
            <w:r>
              <w:rPr>
                <w:smallCaps w:val="0"/>
                <w:noProof w:val="0"/>
                <w:sz w:val="18"/>
              </w:rPr>
              <w:t xml:space="preserve">: </w:t>
            </w:r>
            <w:r w:rsidR="006003A1">
              <w:rPr>
                <w:smallCaps w:val="0"/>
                <w:noProof w:val="0"/>
                <w:sz w:val="18"/>
              </w:rPr>
              <w:t xml:space="preserve">e.g. </w:t>
            </w:r>
            <w:r>
              <w:rPr>
                <w:smallCaps w:val="0"/>
                <w:noProof w:val="0"/>
                <w:sz w:val="18"/>
              </w:rPr>
              <w:t xml:space="preserve">Outreach </w:t>
            </w:r>
            <w:r w:rsidR="00F34D86">
              <w:rPr>
                <w:smallCaps w:val="0"/>
                <w:noProof w:val="0"/>
                <w:sz w:val="18"/>
              </w:rPr>
              <w:t>-</w:t>
            </w:r>
            <w:r>
              <w:rPr>
                <w:smallCaps w:val="0"/>
                <w:noProof w:val="0"/>
                <w:sz w:val="18"/>
              </w:rPr>
              <w:t xml:space="preserve"> </w:t>
            </w:r>
            <w:r w:rsidR="00542865">
              <w:rPr>
                <w:smallCaps w:val="0"/>
                <w:noProof w:val="0"/>
                <w:sz w:val="18"/>
              </w:rPr>
              <w:t>Education/training</w:t>
            </w:r>
            <w:r w:rsidR="00F34D86">
              <w:rPr>
                <w:smallCaps w:val="0"/>
                <w:noProof w:val="0"/>
                <w:sz w:val="18"/>
              </w:rPr>
              <w:t xml:space="preserve"> -</w:t>
            </w:r>
            <w:r>
              <w:rPr>
                <w:smallCaps w:val="0"/>
                <w:noProof w:val="0"/>
                <w:sz w:val="18"/>
              </w:rPr>
              <w:t xml:space="preserve"> Travel support </w:t>
            </w:r>
            <w:r w:rsidR="00F34D86">
              <w:rPr>
                <w:smallCaps w:val="0"/>
                <w:noProof w:val="0"/>
                <w:sz w:val="18"/>
              </w:rPr>
              <w:t>-</w:t>
            </w:r>
            <w:r w:rsidR="00CD143C">
              <w:rPr>
                <w:smallCaps w:val="0"/>
                <w:noProof w:val="0"/>
                <w:sz w:val="18"/>
              </w:rPr>
              <w:t xml:space="preserve"> Research/Study </w:t>
            </w:r>
            <w:r w:rsidR="00F34D86">
              <w:rPr>
                <w:smallCaps w:val="0"/>
                <w:noProof w:val="0"/>
                <w:sz w:val="18"/>
              </w:rPr>
              <w:t>-</w:t>
            </w:r>
            <w:r w:rsidR="00CD143C">
              <w:rPr>
                <w:smallCaps w:val="0"/>
                <w:noProof w:val="0"/>
                <w:sz w:val="18"/>
              </w:rPr>
              <w:t xml:space="preserve">  Meetings</w:t>
            </w:r>
            <w:r w:rsidR="00F34D86">
              <w:rPr>
                <w:smallCaps w:val="0"/>
                <w:noProof w:val="0"/>
                <w:sz w:val="18"/>
              </w:rPr>
              <w:t xml:space="preserve"> - Other</w:t>
            </w:r>
          </w:p>
        </w:tc>
      </w:tr>
      <w:tr w:rsidR="005428F3" w14:paraId="484FDD29"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644BBAF3" w14:textId="5E6DCF72" w:rsidR="005428F3" w:rsidRDefault="001323A5" w:rsidP="004A5FB1">
            <w:pPr>
              <w:rPr>
                <w:b/>
              </w:rPr>
            </w:pPr>
            <w:r>
              <w:rPr>
                <w:b/>
              </w:rPr>
              <w:t xml:space="preserve">Full-spectrum outreach </w:t>
            </w:r>
            <w:r w:rsidR="00B04B00">
              <w:rPr>
                <w:b/>
              </w:rPr>
              <w:t xml:space="preserve">including outreach and awareness events </w:t>
            </w:r>
            <w:r>
              <w:rPr>
                <w:b/>
              </w:rPr>
              <w:t xml:space="preserve">– </w:t>
            </w:r>
            <w:r w:rsidR="004A5FB1">
              <w:rPr>
                <w:b/>
              </w:rPr>
              <w:t>as covered by the Community Outreach Travel Pilot Program,</w:t>
            </w:r>
            <w:r>
              <w:rPr>
                <w:b/>
              </w:rPr>
              <w:t xml:space="preserve"> and new-member onboarding.</w:t>
            </w:r>
          </w:p>
        </w:tc>
      </w:tr>
      <w:tr w:rsidR="003F32A0" w:rsidRPr="00243A44" w14:paraId="61D4B226"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3AE4426A" w14:textId="77777777" w:rsidR="003F32A0" w:rsidRPr="00243A44" w:rsidRDefault="003F32A0" w:rsidP="003F32A0">
            <w:pPr>
              <w:pStyle w:val="FormHeading1"/>
              <w:rPr>
                <w:smallCaps w:val="0"/>
                <w:noProof w:val="0"/>
                <w:sz w:val="16"/>
              </w:rPr>
            </w:pPr>
            <w:r>
              <w:rPr>
                <w:i/>
                <w:smallCaps w:val="0"/>
                <w:noProof w:val="0"/>
                <w:sz w:val="18"/>
              </w:rPr>
              <w:t>3</w:t>
            </w:r>
            <w:r w:rsidRPr="00CD143C">
              <w:rPr>
                <w:i/>
                <w:smallCaps w:val="0"/>
                <w:noProof w:val="0"/>
                <w:sz w:val="18"/>
              </w:rPr>
              <w:t xml:space="preserve">. </w:t>
            </w:r>
            <w:r>
              <w:rPr>
                <w:i/>
                <w:smallCaps w:val="0"/>
                <w:noProof w:val="0"/>
                <w:sz w:val="18"/>
              </w:rPr>
              <w:t xml:space="preserve">Proposed Timeline/Schedule: </w:t>
            </w:r>
            <w:r w:rsidR="006003A1" w:rsidRPr="006003A1">
              <w:rPr>
                <w:smallCaps w:val="0"/>
                <w:noProof w:val="0"/>
                <w:sz w:val="18"/>
              </w:rPr>
              <w:t>e.g.</w:t>
            </w:r>
            <w:r w:rsidR="006003A1">
              <w:rPr>
                <w:i/>
                <w:smallCaps w:val="0"/>
                <w:noProof w:val="0"/>
                <w:sz w:val="18"/>
              </w:rPr>
              <w:t xml:space="preserve"> </w:t>
            </w:r>
            <w:r w:rsidRPr="006003A1">
              <w:rPr>
                <w:smallCaps w:val="0"/>
                <w:noProof w:val="0"/>
                <w:sz w:val="18"/>
              </w:rPr>
              <w:t>one time activity, recurring activity</w:t>
            </w:r>
            <w:r>
              <w:rPr>
                <w:i/>
                <w:smallCaps w:val="0"/>
                <w:noProof w:val="0"/>
                <w:sz w:val="18"/>
              </w:rPr>
              <w:t xml:space="preserve"> </w:t>
            </w:r>
          </w:p>
        </w:tc>
      </w:tr>
      <w:tr w:rsidR="003F32A0" w14:paraId="5A7743E0"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37C34D3F" w14:textId="4A8FDD6F" w:rsidR="003F32A0" w:rsidRDefault="00BD314A" w:rsidP="001B79F2">
            <w:pPr>
              <w:rPr>
                <w:b/>
              </w:rPr>
            </w:pPr>
            <w:r>
              <w:rPr>
                <w:b/>
              </w:rPr>
              <w:t>Recurring activity</w:t>
            </w:r>
          </w:p>
        </w:tc>
      </w:tr>
    </w:tbl>
    <w:p w14:paraId="2C73C7FC" w14:textId="77777777" w:rsidR="00946200" w:rsidRDefault="00946200"/>
    <w:p w14:paraId="70CBDFB1" w14:textId="77777777" w:rsidR="00CD143C" w:rsidRDefault="00CD143C"/>
    <w:tbl>
      <w:tblPr>
        <w:tblW w:w="10260" w:type="dxa"/>
        <w:tblInd w:w="-702" w:type="dxa"/>
        <w:tblLayout w:type="fixed"/>
        <w:tblLook w:val="0000" w:firstRow="0" w:lastRow="0" w:firstColumn="0" w:lastColumn="0" w:noHBand="0" w:noVBand="0"/>
      </w:tblPr>
      <w:tblGrid>
        <w:gridCol w:w="10260"/>
      </w:tblGrid>
      <w:tr w:rsidR="00946200" w14:paraId="57571BEA" w14:textId="77777777">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58517EA3" w14:textId="77777777" w:rsidR="00946200" w:rsidRDefault="00946200" w:rsidP="00946200">
            <w:pPr>
              <w:pStyle w:val="FormHeading1"/>
              <w:keepNext/>
              <w:rPr>
                <w:noProof w:val="0"/>
                <w:color w:val="FFFFFF"/>
                <w:sz w:val="32"/>
              </w:rPr>
            </w:pPr>
            <w:r w:rsidRPr="001D3783">
              <w:rPr>
                <w:noProof w:val="0"/>
                <w:color w:val="FFFFFF"/>
                <w:sz w:val="28"/>
              </w:rPr>
              <w:t xml:space="preserve"> </w:t>
            </w:r>
            <w:r w:rsidRPr="007F5D04">
              <w:rPr>
                <w:noProof w:val="0"/>
                <w:color w:val="FFFFFF"/>
                <w:sz w:val="32"/>
              </w:rPr>
              <w:t>request</w:t>
            </w:r>
            <w:r w:rsidRPr="001D3783">
              <w:rPr>
                <w:noProof w:val="0"/>
                <w:color w:val="FFFFFF"/>
                <w:sz w:val="32"/>
              </w:rPr>
              <w:t xml:space="preserve"> objectives</w:t>
            </w:r>
          </w:p>
          <w:p w14:paraId="49741E70" w14:textId="77777777" w:rsidR="00946200" w:rsidRDefault="00946200" w:rsidP="00946200">
            <w:pPr>
              <w:pStyle w:val="FormHeading1"/>
              <w:keepNext/>
              <w:rPr>
                <w:noProof w:val="0"/>
                <w:color w:val="FFFFFF"/>
                <w:sz w:val="32"/>
              </w:rPr>
            </w:pPr>
          </w:p>
          <w:p w14:paraId="06C085C2" w14:textId="77777777" w:rsidR="00946200" w:rsidRDefault="00946200" w:rsidP="00946200">
            <w:pPr>
              <w:pStyle w:val="FormHeading1"/>
              <w:keepNext/>
              <w:rPr>
                <w:noProof w:val="0"/>
                <w:color w:val="FFFFFF"/>
                <w:sz w:val="32"/>
              </w:rPr>
            </w:pPr>
          </w:p>
          <w:p w14:paraId="22D81981" w14:textId="77777777" w:rsidR="00946200" w:rsidRPr="001D3783" w:rsidRDefault="00946200" w:rsidP="00946200">
            <w:pPr>
              <w:pStyle w:val="FormHeading1"/>
              <w:keepNext/>
              <w:rPr>
                <w:noProof w:val="0"/>
                <w:color w:val="FFFFFF"/>
                <w:sz w:val="28"/>
              </w:rPr>
            </w:pPr>
            <w:r w:rsidRPr="001D3783">
              <w:rPr>
                <w:noProof w:val="0"/>
                <w:color w:val="FFFFFF"/>
                <w:sz w:val="32"/>
              </w:rPr>
              <w:t xml:space="preserve"> </w:t>
            </w:r>
          </w:p>
        </w:tc>
      </w:tr>
      <w:tr w:rsidR="00946200" w:rsidRPr="00243A44" w14:paraId="2192F543" w14:textId="77777777">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43D6C6BC" w14:textId="77777777" w:rsidR="00946200" w:rsidRPr="00243A44" w:rsidRDefault="00946200" w:rsidP="00946200">
            <w:pPr>
              <w:pStyle w:val="FormHeading1"/>
              <w:rPr>
                <w:smallCaps w:val="0"/>
                <w:noProof w:val="0"/>
                <w:sz w:val="16"/>
              </w:rPr>
            </w:pPr>
            <w:r>
              <w:rPr>
                <w:smallCaps w:val="0"/>
                <w:noProof w:val="0"/>
                <w:sz w:val="18"/>
              </w:rPr>
              <w:t xml:space="preserve">1. </w:t>
            </w:r>
            <w:r w:rsidR="006F34E0" w:rsidRPr="00CB7AEF">
              <w:rPr>
                <w:i/>
                <w:smallCaps w:val="0"/>
                <w:noProof w:val="0"/>
                <w:sz w:val="18"/>
              </w:rPr>
              <w:t xml:space="preserve">Strategic </w:t>
            </w:r>
            <w:r w:rsidRPr="0000556B">
              <w:rPr>
                <w:i/>
                <w:smallCaps w:val="0"/>
                <w:noProof w:val="0"/>
                <w:sz w:val="18"/>
              </w:rPr>
              <w:t>Alignment.</w:t>
            </w:r>
            <w:r>
              <w:rPr>
                <w:smallCaps w:val="0"/>
                <w:noProof w:val="0"/>
                <w:sz w:val="18"/>
              </w:rPr>
              <w:t xml:space="preserve"> Which area of ICANN’s Strategic Plan does this request support?</w:t>
            </w:r>
          </w:p>
        </w:tc>
      </w:tr>
      <w:tr w:rsidR="00946200" w14:paraId="7BB147B6" w14:textId="77777777">
        <w:trPr>
          <w:trHeight w:val="426"/>
        </w:trPr>
        <w:tc>
          <w:tcPr>
            <w:tcW w:w="10260" w:type="dxa"/>
            <w:tcBorders>
              <w:top w:val="single" w:sz="6" w:space="0" w:color="auto"/>
              <w:left w:val="single" w:sz="6" w:space="0" w:color="auto"/>
              <w:bottom w:val="single" w:sz="6" w:space="0" w:color="auto"/>
              <w:right w:val="single" w:sz="6" w:space="0" w:color="auto"/>
            </w:tcBorders>
          </w:tcPr>
          <w:p w14:paraId="1DD7D273" w14:textId="3DC21247" w:rsidR="00B1594B" w:rsidRPr="00B1594B" w:rsidRDefault="004A5FB1" w:rsidP="004A5FB1">
            <w:pPr>
              <w:rPr>
                <w:b/>
              </w:rPr>
            </w:pPr>
            <w:r>
              <w:rPr>
                <w:b/>
              </w:rPr>
              <w:t xml:space="preserve">Continuing role in Internet Governance, Stakeholder Diversity, technical and operational excellence, attracting new &amp; diverse community members, increased public participation in multi stakeholder model, widen international engagements </w:t>
            </w:r>
          </w:p>
        </w:tc>
      </w:tr>
      <w:tr w:rsidR="00946200" w:rsidRPr="00243A44" w14:paraId="6AD452E1" w14:textId="77777777">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5B190B53" w14:textId="77777777" w:rsidR="00946200" w:rsidRPr="00243A44" w:rsidRDefault="00946200" w:rsidP="00946200">
            <w:pPr>
              <w:pStyle w:val="FormHeading1"/>
              <w:rPr>
                <w:smallCaps w:val="0"/>
                <w:noProof w:val="0"/>
                <w:sz w:val="16"/>
              </w:rPr>
            </w:pPr>
            <w:r>
              <w:rPr>
                <w:smallCaps w:val="0"/>
                <w:noProof w:val="0"/>
                <w:sz w:val="18"/>
              </w:rPr>
              <w:t xml:space="preserve">2. </w:t>
            </w:r>
            <w:r w:rsidRPr="0000556B">
              <w:rPr>
                <w:i/>
                <w:smallCaps w:val="0"/>
                <w:noProof w:val="0"/>
                <w:sz w:val="18"/>
              </w:rPr>
              <w:t>Demographics.</w:t>
            </w:r>
            <w:r>
              <w:rPr>
                <w:smallCaps w:val="0"/>
                <w:noProof w:val="0"/>
                <w:sz w:val="18"/>
              </w:rPr>
              <w:t xml:space="preserve"> What audience(s), in which geographies, does your request target?</w:t>
            </w:r>
          </w:p>
        </w:tc>
      </w:tr>
      <w:tr w:rsidR="00946200" w14:paraId="3835FC06"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11BFB00B" w14:textId="77777777" w:rsidR="002E3AA2" w:rsidRDefault="002E3AA2" w:rsidP="002E3AA2">
            <w:pPr>
              <w:rPr>
                <w:b/>
              </w:rPr>
            </w:pPr>
          </w:p>
          <w:p w14:paraId="01D15A8F" w14:textId="5738D303" w:rsidR="002E3AA2" w:rsidRPr="002E3AA2" w:rsidRDefault="002E3AA2" w:rsidP="002E3AA2">
            <w:pPr>
              <w:pStyle w:val="Listenabsatz"/>
              <w:numPr>
                <w:ilvl w:val="0"/>
                <w:numId w:val="27"/>
              </w:numPr>
              <w:rPr>
                <w:b/>
              </w:rPr>
            </w:pPr>
            <w:r w:rsidRPr="002E3AA2">
              <w:rPr>
                <w:b/>
              </w:rPr>
              <w:t xml:space="preserve">People charged with the strategic direction of their company (product managers, strategists, marketing leaders, etc.) who need to understand the business impact of the DNS and shape their organization’s preferred role in the DNS value chain.   </w:t>
            </w:r>
          </w:p>
          <w:p w14:paraId="2B62E0F4" w14:textId="77777777" w:rsidR="002E3AA2" w:rsidRDefault="002E3AA2" w:rsidP="002E3AA2">
            <w:pPr>
              <w:rPr>
                <w:b/>
              </w:rPr>
            </w:pPr>
          </w:p>
          <w:p w14:paraId="6E7C78DF" w14:textId="0983E461" w:rsidR="00946200" w:rsidRPr="002E3AA2" w:rsidRDefault="002E3AA2" w:rsidP="002E3AA2">
            <w:pPr>
              <w:pStyle w:val="Listenabsatz"/>
              <w:numPr>
                <w:ilvl w:val="0"/>
                <w:numId w:val="27"/>
              </w:numPr>
              <w:rPr>
                <w:b/>
              </w:rPr>
            </w:pPr>
            <w:r w:rsidRPr="002E3AA2">
              <w:rPr>
                <w:b/>
              </w:rPr>
              <w:t>Technical</w:t>
            </w:r>
            <w:r>
              <w:rPr>
                <w:b/>
              </w:rPr>
              <w:t xml:space="preserve"> leaders</w:t>
            </w:r>
            <w:r w:rsidRPr="002E3AA2">
              <w:rPr>
                <w:b/>
              </w:rPr>
              <w:t xml:space="preserve"> who need to understand and </w:t>
            </w:r>
            <w:r>
              <w:rPr>
                <w:b/>
              </w:rPr>
              <w:t>address</w:t>
            </w:r>
            <w:r w:rsidRPr="002E3AA2">
              <w:rPr>
                <w:b/>
              </w:rPr>
              <w:t xml:space="preserve"> security, stability and reliability </w:t>
            </w:r>
            <w:r>
              <w:rPr>
                <w:b/>
              </w:rPr>
              <w:t xml:space="preserve">issues </w:t>
            </w:r>
            <w:r w:rsidRPr="002E3AA2">
              <w:rPr>
                <w:b/>
              </w:rPr>
              <w:t>of the domain name and numbering systems.</w:t>
            </w:r>
          </w:p>
        </w:tc>
      </w:tr>
      <w:tr w:rsidR="00946200" w:rsidRPr="00243A44" w14:paraId="7740D86C"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0A123325" w14:textId="77777777" w:rsidR="00946200" w:rsidRDefault="00542865" w:rsidP="00CD143C">
            <w:pPr>
              <w:pStyle w:val="FormHeading1"/>
              <w:rPr>
                <w:smallCaps w:val="0"/>
                <w:noProof w:val="0"/>
                <w:sz w:val="18"/>
              </w:rPr>
            </w:pPr>
            <w:r>
              <w:rPr>
                <w:smallCaps w:val="0"/>
                <w:noProof w:val="0"/>
                <w:sz w:val="18"/>
              </w:rPr>
              <w:t>3</w:t>
            </w:r>
            <w:r w:rsidR="00946200">
              <w:rPr>
                <w:smallCaps w:val="0"/>
                <w:noProof w:val="0"/>
                <w:sz w:val="18"/>
              </w:rPr>
              <w:t xml:space="preserve">. </w:t>
            </w:r>
            <w:r w:rsidR="00CD143C">
              <w:rPr>
                <w:i/>
                <w:smallCaps w:val="0"/>
                <w:noProof w:val="0"/>
                <w:sz w:val="18"/>
              </w:rPr>
              <w:t>Deliverables</w:t>
            </w:r>
            <w:r w:rsidR="00946200" w:rsidRPr="0000556B">
              <w:rPr>
                <w:i/>
                <w:smallCaps w:val="0"/>
                <w:noProof w:val="0"/>
                <w:sz w:val="18"/>
              </w:rPr>
              <w:t>.</w:t>
            </w:r>
            <w:r w:rsidR="00946200">
              <w:rPr>
                <w:smallCaps w:val="0"/>
                <w:noProof w:val="0"/>
                <w:sz w:val="18"/>
              </w:rPr>
              <w:t xml:space="preserve"> What </w:t>
            </w:r>
            <w:r w:rsidR="00CD143C">
              <w:rPr>
                <w:smallCaps w:val="0"/>
                <w:noProof w:val="0"/>
                <w:sz w:val="18"/>
              </w:rPr>
              <w:t>are the desired outcomes of your proposed activity</w:t>
            </w:r>
            <w:r w:rsidR="00946200">
              <w:rPr>
                <w:smallCaps w:val="0"/>
                <w:noProof w:val="0"/>
                <w:sz w:val="18"/>
              </w:rPr>
              <w:t>?</w:t>
            </w:r>
          </w:p>
        </w:tc>
      </w:tr>
      <w:tr w:rsidR="00946200" w:rsidRPr="00243A44" w14:paraId="71139C74"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FFFFFF"/>
          </w:tcPr>
          <w:p w14:paraId="0DBB9A1A" w14:textId="4C656B4A" w:rsidR="00946200" w:rsidRDefault="004A5FB1" w:rsidP="004A5FB1">
            <w:pPr>
              <w:pStyle w:val="FormHeading1"/>
              <w:rPr>
                <w:smallCaps w:val="0"/>
                <w:noProof w:val="0"/>
                <w:sz w:val="18"/>
              </w:rPr>
            </w:pPr>
            <w:r>
              <w:rPr>
                <w:smallCaps w:val="0"/>
                <w:noProof w:val="0"/>
                <w:sz w:val="18"/>
              </w:rPr>
              <w:t>B</w:t>
            </w:r>
            <w:r w:rsidR="007836DD">
              <w:rPr>
                <w:smallCaps w:val="0"/>
                <w:noProof w:val="0"/>
                <w:sz w:val="18"/>
              </w:rPr>
              <w:t>roadening the reach of, and participation in, the ISPCP constituency</w:t>
            </w:r>
            <w:r>
              <w:rPr>
                <w:smallCaps w:val="0"/>
                <w:noProof w:val="0"/>
                <w:sz w:val="18"/>
              </w:rPr>
              <w:t xml:space="preserve"> in order to enhance </w:t>
            </w:r>
            <w:r w:rsidR="0094114F">
              <w:rPr>
                <w:smallCaps w:val="0"/>
                <w:noProof w:val="0"/>
                <w:sz w:val="18"/>
              </w:rPr>
              <w:t xml:space="preserve"> </w:t>
            </w:r>
            <w:r>
              <w:rPr>
                <w:smallCaps w:val="0"/>
                <w:noProof w:val="0"/>
                <w:sz w:val="18"/>
              </w:rPr>
              <w:t>international DNS cooperation, support participation in the multi-stakeholder model and act in the global public interest</w:t>
            </w:r>
          </w:p>
        </w:tc>
      </w:tr>
      <w:tr w:rsidR="00946200" w:rsidRPr="00243A44" w14:paraId="1A2DA697"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1865F326" w14:textId="77777777" w:rsidR="00946200" w:rsidRPr="00243A44" w:rsidRDefault="00542865" w:rsidP="006F34E0">
            <w:pPr>
              <w:pStyle w:val="FormHeading1"/>
              <w:rPr>
                <w:smallCaps w:val="0"/>
                <w:noProof w:val="0"/>
                <w:sz w:val="16"/>
              </w:rPr>
            </w:pPr>
            <w:r>
              <w:rPr>
                <w:smallCaps w:val="0"/>
                <w:noProof w:val="0"/>
                <w:sz w:val="18"/>
              </w:rPr>
              <w:t>4</w:t>
            </w:r>
            <w:r w:rsidR="00946200">
              <w:rPr>
                <w:smallCaps w:val="0"/>
                <w:noProof w:val="0"/>
                <w:sz w:val="18"/>
              </w:rPr>
              <w:t xml:space="preserve">. </w:t>
            </w:r>
            <w:r w:rsidR="00946200" w:rsidRPr="0000556B">
              <w:rPr>
                <w:i/>
                <w:smallCaps w:val="0"/>
                <w:noProof w:val="0"/>
                <w:sz w:val="18"/>
              </w:rPr>
              <w:t>Metrics.</w:t>
            </w:r>
            <w:r w:rsidR="00946200">
              <w:rPr>
                <w:smallCaps w:val="0"/>
                <w:noProof w:val="0"/>
                <w:sz w:val="18"/>
              </w:rPr>
              <w:t xml:space="preserve"> What measurements will you use to determine whether your activity </w:t>
            </w:r>
            <w:r w:rsidR="006F34E0">
              <w:rPr>
                <w:smallCaps w:val="0"/>
                <w:noProof w:val="0"/>
                <w:sz w:val="18"/>
              </w:rPr>
              <w:t>achieves its desired outcomes</w:t>
            </w:r>
            <w:r w:rsidR="00946200">
              <w:rPr>
                <w:smallCaps w:val="0"/>
                <w:noProof w:val="0"/>
                <w:sz w:val="18"/>
              </w:rPr>
              <w:t>?</w:t>
            </w:r>
          </w:p>
        </w:tc>
      </w:tr>
      <w:tr w:rsidR="00946200" w14:paraId="50B289B7"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07119783" w14:textId="4C159CFE" w:rsidR="007C1D31" w:rsidRPr="003073A6" w:rsidRDefault="0094114F" w:rsidP="003073A6">
            <w:pPr>
              <w:pStyle w:val="Listenabsatz"/>
              <w:numPr>
                <w:ilvl w:val="0"/>
                <w:numId w:val="28"/>
              </w:numPr>
              <w:rPr>
                <w:b/>
              </w:rPr>
            </w:pPr>
            <w:r w:rsidRPr="003073A6">
              <w:rPr>
                <w:b/>
              </w:rPr>
              <w:t xml:space="preserve">Number of active </w:t>
            </w:r>
            <w:r w:rsidR="004A5FB1">
              <w:rPr>
                <w:b/>
              </w:rPr>
              <w:t>constituency members</w:t>
            </w:r>
          </w:p>
          <w:p w14:paraId="12CEAF59" w14:textId="7CBFDE8B" w:rsidR="00342C9F" w:rsidRDefault="00342C9F" w:rsidP="003073A6">
            <w:pPr>
              <w:pStyle w:val="Listenabsatz"/>
              <w:numPr>
                <w:ilvl w:val="0"/>
                <w:numId w:val="28"/>
              </w:numPr>
              <w:rPr>
                <w:b/>
              </w:rPr>
            </w:pPr>
            <w:r>
              <w:rPr>
                <w:b/>
              </w:rPr>
              <w:t>Participants in DNS security, stability and reliability policy and technical standards working groups (and follow-on activities that flow from those groups)</w:t>
            </w:r>
          </w:p>
          <w:p w14:paraId="142C1CBE" w14:textId="4411D1DF" w:rsidR="00342C9F" w:rsidRDefault="00342C9F" w:rsidP="003073A6">
            <w:pPr>
              <w:pStyle w:val="Listenabsatz"/>
              <w:numPr>
                <w:ilvl w:val="0"/>
                <w:numId w:val="28"/>
              </w:numPr>
              <w:rPr>
                <w:b/>
              </w:rPr>
            </w:pPr>
            <w:r>
              <w:rPr>
                <w:b/>
              </w:rPr>
              <w:t>Participants in cross-stakeholder processes in the multi-stakeholder model</w:t>
            </w:r>
          </w:p>
          <w:p w14:paraId="645CA1A8" w14:textId="60358C0E" w:rsidR="00342C9F" w:rsidRPr="003073A6" w:rsidRDefault="00342C9F" w:rsidP="003073A6">
            <w:pPr>
              <w:pStyle w:val="Listenabsatz"/>
              <w:numPr>
                <w:ilvl w:val="0"/>
                <w:numId w:val="28"/>
              </w:numPr>
              <w:rPr>
                <w:b/>
              </w:rPr>
            </w:pPr>
            <w:r>
              <w:rPr>
                <w:b/>
              </w:rPr>
              <w:t>Participants in international Internet governance events</w:t>
            </w:r>
            <w:r w:rsidR="00440AEB">
              <w:rPr>
                <w:b/>
              </w:rPr>
              <w:t xml:space="preserve"> (such as IGF</w:t>
            </w:r>
            <w:r w:rsidR="00F11769">
              <w:rPr>
                <w:b/>
              </w:rPr>
              <w:t>)</w:t>
            </w:r>
          </w:p>
        </w:tc>
      </w:tr>
    </w:tbl>
    <w:p w14:paraId="6C5A0998" w14:textId="77777777" w:rsidR="00B91DDC" w:rsidRDefault="00B91DDC"/>
    <w:p w14:paraId="552EFD6F" w14:textId="77777777" w:rsidR="00B91DDC" w:rsidRDefault="00B91DDC"/>
    <w:p w14:paraId="06BD76DA" w14:textId="77777777" w:rsidR="00B91DDC" w:rsidRDefault="00B91DDC"/>
    <w:p w14:paraId="2D852F69" w14:textId="77777777" w:rsidR="00B91DDC" w:rsidRDefault="00B91DDC"/>
    <w:p w14:paraId="69789B0B" w14:textId="77777777" w:rsidR="00B91DDC" w:rsidRDefault="00B91DDC"/>
    <w:p w14:paraId="52E0F546" w14:textId="77777777" w:rsidR="00B91DDC" w:rsidRDefault="00B91DDC"/>
    <w:p w14:paraId="1B2E5713" w14:textId="77777777" w:rsidR="00946200" w:rsidRDefault="00946200"/>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946200" w14:paraId="34772DCD" w14:textId="77777777">
        <w:trPr>
          <w:cantSplit/>
          <w:trHeight w:hRule="exact" w:val="618"/>
        </w:trPr>
        <w:tc>
          <w:tcPr>
            <w:tcW w:w="10260" w:type="dxa"/>
            <w:tcBorders>
              <w:top w:val="single" w:sz="6" w:space="0" w:color="auto"/>
              <w:bottom w:val="nil"/>
            </w:tcBorders>
            <w:shd w:val="clear" w:color="auto" w:fill="808080"/>
          </w:tcPr>
          <w:p w14:paraId="5BCF22CE" w14:textId="77777777" w:rsidR="00946200" w:rsidRDefault="001B203B" w:rsidP="00F838DA">
            <w:pPr>
              <w:pStyle w:val="FormHeading1"/>
              <w:keepNext/>
              <w:rPr>
                <w:noProof w:val="0"/>
                <w:color w:val="FFFFFF"/>
              </w:rPr>
            </w:pPr>
            <w:r>
              <w:rPr>
                <w:noProof w:val="0"/>
                <w:color w:val="FFFFFF"/>
                <w:sz w:val="32"/>
              </w:rPr>
              <w:t>Resource Planning</w:t>
            </w:r>
            <w:r w:rsidR="00F838DA">
              <w:rPr>
                <w:noProof w:val="0"/>
                <w:color w:val="FFFFFF"/>
                <w:sz w:val="32"/>
              </w:rPr>
              <w:t xml:space="preserve"> – incremental to accommodate  this request </w:t>
            </w:r>
          </w:p>
        </w:tc>
      </w:tr>
      <w:tr w:rsidR="00946200" w:rsidRPr="00243A44" w14:paraId="2FC0AC21" w14:textId="77777777">
        <w:trPr>
          <w:cantSplit/>
        </w:trPr>
        <w:tc>
          <w:tcPr>
            <w:tcW w:w="10260" w:type="dxa"/>
            <w:tcBorders>
              <w:top w:val="nil"/>
              <w:bottom w:val="single" w:sz="6" w:space="0" w:color="auto"/>
            </w:tcBorders>
            <w:shd w:val="clear" w:color="auto" w:fill="C0C0C0"/>
          </w:tcPr>
          <w:p w14:paraId="5B24D9B4" w14:textId="77777777" w:rsidR="00946200" w:rsidRPr="00243A44" w:rsidRDefault="001B203B" w:rsidP="006F34E0">
            <w:pPr>
              <w:pStyle w:val="FormHeading1"/>
              <w:rPr>
                <w:smallCaps w:val="0"/>
                <w:noProof w:val="0"/>
                <w:sz w:val="16"/>
              </w:rPr>
            </w:pPr>
            <w:r>
              <w:rPr>
                <w:smallCaps w:val="0"/>
                <w:noProof w:val="0"/>
                <w:sz w:val="18"/>
              </w:rPr>
              <w:t>Staff</w:t>
            </w:r>
            <w:r w:rsidR="00946200" w:rsidRPr="003601B5">
              <w:rPr>
                <w:smallCaps w:val="0"/>
                <w:noProof w:val="0"/>
                <w:sz w:val="18"/>
              </w:rPr>
              <w:t xml:space="preserve"> Support</w:t>
            </w:r>
            <w:r w:rsidR="00A32217">
              <w:rPr>
                <w:smallCaps w:val="0"/>
                <w:noProof w:val="0"/>
                <w:sz w:val="18"/>
              </w:rPr>
              <w:t xml:space="preserve"> </w:t>
            </w:r>
            <w:r w:rsidR="006F34E0">
              <w:rPr>
                <w:smallCaps w:val="0"/>
                <w:noProof w:val="0"/>
                <w:sz w:val="18"/>
              </w:rPr>
              <w:t xml:space="preserve">Needed </w:t>
            </w:r>
            <w:r w:rsidR="00A32217">
              <w:rPr>
                <w:smallCaps w:val="0"/>
                <w:noProof w:val="0"/>
                <w:sz w:val="18"/>
              </w:rPr>
              <w:t>(</w:t>
            </w:r>
            <w:r w:rsidR="006F34E0">
              <w:rPr>
                <w:smallCaps w:val="0"/>
                <w:noProof w:val="0"/>
                <w:sz w:val="18"/>
              </w:rPr>
              <w:t>not including</w:t>
            </w:r>
            <w:r w:rsidR="00A32217">
              <w:rPr>
                <w:smallCaps w:val="0"/>
                <w:noProof w:val="0"/>
                <w:sz w:val="18"/>
              </w:rPr>
              <w:t xml:space="preserve"> subject matter expert</w:t>
            </w:r>
            <w:r w:rsidR="006F34E0">
              <w:rPr>
                <w:smallCaps w:val="0"/>
                <w:noProof w:val="0"/>
                <w:sz w:val="18"/>
              </w:rPr>
              <w:t>ise</w:t>
            </w:r>
            <w:r w:rsidR="00A32217">
              <w:rPr>
                <w:smallCaps w:val="0"/>
                <w:noProof w:val="0"/>
                <w:sz w:val="18"/>
              </w:rPr>
              <w:t>)</w:t>
            </w:r>
            <w:r w:rsidR="00946200" w:rsidRPr="003601B5">
              <w:rPr>
                <w:smallCaps w:val="0"/>
                <w:noProof w:val="0"/>
                <w:sz w:val="18"/>
              </w:rPr>
              <w:t>:</w:t>
            </w:r>
            <w:r w:rsidR="00946200">
              <w:rPr>
                <w:smallCaps w:val="0"/>
                <w:noProof w:val="0"/>
                <w:sz w:val="16"/>
              </w:rPr>
              <w:t xml:space="preserve"> </w:t>
            </w:r>
          </w:p>
        </w:tc>
      </w:tr>
      <w:tr w:rsidR="00946200" w14:paraId="299BEC48" w14:textId="77777777" w:rsidTr="003223B8">
        <w:trPr>
          <w:trHeight w:val="1083"/>
        </w:trPr>
        <w:tc>
          <w:tcPr>
            <w:tcW w:w="10260" w:type="dxa"/>
            <w:tcBorders>
              <w:bottom w:val="single" w:sz="4" w:space="0" w:color="auto"/>
            </w:tcBorders>
          </w:tcPr>
          <w:tbl>
            <w:tblPr>
              <w:tblStyle w:val="Tabellenraster"/>
              <w:tblW w:w="10048" w:type="dxa"/>
              <w:tblLayout w:type="fixed"/>
              <w:tblLook w:val="04A0" w:firstRow="1" w:lastRow="0" w:firstColumn="1" w:lastColumn="0" w:noHBand="0" w:noVBand="1"/>
            </w:tblPr>
            <w:tblGrid>
              <w:gridCol w:w="2009"/>
              <w:gridCol w:w="2010"/>
              <w:gridCol w:w="2009"/>
              <w:gridCol w:w="2010"/>
              <w:gridCol w:w="2010"/>
            </w:tblGrid>
            <w:tr w:rsidR="003223B8" w14:paraId="49316E0A" w14:textId="77777777" w:rsidTr="003223B8">
              <w:trPr>
                <w:trHeight w:val="251"/>
              </w:trPr>
              <w:tc>
                <w:tcPr>
                  <w:tcW w:w="2009" w:type="dxa"/>
                  <w:tcBorders>
                    <w:top w:val="nil"/>
                    <w:left w:val="single" w:sz="12" w:space="0" w:color="auto"/>
                    <w:bottom w:val="single" w:sz="12" w:space="0" w:color="auto"/>
                    <w:right w:val="single" w:sz="12" w:space="0" w:color="auto"/>
                  </w:tcBorders>
                  <w:vAlign w:val="center"/>
                </w:tcPr>
                <w:p w14:paraId="0D982A62" w14:textId="77777777" w:rsidR="003223B8" w:rsidRPr="003223B8" w:rsidRDefault="003223B8" w:rsidP="003223B8">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219EB484" w14:textId="77777777" w:rsidR="003223B8" w:rsidRPr="003223B8" w:rsidRDefault="003223B8" w:rsidP="003223B8">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607FE74B" w14:textId="77777777" w:rsidR="003223B8" w:rsidRPr="003223B8" w:rsidRDefault="003223B8" w:rsidP="003223B8">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25D9230E" w14:textId="77777777" w:rsidR="003223B8" w:rsidRPr="003223B8" w:rsidRDefault="003223B8" w:rsidP="003223B8">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16229EC3" w14:textId="77777777" w:rsidR="003223B8" w:rsidRPr="003223B8" w:rsidRDefault="003223B8" w:rsidP="003223B8">
                  <w:pPr>
                    <w:pStyle w:val="TableText"/>
                    <w:jc w:val="center"/>
                    <w:rPr>
                      <w:b/>
                      <w:noProof w:val="0"/>
                      <w:sz w:val="18"/>
                      <w:szCs w:val="18"/>
                    </w:rPr>
                  </w:pPr>
                  <w:r w:rsidRPr="003223B8">
                    <w:rPr>
                      <w:b/>
                      <w:noProof w:val="0"/>
                      <w:sz w:val="18"/>
                      <w:szCs w:val="18"/>
                    </w:rPr>
                    <w:t>Additional Comments</w:t>
                  </w:r>
                </w:p>
              </w:tc>
            </w:tr>
            <w:tr w:rsidR="00067B0F" w:rsidRPr="00067B0F" w14:paraId="74EA5275" w14:textId="77777777" w:rsidTr="00E31743">
              <w:trPr>
                <w:trHeight w:val="251"/>
              </w:trPr>
              <w:tc>
                <w:tcPr>
                  <w:tcW w:w="2009" w:type="dxa"/>
                  <w:tcBorders>
                    <w:top w:val="single" w:sz="2" w:space="0" w:color="auto"/>
                    <w:left w:val="single" w:sz="12" w:space="0" w:color="auto"/>
                    <w:bottom w:val="single" w:sz="2" w:space="0" w:color="auto"/>
                    <w:right w:val="single" w:sz="12" w:space="0" w:color="auto"/>
                  </w:tcBorders>
                </w:tcPr>
                <w:p w14:paraId="45E74AA4" w14:textId="77777777" w:rsidR="00E31743" w:rsidRPr="00067B0F" w:rsidRDefault="00E31743" w:rsidP="00E31743">
                  <w:pPr>
                    <w:pStyle w:val="TableText"/>
                    <w:rPr>
                      <w:noProof w:val="0"/>
                    </w:rPr>
                  </w:pPr>
                  <w:r w:rsidRPr="00067B0F">
                    <w:rPr>
                      <w:i/>
                      <w:noProof w:val="0"/>
                    </w:rPr>
                    <w:t>Conduct Global Outreach events</w:t>
                  </w:r>
                </w:p>
              </w:tc>
              <w:tc>
                <w:tcPr>
                  <w:tcW w:w="2010" w:type="dxa"/>
                  <w:tcBorders>
                    <w:left w:val="single" w:sz="12" w:space="0" w:color="auto"/>
                  </w:tcBorders>
                </w:tcPr>
                <w:p w14:paraId="55274D78" w14:textId="124926ED" w:rsidR="00E31743" w:rsidRPr="00067B0F" w:rsidRDefault="00067B0F" w:rsidP="00E31743">
                  <w:pPr>
                    <w:pStyle w:val="TableText"/>
                    <w:rPr>
                      <w:noProof w:val="0"/>
                    </w:rPr>
                  </w:pPr>
                  <w:r>
                    <w:rPr>
                      <w:i/>
                      <w:noProof w:val="0"/>
                    </w:rPr>
                    <w:t>FY15</w:t>
                  </w:r>
                  <w:r w:rsidR="00E31743" w:rsidRPr="00067B0F">
                    <w:rPr>
                      <w:i/>
                      <w:noProof w:val="0"/>
                    </w:rPr>
                    <w:t xml:space="preserve"> – all year.  </w:t>
                  </w:r>
                </w:p>
              </w:tc>
              <w:tc>
                <w:tcPr>
                  <w:tcW w:w="2009" w:type="dxa"/>
                </w:tcPr>
                <w:p w14:paraId="5FD3D0E7" w14:textId="77777777" w:rsidR="00E31743" w:rsidRPr="00067B0F" w:rsidRDefault="00E31743" w:rsidP="00E31743">
                  <w:pPr>
                    <w:pStyle w:val="TableText"/>
                    <w:rPr>
                      <w:noProof w:val="0"/>
                    </w:rPr>
                  </w:pPr>
                  <w:r w:rsidRPr="00067B0F">
                    <w:rPr>
                      <w:i/>
                      <w:noProof w:val="0"/>
                    </w:rPr>
                    <w:t>Event coordinators</w:t>
                  </w:r>
                </w:p>
              </w:tc>
              <w:tc>
                <w:tcPr>
                  <w:tcW w:w="2010" w:type="dxa"/>
                </w:tcPr>
                <w:p w14:paraId="5C0225BA" w14:textId="77777777" w:rsidR="00E31743" w:rsidRPr="00067B0F" w:rsidRDefault="00E31743" w:rsidP="00E31743">
                  <w:pPr>
                    <w:pStyle w:val="TableText"/>
                    <w:rPr>
                      <w:noProof w:val="0"/>
                    </w:rPr>
                  </w:pPr>
                  <w:r w:rsidRPr="00067B0F">
                    <w:rPr>
                      <w:i/>
                      <w:noProof w:val="0"/>
                    </w:rPr>
                    <w:t>2-4 hours/event (only for events where an ISPCP representative is deemed a useful addition in the event) – est. 2 events</w:t>
                  </w:r>
                </w:p>
              </w:tc>
              <w:tc>
                <w:tcPr>
                  <w:tcW w:w="2010" w:type="dxa"/>
                  <w:tcBorders>
                    <w:right w:val="single" w:sz="12" w:space="0" w:color="auto"/>
                  </w:tcBorders>
                </w:tcPr>
                <w:p w14:paraId="596E3B6B" w14:textId="77777777" w:rsidR="00E31743" w:rsidRPr="00067B0F" w:rsidRDefault="00E31743" w:rsidP="00E31743">
                  <w:pPr>
                    <w:pStyle w:val="TableText"/>
                    <w:rPr>
                      <w:noProof w:val="0"/>
                    </w:rPr>
                  </w:pPr>
                </w:p>
              </w:tc>
            </w:tr>
            <w:tr w:rsidR="00067B0F" w:rsidRPr="00067B0F" w14:paraId="4D538572" w14:textId="77777777" w:rsidTr="00147F2C">
              <w:trPr>
                <w:trHeight w:val="251"/>
              </w:trPr>
              <w:tc>
                <w:tcPr>
                  <w:tcW w:w="2009" w:type="dxa"/>
                  <w:tcBorders>
                    <w:top w:val="single" w:sz="2" w:space="0" w:color="auto"/>
                    <w:left w:val="single" w:sz="12" w:space="0" w:color="auto"/>
                    <w:bottom w:val="single" w:sz="2" w:space="0" w:color="auto"/>
                    <w:right w:val="single" w:sz="12" w:space="0" w:color="auto"/>
                  </w:tcBorders>
                </w:tcPr>
                <w:p w14:paraId="1A94ECE6" w14:textId="3E89A820" w:rsidR="00B61920" w:rsidRPr="00067B0F" w:rsidRDefault="006973AB" w:rsidP="00147F2C">
                  <w:pPr>
                    <w:pStyle w:val="TableText"/>
                    <w:rPr>
                      <w:noProof w:val="0"/>
                    </w:rPr>
                  </w:pPr>
                  <w:r w:rsidRPr="00067B0F">
                    <w:rPr>
                      <w:i/>
                      <w:noProof w:val="0"/>
                    </w:rPr>
                    <w:t>Conduct new-member onboarding activities</w:t>
                  </w:r>
                </w:p>
              </w:tc>
              <w:tc>
                <w:tcPr>
                  <w:tcW w:w="2010" w:type="dxa"/>
                  <w:tcBorders>
                    <w:left w:val="single" w:sz="12" w:space="0" w:color="auto"/>
                  </w:tcBorders>
                </w:tcPr>
                <w:p w14:paraId="5E50E12F" w14:textId="5B75BCC1" w:rsidR="00B61920" w:rsidRPr="00067B0F" w:rsidRDefault="00067B0F" w:rsidP="00B53AAB">
                  <w:pPr>
                    <w:pStyle w:val="TableText"/>
                    <w:rPr>
                      <w:noProof w:val="0"/>
                    </w:rPr>
                  </w:pPr>
                  <w:r>
                    <w:rPr>
                      <w:i/>
                      <w:noProof w:val="0"/>
                    </w:rPr>
                    <w:t>FY15</w:t>
                  </w:r>
                  <w:r w:rsidR="00B61920" w:rsidRPr="00067B0F">
                    <w:rPr>
                      <w:i/>
                      <w:noProof w:val="0"/>
                    </w:rPr>
                    <w:t xml:space="preserve"> – all year.  </w:t>
                  </w:r>
                </w:p>
              </w:tc>
              <w:tc>
                <w:tcPr>
                  <w:tcW w:w="2009" w:type="dxa"/>
                </w:tcPr>
                <w:p w14:paraId="5FDBB9AA" w14:textId="20033859" w:rsidR="00B61920" w:rsidRPr="00067B0F" w:rsidRDefault="006973AB" w:rsidP="00147F2C">
                  <w:pPr>
                    <w:pStyle w:val="TableText"/>
                    <w:rPr>
                      <w:noProof w:val="0"/>
                    </w:rPr>
                  </w:pPr>
                  <w:r w:rsidRPr="00067B0F">
                    <w:rPr>
                      <w:i/>
                      <w:noProof w:val="0"/>
                    </w:rPr>
                    <w:t>Collaboration between ISPCP leaders and Global Outreach staff</w:t>
                  </w:r>
                </w:p>
              </w:tc>
              <w:tc>
                <w:tcPr>
                  <w:tcW w:w="2010" w:type="dxa"/>
                </w:tcPr>
                <w:p w14:paraId="0B6E96B0" w14:textId="1D82609B" w:rsidR="00B61920" w:rsidRPr="00067B0F" w:rsidRDefault="006973AB" w:rsidP="00B53AAB">
                  <w:pPr>
                    <w:pStyle w:val="TableText"/>
                    <w:rPr>
                      <w:noProof w:val="0"/>
                    </w:rPr>
                  </w:pPr>
                  <w:r w:rsidRPr="00067B0F">
                    <w:rPr>
                      <w:i/>
                      <w:noProof w:val="0"/>
                    </w:rPr>
                    <w:t>2-4 hours/month</w:t>
                  </w:r>
                </w:p>
              </w:tc>
              <w:tc>
                <w:tcPr>
                  <w:tcW w:w="2010" w:type="dxa"/>
                  <w:tcBorders>
                    <w:right w:val="single" w:sz="12" w:space="0" w:color="auto"/>
                  </w:tcBorders>
                </w:tcPr>
                <w:p w14:paraId="2C978EF1" w14:textId="2FA0CBAD" w:rsidR="00B61920" w:rsidRPr="00067B0F" w:rsidRDefault="00B61920" w:rsidP="00147F2C">
                  <w:pPr>
                    <w:pStyle w:val="TableText"/>
                    <w:rPr>
                      <w:noProof w:val="0"/>
                    </w:rPr>
                  </w:pPr>
                </w:p>
              </w:tc>
            </w:tr>
          </w:tbl>
          <w:p w14:paraId="6959804D" w14:textId="77777777" w:rsidR="00812455" w:rsidRDefault="00812455" w:rsidP="00946200">
            <w:pPr>
              <w:pStyle w:val="TableText"/>
              <w:rPr>
                <w:noProof w:val="0"/>
              </w:rPr>
            </w:pPr>
          </w:p>
        </w:tc>
      </w:tr>
      <w:tr w:rsidR="00946200" w14:paraId="4DAFB8D5" w14:textId="77777777">
        <w:tc>
          <w:tcPr>
            <w:tcW w:w="10260" w:type="dxa"/>
            <w:tcBorders>
              <w:top w:val="nil"/>
              <w:bottom w:val="single" w:sz="6" w:space="0" w:color="auto"/>
            </w:tcBorders>
            <w:shd w:val="clear" w:color="auto" w:fill="C0C0C0"/>
          </w:tcPr>
          <w:p w14:paraId="5DC4459E" w14:textId="77777777" w:rsidR="00946200" w:rsidRDefault="001B203B" w:rsidP="00A8570C">
            <w:pPr>
              <w:pStyle w:val="FormHeading1"/>
              <w:rPr>
                <w:noProof w:val="0"/>
              </w:rPr>
            </w:pPr>
            <w:r>
              <w:rPr>
                <w:smallCaps w:val="0"/>
                <w:noProof w:val="0"/>
                <w:sz w:val="18"/>
              </w:rPr>
              <w:t xml:space="preserve">Subject </w:t>
            </w:r>
            <w:r w:rsidR="00A8570C">
              <w:rPr>
                <w:smallCaps w:val="0"/>
                <w:noProof w:val="0"/>
                <w:sz w:val="18"/>
              </w:rPr>
              <w:t>Matter Expert Support</w:t>
            </w:r>
            <w:r w:rsidR="00946200">
              <w:rPr>
                <w:smallCaps w:val="0"/>
                <w:noProof w:val="0"/>
                <w:sz w:val="18"/>
              </w:rPr>
              <w:t>:</w:t>
            </w:r>
          </w:p>
        </w:tc>
      </w:tr>
      <w:tr w:rsidR="00067B0F" w:rsidRPr="00067B0F" w14:paraId="20410C36" w14:textId="77777777" w:rsidTr="005A15AF">
        <w:trPr>
          <w:trHeight w:val="1272"/>
        </w:trPr>
        <w:tc>
          <w:tcPr>
            <w:tcW w:w="10260" w:type="dxa"/>
            <w:tcBorders>
              <w:left w:val="single" w:sz="6" w:space="0" w:color="auto"/>
              <w:bottom w:val="single" w:sz="4" w:space="0" w:color="auto"/>
              <w:right w:val="single" w:sz="6" w:space="0" w:color="auto"/>
            </w:tcBorders>
          </w:tcPr>
          <w:p w14:paraId="69529593" w14:textId="06D72AC5" w:rsidR="00812455" w:rsidRPr="00067B0F" w:rsidRDefault="006973AB" w:rsidP="006973AB">
            <w:pPr>
              <w:pStyle w:val="TableText"/>
              <w:rPr>
                <w:i/>
                <w:noProof w:val="0"/>
              </w:rPr>
            </w:pPr>
            <w:r w:rsidRPr="00067B0F">
              <w:rPr>
                <w:i/>
                <w:noProof w:val="0"/>
              </w:rPr>
              <w:t>ISPCP members (who will participate as zero-cost volunteers) will provide subject matter expertise</w:t>
            </w:r>
            <w:r w:rsidR="00B53AAB" w:rsidRPr="00067B0F">
              <w:rPr>
                <w:i/>
                <w:noProof w:val="0"/>
              </w:rPr>
              <w:t xml:space="preserve">.  </w:t>
            </w:r>
          </w:p>
        </w:tc>
      </w:tr>
      <w:tr w:rsidR="00946200" w14:paraId="545E1903" w14:textId="77777777">
        <w:tc>
          <w:tcPr>
            <w:tcW w:w="10260" w:type="dxa"/>
            <w:tcBorders>
              <w:top w:val="nil"/>
              <w:bottom w:val="single" w:sz="6" w:space="0" w:color="auto"/>
            </w:tcBorders>
            <w:shd w:val="clear" w:color="auto" w:fill="C0C0C0"/>
          </w:tcPr>
          <w:p w14:paraId="7A7E24FE" w14:textId="77777777" w:rsidR="00946200" w:rsidRDefault="001B203B" w:rsidP="006E71B7">
            <w:pPr>
              <w:pStyle w:val="FormHeading1"/>
              <w:rPr>
                <w:noProof w:val="0"/>
              </w:rPr>
            </w:pPr>
            <w:r>
              <w:rPr>
                <w:smallCaps w:val="0"/>
                <w:noProof w:val="0"/>
                <w:sz w:val="18"/>
              </w:rPr>
              <w:t>Te</w:t>
            </w:r>
            <w:r w:rsidR="006F34E0">
              <w:rPr>
                <w:smallCaps w:val="0"/>
                <w:noProof w:val="0"/>
                <w:sz w:val="18"/>
              </w:rPr>
              <w:t>chnology</w:t>
            </w:r>
            <w:r w:rsidR="00946200" w:rsidRPr="003601B5">
              <w:rPr>
                <w:smallCaps w:val="0"/>
                <w:noProof w:val="0"/>
                <w:sz w:val="18"/>
              </w:rPr>
              <w:t xml:space="preserve"> Support:</w:t>
            </w:r>
            <w:r w:rsidR="006E71B7">
              <w:rPr>
                <w:smallCaps w:val="0"/>
                <w:noProof w:val="0"/>
                <w:sz w:val="18"/>
              </w:rPr>
              <w:t xml:space="preserve"> </w:t>
            </w:r>
            <w:r w:rsidR="006F34E0">
              <w:rPr>
                <w:smallCaps w:val="0"/>
                <w:noProof w:val="0"/>
                <w:sz w:val="18"/>
              </w:rPr>
              <w:t xml:space="preserve">(telephone, Adobe Connect, web </w:t>
            </w:r>
            <w:r w:rsidR="00F838DA">
              <w:rPr>
                <w:smallCaps w:val="0"/>
                <w:noProof w:val="0"/>
                <w:sz w:val="18"/>
              </w:rPr>
              <w:t>streaming, etc.</w:t>
            </w:r>
            <w:r w:rsidR="006F34E0">
              <w:rPr>
                <w:smallCaps w:val="0"/>
                <w:noProof w:val="0"/>
                <w:sz w:val="18"/>
              </w:rPr>
              <w:t>)</w:t>
            </w:r>
          </w:p>
        </w:tc>
      </w:tr>
      <w:tr w:rsidR="00946200" w14:paraId="45A3B922" w14:textId="77777777" w:rsidTr="005A15AF">
        <w:trPr>
          <w:trHeight w:val="1263"/>
        </w:trPr>
        <w:tc>
          <w:tcPr>
            <w:tcW w:w="10260" w:type="dxa"/>
            <w:tcBorders>
              <w:left w:val="single" w:sz="6" w:space="0" w:color="auto"/>
              <w:right w:val="single" w:sz="6" w:space="0" w:color="auto"/>
            </w:tcBorders>
          </w:tcPr>
          <w:p w14:paraId="282A2092" w14:textId="77777777" w:rsidR="00E10CC2" w:rsidRDefault="00E10CC2" w:rsidP="00B53AAB">
            <w:pPr>
              <w:pStyle w:val="TableText"/>
              <w:rPr>
                <w:i/>
                <w:noProof w:val="0"/>
                <w:color w:val="FF0000"/>
              </w:rPr>
            </w:pPr>
          </w:p>
          <w:tbl>
            <w:tblPr>
              <w:tblStyle w:val="Tabellenraster"/>
              <w:tblW w:w="10048" w:type="dxa"/>
              <w:tblLayout w:type="fixed"/>
              <w:tblLook w:val="04A0" w:firstRow="1" w:lastRow="0" w:firstColumn="1" w:lastColumn="0" w:noHBand="0" w:noVBand="1"/>
            </w:tblPr>
            <w:tblGrid>
              <w:gridCol w:w="2009"/>
              <w:gridCol w:w="2010"/>
              <w:gridCol w:w="2009"/>
              <w:gridCol w:w="2010"/>
              <w:gridCol w:w="2010"/>
            </w:tblGrid>
            <w:tr w:rsidR="00E10CC2" w14:paraId="5919BB70" w14:textId="77777777" w:rsidTr="00E10CC2">
              <w:trPr>
                <w:trHeight w:val="251"/>
              </w:trPr>
              <w:tc>
                <w:tcPr>
                  <w:tcW w:w="2009" w:type="dxa"/>
                  <w:tcBorders>
                    <w:top w:val="nil"/>
                    <w:left w:val="single" w:sz="12" w:space="0" w:color="auto"/>
                    <w:bottom w:val="single" w:sz="12" w:space="0" w:color="auto"/>
                    <w:right w:val="single" w:sz="12" w:space="0" w:color="auto"/>
                  </w:tcBorders>
                  <w:vAlign w:val="center"/>
                </w:tcPr>
                <w:p w14:paraId="1C4EF4F9" w14:textId="77777777" w:rsidR="00E10CC2" w:rsidRPr="003223B8" w:rsidRDefault="00E10CC2" w:rsidP="00E10CC2">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1C18BABE" w14:textId="77777777" w:rsidR="00E10CC2" w:rsidRPr="003223B8" w:rsidRDefault="00E10CC2" w:rsidP="00E10CC2">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7BC0CD08" w14:textId="77777777" w:rsidR="00E10CC2" w:rsidRPr="003223B8" w:rsidRDefault="00E10CC2" w:rsidP="00E10CC2">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2E86AD16" w14:textId="77777777" w:rsidR="00E10CC2" w:rsidRPr="003223B8" w:rsidRDefault="00E10CC2" w:rsidP="00E10CC2">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7FAADE29" w14:textId="77777777" w:rsidR="00E10CC2" w:rsidRPr="003223B8" w:rsidRDefault="00E10CC2" w:rsidP="00E10CC2">
                  <w:pPr>
                    <w:pStyle w:val="TableText"/>
                    <w:jc w:val="center"/>
                    <w:rPr>
                      <w:b/>
                      <w:noProof w:val="0"/>
                      <w:sz w:val="18"/>
                      <w:szCs w:val="18"/>
                    </w:rPr>
                  </w:pPr>
                  <w:r w:rsidRPr="003223B8">
                    <w:rPr>
                      <w:b/>
                      <w:noProof w:val="0"/>
                      <w:sz w:val="18"/>
                      <w:szCs w:val="18"/>
                    </w:rPr>
                    <w:t>Additional Comments</w:t>
                  </w:r>
                </w:p>
              </w:tc>
            </w:tr>
            <w:tr w:rsidR="00067B0F" w:rsidRPr="00067B0F" w14:paraId="14EC64E1" w14:textId="77777777" w:rsidTr="001336D4">
              <w:trPr>
                <w:trHeight w:val="251"/>
              </w:trPr>
              <w:tc>
                <w:tcPr>
                  <w:tcW w:w="2009" w:type="dxa"/>
                  <w:tcBorders>
                    <w:top w:val="single" w:sz="2" w:space="0" w:color="auto"/>
                    <w:left w:val="single" w:sz="12" w:space="0" w:color="auto"/>
                    <w:bottom w:val="single" w:sz="2" w:space="0" w:color="auto"/>
                    <w:right w:val="single" w:sz="12" w:space="0" w:color="auto"/>
                  </w:tcBorders>
                </w:tcPr>
                <w:p w14:paraId="0DEC4E93" w14:textId="77777777" w:rsidR="006973AB" w:rsidRPr="00067B0F" w:rsidRDefault="006973AB" w:rsidP="001336D4">
                  <w:pPr>
                    <w:pStyle w:val="TableText"/>
                    <w:rPr>
                      <w:noProof w:val="0"/>
                    </w:rPr>
                  </w:pPr>
                  <w:r w:rsidRPr="00067B0F">
                    <w:rPr>
                      <w:i/>
                      <w:noProof w:val="0"/>
                    </w:rPr>
                    <w:t>Conduct new-member onboarding activities</w:t>
                  </w:r>
                </w:p>
              </w:tc>
              <w:tc>
                <w:tcPr>
                  <w:tcW w:w="2010" w:type="dxa"/>
                  <w:tcBorders>
                    <w:left w:val="single" w:sz="12" w:space="0" w:color="auto"/>
                  </w:tcBorders>
                </w:tcPr>
                <w:p w14:paraId="3D8F16A6" w14:textId="2B68745C" w:rsidR="006973AB" w:rsidRPr="00067B0F" w:rsidRDefault="00067B0F" w:rsidP="001336D4">
                  <w:pPr>
                    <w:pStyle w:val="TableText"/>
                    <w:rPr>
                      <w:noProof w:val="0"/>
                    </w:rPr>
                  </w:pPr>
                  <w:r>
                    <w:rPr>
                      <w:i/>
                      <w:noProof w:val="0"/>
                    </w:rPr>
                    <w:t>FY15</w:t>
                  </w:r>
                  <w:r w:rsidR="006973AB" w:rsidRPr="00067B0F">
                    <w:rPr>
                      <w:i/>
                      <w:noProof w:val="0"/>
                    </w:rPr>
                    <w:t xml:space="preserve"> – all year.  </w:t>
                  </w:r>
                </w:p>
              </w:tc>
              <w:tc>
                <w:tcPr>
                  <w:tcW w:w="2009" w:type="dxa"/>
                </w:tcPr>
                <w:p w14:paraId="3564AF74" w14:textId="77777777" w:rsidR="006973AB" w:rsidRPr="00067B0F" w:rsidRDefault="006973AB" w:rsidP="001336D4">
                  <w:pPr>
                    <w:pStyle w:val="TableText"/>
                    <w:rPr>
                      <w:noProof w:val="0"/>
                    </w:rPr>
                  </w:pPr>
                  <w:r w:rsidRPr="00067B0F">
                    <w:rPr>
                      <w:i/>
                      <w:noProof w:val="0"/>
                    </w:rPr>
                    <w:t>Collaboration between ISPCP leaders and Global Outreach staff</w:t>
                  </w:r>
                </w:p>
              </w:tc>
              <w:tc>
                <w:tcPr>
                  <w:tcW w:w="2010" w:type="dxa"/>
                </w:tcPr>
                <w:p w14:paraId="72ABC41D" w14:textId="3BF2ADCB" w:rsidR="006973AB" w:rsidRPr="00067B0F" w:rsidRDefault="006973AB" w:rsidP="006973AB">
                  <w:pPr>
                    <w:pStyle w:val="TableText"/>
                    <w:rPr>
                      <w:noProof w:val="0"/>
                    </w:rPr>
                  </w:pPr>
                  <w:r w:rsidRPr="00067B0F">
                    <w:rPr>
                      <w:i/>
                      <w:noProof w:val="0"/>
                    </w:rPr>
                    <w:t>1-2 calls/month</w:t>
                  </w:r>
                </w:p>
              </w:tc>
              <w:tc>
                <w:tcPr>
                  <w:tcW w:w="2010" w:type="dxa"/>
                  <w:tcBorders>
                    <w:right w:val="single" w:sz="12" w:space="0" w:color="auto"/>
                  </w:tcBorders>
                </w:tcPr>
                <w:p w14:paraId="428F779C" w14:textId="3519E9A1" w:rsidR="006973AB" w:rsidRPr="00067B0F" w:rsidRDefault="006973AB" w:rsidP="001336D4">
                  <w:pPr>
                    <w:pStyle w:val="TableText"/>
                    <w:rPr>
                      <w:noProof w:val="0"/>
                    </w:rPr>
                  </w:pPr>
                  <w:r w:rsidRPr="00067B0F">
                    <w:rPr>
                      <w:i/>
                      <w:noProof w:val="0"/>
                    </w:rPr>
                    <w:t>Phone bridge + Adobe Connect</w:t>
                  </w:r>
                </w:p>
              </w:tc>
            </w:tr>
            <w:tr w:rsidR="00067B0F" w:rsidRPr="00067B0F" w14:paraId="70B8229D" w14:textId="77777777" w:rsidTr="00E10CC2">
              <w:trPr>
                <w:trHeight w:val="251"/>
              </w:trPr>
              <w:tc>
                <w:tcPr>
                  <w:tcW w:w="2009" w:type="dxa"/>
                  <w:tcBorders>
                    <w:top w:val="single" w:sz="2" w:space="0" w:color="auto"/>
                    <w:left w:val="single" w:sz="12" w:space="0" w:color="auto"/>
                    <w:bottom w:val="single" w:sz="2" w:space="0" w:color="auto"/>
                    <w:right w:val="single" w:sz="12" w:space="0" w:color="auto"/>
                  </w:tcBorders>
                </w:tcPr>
                <w:p w14:paraId="4D8BAEAE" w14:textId="77777777" w:rsidR="00E10CC2" w:rsidRPr="00067B0F" w:rsidRDefault="00E10CC2" w:rsidP="00E10CC2">
                  <w:pPr>
                    <w:pStyle w:val="TableText"/>
                    <w:rPr>
                      <w:noProof w:val="0"/>
                    </w:rPr>
                  </w:pPr>
                  <w:r w:rsidRPr="00067B0F">
                    <w:rPr>
                      <w:i/>
                      <w:noProof w:val="0"/>
                    </w:rPr>
                    <w:t>Conduct Global Outreach events</w:t>
                  </w:r>
                </w:p>
              </w:tc>
              <w:tc>
                <w:tcPr>
                  <w:tcW w:w="2010" w:type="dxa"/>
                  <w:tcBorders>
                    <w:left w:val="single" w:sz="12" w:space="0" w:color="auto"/>
                  </w:tcBorders>
                </w:tcPr>
                <w:p w14:paraId="02B932DD" w14:textId="21E2FD76" w:rsidR="00E10CC2" w:rsidRPr="00067B0F" w:rsidRDefault="00067B0F" w:rsidP="00E10CC2">
                  <w:pPr>
                    <w:pStyle w:val="TableText"/>
                    <w:rPr>
                      <w:noProof w:val="0"/>
                    </w:rPr>
                  </w:pPr>
                  <w:r>
                    <w:rPr>
                      <w:i/>
                      <w:noProof w:val="0"/>
                    </w:rPr>
                    <w:t>FY15</w:t>
                  </w:r>
                  <w:r w:rsidR="00E10CC2" w:rsidRPr="00067B0F">
                    <w:rPr>
                      <w:i/>
                      <w:noProof w:val="0"/>
                    </w:rPr>
                    <w:t xml:space="preserve"> – all year.  </w:t>
                  </w:r>
                </w:p>
              </w:tc>
              <w:tc>
                <w:tcPr>
                  <w:tcW w:w="2009" w:type="dxa"/>
                </w:tcPr>
                <w:p w14:paraId="15E1001C" w14:textId="505DC435" w:rsidR="00E10CC2" w:rsidRPr="00067B0F" w:rsidRDefault="00E10CC2" w:rsidP="00E10CC2">
                  <w:pPr>
                    <w:pStyle w:val="TableText"/>
                    <w:rPr>
                      <w:noProof w:val="0"/>
                    </w:rPr>
                  </w:pPr>
                  <w:r w:rsidRPr="00067B0F">
                    <w:rPr>
                      <w:i/>
                      <w:noProof w:val="0"/>
                    </w:rPr>
                    <w:t xml:space="preserve">Presumes that tech support for events is addressed in the event’s budget </w:t>
                  </w:r>
                </w:p>
              </w:tc>
              <w:tc>
                <w:tcPr>
                  <w:tcW w:w="2010" w:type="dxa"/>
                </w:tcPr>
                <w:p w14:paraId="73CDF203" w14:textId="56C42898" w:rsidR="00E10CC2" w:rsidRPr="00067B0F" w:rsidRDefault="00E10CC2" w:rsidP="00E10CC2">
                  <w:pPr>
                    <w:pStyle w:val="TableText"/>
                    <w:rPr>
                      <w:noProof w:val="0"/>
                    </w:rPr>
                  </w:pPr>
                  <w:r w:rsidRPr="00067B0F">
                    <w:rPr>
                      <w:i/>
                      <w:noProof w:val="0"/>
                    </w:rPr>
                    <w:t>None – see assumptions</w:t>
                  </w:r>
                </w:p>
              </w:tc>
              <w:tc>
                <w:tcPr>
                  <w:tcW w:w="2010" w:type="dxa"/>
                  <w:tcBorders>
                    <w:right w:val="single" w:sz="12" w:space="0" w:color="auto"/>
                  </w:tcBorders>
                </w:tcPr>
                <w:p w14:paraId="3ECA44A4" w14:textId="586AFFCC" w:rsidR="00E10CC2" w:rsidRPr="00067B0F" w:rsidRDefault="00E10CC2" w:rsidP="00E10CC2">
                  <w:pPr>
                    <w:pStyle w:val="TableText"/>
                    <w:rPr>
                      <w:noProof w:val="0"/>
                    </w:rPr>
                  </w:pPr>
                  <w:r w:rsidRPr="00067B0F">
                    <w:rPr>
                      <w:i/>
                      <w:noProof w:val="0"/>
                    </w:rPr>
                    <w:t>None – see assumptions</w:t>
                  </w:r>
                </w:p>
              </w:tc>
            </w:tr>
          </w:tbl>
          <w:p w14:paraId="38F261EE" w14:textId="2EC23F0E" w:rsidR="00E10CC2" w:rsidRDefault="00E10CC2" w:rsidP="00B53AAB">
            <w:pPr>
              <w:pStyle w:val="TableText"/>
              <w:rPr>
                <w:noProof w:val="0"/>
              </w:rPr>
            </w:pPr>
          </w:p>
        </w:tc>
      </w:tr>
      <w:tr w:rsidR="001B203B" w14:paraId="2E951540" w14:textId="77777777" w:rsidTr="001B79F2">
        <w:tc>
          <w:tcPr>
            <w:tcW w:w="10260" w:type="dxa"/>
            <w:tcBorders>
              <w:top w:val="nil"/>
              <w:bottom w:val="single" w:sz="6" w:space="0" w:color="auto"/>
            </w:tcBorders>
            <w:shd w:val="clear" w:color="auto" w:fill="C0C0C0"/>
          </w:tcPr>
          <w:p w14:paraId="350226BE" w14:textId="77777777" w:rsidR="001B203B" w:rsidRDefault="001B203B" w:rsidP="001B79F2">
            <w:pPr>
              <w:pStyle w:val="FormHeading1"/>
              <w:rPr>
                <w:noProof w:val="0"/>
              </w:rPr>
            </w:pPr>
            <w:r>
              <w:rPr>
                <w:smallCaps w:val="0"/>
                <w:noProof w:val="0"/>
                <w:sz w:val="18"/>
              </w:rPr>
              <w:t xml:space="preserve">Language </w:t>
            </w:r>
            <w:r w:rsidRPr="003601B5">
              <w:rPr>
                <w:smallCaps w:val="0"/>
                <w:noProof w:val="0"/>
                <w:sz w:val="18"/>
              </w:rPr>
              <w:t>Services Support:</w:t>
            </w:r>
          </w:p>
        </w:tc>
      </w:tr>
      <w:tr w:rsidR="001B203B" w14:paraId="136F6658" w14:textId="77777777" w:rsidTr="005A15AF">
        <w:trPr>
          <w:trHeight w:val="1272"/>
        </w:trPr>
        <w:tc>
          <w:tcPr>
            <w:tcW w:w="10260" w:type="dxa"/>
            <w:tcBorders>
              <w:left w:val="single" w:sz="6" w:space="0" w:color="auto"/>
              <w:right w:val="single" w:sz="6" w:space="0" w:color="auto"/>
            </w:tcBorders>
          </w:tcPr>
          <w:tbl>
            <w:tblPr>
              <w:tblStyle w:val="Tabellenraster"/>
              <w:tblW w:w="10048" w:type="dxa"/>
              <w:tblLayout w:type="fixed"/>
              <w:tblLook w:val="04A0" w:firstRow="1" w:lastRow="0" w:firstColumn="1" w:lastColumn="0" w:noHBand="0" w:noVBand="1"/>
            </w:tblPr>
            <w:tblGrid>
              <w:gridCol w:w="2009"/>
              <w:gridCol w:w="2010"/>
              <w:gridCol w:w="2009"/>
              <w:gridCol w:w="2010"/>
              <w:gridCol w:w="2010"/>
            </w:tblGrid>
            <w:tr w:rsidR="00C86E80" w14:paraId="034B3D52" w14:textId="77777777" w:rsidTr="00C86E80">
              <w:trPr>
                <w:trHeight w:val="251"/>
              </w:trPr>
              <w:tc>
                <w:tcPr>
                  <w:tcW w:w="2009" w:type="dxa"/>
                  <w:tcBorders>
                    <w:top w:val="nil"/>
                    <w:left w:val="single" w:sz="12" w:space="0" w:color="auto"/>
                    <w:bottom w:val="single" w:sz="12" w:space="0" w:color="auto"/>
                    <w:right w:val="single" w:sz="12" w:space="0" w:color="auto"/>
                  </w:tcBorders>
                  <w:vAlign w:val="center"/>
                </w:tcPr>
                <w:p w14:paraId="75F94E74" w14:textId="77777777" w:rsidR="00C86E80" w:rsidRPr="003223B8" w:rsidRDefault="00C86E80" w:rsidP="00C86E80">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7843AB74" w14:textId="77777777" w:rsidR="00C86E80" w:rsidRPr="003223B8" w:rsidRDefault="00C86E80" w:rsidP="00C86E80">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57156FF5" w14:textId="77777777" w:rsidR="00C86E80" w:rsidRPr="003223B8" w:rsidRDefault="00C86E80" w:rsidP="00C86E80">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6C74FCB7" w14:textId="77777777" w:rsidR="00C86E80" w:rsidRPr="003223B8" w:rsidRDefault="00C86E80" w:rsidP="00C86E80">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5F0FFC34" w14:textId="77777777" w:rsidR="00C86E80" w:rsidRPr="003223B8" w:rsidRDefault="00C86E80" w:rsidP="00C86E80">
                  <w:pPr>
                    <w:pStyle w:val="TableText"/>
                    <w:jc w:val="center"/>
                    <w:rPr>
                      <w:b/>
                      <w:noProof w:val="0"/>
                      <w:sz w:val="18"/>
                      <w:szCs w:val="18"/>
                    </w:rPr>
                  </w:pPr>
                  <w:r w:rsidRPr="003223B8">
                    <w:rPr>
                      <w:b/>
                      <w:noProof w:val="0"/>
                      <w:sz w:val="18"/>
                      <w:szCs w:val="18"/>
                    </w:rPr>
                    <w:t>Additional Comments</w:t>
                  </w:r>
                </w:p>
              </w:tc>
            </w:tr>
          </w:tbl>
          <w:p w14:paraId="285D0401" w14:textId="702FD488" w:rsidR="008F4418" w:rsidRDefault="008F4418" w:rsidP="001B203B">
            <w:pPr>
              <w:pStyle w:val="TableText"/>
              <w:rPr>
                <w:noProof w:val="0"/>
              </w:rPr>
            </w:pPr>
          </w:p>
        </w:tc>
      </w:tr>
      <w:tr w:rsidR="001B203B" w14:paraId="670AA7ED" w14:textId="77777777" w:rsidTr="001B79F2">
        <w:tc>
          <w:tcPr>
            <w:tcW w:w="10260" w:type="dxa"/>
            <w:tcBorders>
              <w:top w:val="nil"/>
              <w:bottom w:val="single" w:sz="6" w:space="0" w:color="auto"/>
            </w:tcBorders>
            <w:shd w:val="clear" w:color="auto" w:fill="C0C0C0"/>
          </w:tcPr>
          <w:p w14:paraId="33B5F87D" w14:textId="77777777" w:rsidR="001B203B" w:rsidRDefault="006F34E0" w:rsidP="00F55AFA">
            <w:pPr>
              <w:pStyle w:val="FormHeading1"/>
              <w:rPr>
                <w:noProof w:val="0"/>
              </w:rPr>
            </w:pPr>
            <w:r>
              <w:rPr>
                <w:smallCaps w:val="0"/>
                <w:noProof w:val="0"/>
                <w:sz w:val="18"/>
              </w:rPr>
              <w:t>Other</w:t>
            </w:r>
            <w:r w:rsidR="001B203B" w:rsidRPr="003601B5">
              <w:rPr>
                <w:smallCaps w:val="0"/>
                <w:noProof w:val="0"/>
                <w:sz w:val="18"/>
              </w:rPr>
              <w:t>:</w:t>
            </w:r>
          </w:p>
        </w:tc>
      </w:tr>
      <w:tr w:rsidR="001B203B" w14:paraId="0C5775E4" w14:textId="77777777" w:rsidTr="005A15AF">
        <w:trPr>
          <w:trHeight w:val="1290"/>
        </w:trPr>
        <w:tc>
          <w:tcPr>
            <w:tcW w:w="10260" w:type="dxa"/>
            <w:tcBorders>
              <w:left w:val="single" w:sz="6" w:space="0" w:color="auto"/>
              <w:right w:val="single" w:sz="6" w:space="0" w:color="auto"/>
            </w:tcBorders>
          </w:tcPr>
          <w:p w14:paraId="1ED92B1B" w14:textId="77777777" w:rsidR="001B203B" w:rsidRDefault="001B203B" w:rsidP="00A8570C">
            <w:pPr>
              <w:pStyle w:val="TableText"/>
              <w:rPr>
                <w:noProof w:val="0"/>
              </w:rPr>
            </w:pPr>
          </w:p>
        </w:tc>
      </w:tr>
      <w:tr w:rsidR="001B203B" w14:paraId="7D24C4BF" w14:textId="77777777" w:rsidTr="001B79F2">
        <w:tc>
          <w:tcPr>
            <w:tcW w:w="10260" w:type="dxa"/>
            <w:tcBorders>
              <w:top w:val="nil"/>
              <w:bottom w:val="single" w:sz="6" w:space="0" w:color="auto"/>
            </w:tcBorders>
            <w:shd w:val="clear" w:color="auto" w:fill="C0C0C0"/>
          </w:tcPr>
          <w:p w14:paraId="12525F75" w14:textId="77777777" w:rsidR="001B203B" w:rsidRDefault="00A8570C" w:rsidP="001B79F2">
            <w:pPr>
              <w:pStyle w:val="FormHeading1"/>
              <w:rPr>
                <w:noProof w:val="0"/>
              </w:rPr>
            </w:pPr>
            <w:r>
              <w:rPr>
                <w:smallCaps w:val="0"/>
                <w:noProof w:val="0"/>
                <w:sz w:val="18"/>
              </w:rPr>
              <w:t>Travel</w:t>
            </w:r>
            <w:r w:rsidR="001B203B" w:rsidRPr="003601B5">
              <w:rPr>
                <w:smallCaps w:val="0"/>
                <w:noProof w:val="0"/>
                <w:sz w:val="18"/>
              </w:rPr>
              <w:t xml:space="preserve"> Support:</w:t>
            </w:r>
          </w:p>
        </w:tc>
      </w:tr>
      <w:tr w:rsidR="001B203B" w14:paraId="4820A89B" w14:textId="77777777" w:rsidTr="005A15AF">
        <w:trPr>
          <w:trHeight w:val="1272"/>
        </w:trPr>
        <w:tc>
          <w:tcPr>
            <w:tcW w:w="10260" w:type="dxa"/>
            <w:tcBorders>
              <w:left w:val="single" w:sz="6" w:space="0" w:color="auto"/>
              <w:right w:val="single" w:sz="6" w:space="0" w:color="auto"/>
            </w:tcBorders>
          </w:tcPr>
          <w:tbl>
            <w:tblPr>
              <w:tblStyle w:val="Tabellenraster"/>
              <w:tblW w:w="10048" w:type="dxa"/>
              <w:tblLayout w:type="fixed"/>
              <w:tblLook w:val="04A0" w:firstRow="1" w:lastRow="0" w:firstColumn="1" w:lastColumn="0" w:noHBand="0" w:noVBand="1"/>
            </w:tblPr>
            <w:tblGrid>
              <w:gridCol w:w="2009"/>
              <w:gridCol w:w="2010"/>
              <w:gridCol w:w="2009"/>
              <w:gridCol w:w="2010"/>
              <w:gridCol w:w="2010"/>
            </w:tblGrid>
            <w:tr w:rsidR="00C86E80" w14:paraId="6A0FD34C" w14:textId="77777777" w:rsidTr="00C86E80">
              <w:trPr>
                <w:trHeight w:val="251"/>
              </w:trPr>
              <w:tc>
                <w:tcPr>
                  <w:tcW w:w="2009" w:type="dxa"/>
                  <w:tcBorders>
                    <w:top w:val="nil"/>
                    <w:left w:val="single" w:sz="12" w:space="0" w:color="auto"/>
                    <w:bottom w:val="single" w:sz="12" w:space="0" w:color="auto"/>
                    <w:right w:val="single" w:sz="12" w:space="0" w:color="auto"/>
                  </w:tcBorders>
                  <w:vAlign w:val="center"/>
                </w:tcPr>
                <w:p w14:paraId="02BB12B5" w14:textId="77777777" w:rsidR="00C86E80" w:rsidRPr="003223B8" w:rsidRDefault="00C86E80" w:rsidP="00C86E80">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5DC94F37" w14:textId="77777777" w:rsidR="00C86E80" w:rsidRPr="003223B8" w:rsidRDefault="00C86E80" w:rsidP="00C86E80">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0EF0EA4C" w14:textId="77777777" w:rsidR="00C86E80" w:rsidRPr="003223B8" w:rsidRDefault="00C86E80" w:rsidP="00C86E80">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4B590CA6" w14:textId="77777777" w:rsidR="00C86E80" w:rsidRPr="003223B8" w:rsidRDefault="00C86E80" w:rsidP="00C86E80">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32470822" w14:textId="77777777" w:rsidR="00C86E80" w:rsidRPr="003223B8" w:rsidRDefault="00C86E80" w:rsidP="00C86E80">
                  <w:pPr>
                    <w:pStyle w:val="TableText"/>
                    <w:jc w:val="center"/>
                    <w:rPr>
                      <w:b/>
                      <w:noProof w:val="0"/>
                      <w:sz w:val="18"/>
                      <w:szCs w:val="18"/>
                    </w:rPr>
                  </w:pPr>
                  <w:r w:rsidRPr="003223B8">
                    <w:rPr>
                      <w:b/>
                      <w:noProof w:val="0"/>
                      <w:sz w:val="18"/>
                      <w:szCs w:val="18"/>
                    </w:rPr>
                    <w:t>Additional Comments</w:t>
                  </w:r>
                </w:p>
              </w:tc>
            </w:tr>
            <w:tr w:rsidR="00067B0F" w:rsidRPr="00067B0F" w14:paraId="0639D2EB" w14:textId="77777777" w:rsidTr="00C86E80">
              <w:trPr>
                <w:trHeight w:val="251"/>
              </w:trPr>
              <w:tc>
                <w:tcPr>
                  <w:tcW w:w="2009" w:type="dxa"/>
                  <w:tcBorders>
                    <w:top w:val="single" w:sz="12" w:space="0" w:color="auto"/>
                    <w:left w:val="single" w:sz="12" w:space="0" w:color="auto"/>
                    <w:bottom w:val="single" w:sz="2" w:space="0" w:color="auto"/>
                    <w:right w:val="single" w:sz="12" w:space="0" w:color="auto"/>
                  </w:tcBorders>
                </w:tcPr>
                <w:p w14:paraId="7C29E75E" w14:textId="407057E3" w:rsidR="00C86E80" w:rsidRPr="00067B0F" w:rsidRDefault="00C86E80" w:rsidP="00C86E80">
                  <w:pPr>
                    <w:pStyle w:val="TableText"/>
                    <w:rPr>
                      <w:i/>
                      <w:noProof w:val="0"/>
                    </w:rPr>
                  </w:pPr>
                  <w:r w:rsidRPr="00067B0F">
                    <w:rPr>
                      <w:i/>
                      <w:noProof w:val="0"/>
                    </w:rPr>
                    <w:t>Travel support ISPCP participants in Global Outreach events</w:t>
                  </w:r>
                </w:p>
              </w:tc>
              <w:tc>
                <w:tcPr>
                  <w:tcW w:w="2010" w:type="dxa"/>
                  <w:tcBorders>
                    <w:top w:val="single" w:sz="12" w:space="0" w:color="auto"/>
                    <w:left w:val="single" w:sz="12" w:space="0" w:color="auto"/>
                  </w:tcBorders>
                </w:tcPr>
                <w:p w14:paraId="6E9DFC67" w14:textId="775A58A5" w:rsidR="00C86E80" w:rsidRPr="00067B0F" w:rsidRDefault="00C86E80" w:rsidP="00C86E80">
                  <w:pPr>
                    <w:pStyle w:val="TableText"/>
                    <w:rPr>
                      <w:i/>
                      <w:noProof w:val="0"/>
                    </w:rPr>
                  </w:pPr>
                  <w:r w:rsidRPr="00067B0F">
                    <w:rPr>
                      <w:i/>
                      <w:noProof w:val="0"/>
                    </w:rPr>
                    <w:t>FY 1</w:t>
                  </w:r>
                  <w:r w:rsidR="00067B0F" w:rsidRPr="00067B0F">
                    <w:rPr>
                      <w:i/>
                      <w:noProof w:val="0"/>
                    </w:rPr>
                    <w:t>5</w:t>
                  </w:r>
                </w:p>
              </w:tc>
              <w:tc>
                <w:tcPr>
                  <w:tcW w:w="2009" w:type="dxa"/>
                  <w:tcBorders>
                    <w:top w:val="single" w:sz="12" w:space="0" w:color="auto"/>
                  </w:tcBorders>
                </w:tcPr>
                <w:p w14:paraId="3DE8F3FA" w14:textId="7D344B81" w:rsidR="00C86E80" w:rsidRPr="00067B0F" w:rsidRDefault="00C86E80" w:rsidP="00C86E80">
                  <w:pPr>
                    <w:pStyle w:val="TableText"/>
                    <w:rPr>
                      <w:i/>
                      <w:noProof w:val="0"/>
                    </w:rPr>
                  </w:pPr>
                  <w:r w:rsidRPr="00067B0F">
                    <w:rPr>
                      <w:i/>
                      <w:noProof w:val="0"/>
                    </w:rPr>
                    <w:t xml:space="preserve">Presumably it would be helpful to have ISPCP reps at some of the Global Outreach meetings for </w:t>
                  </w:r>
                  <w:r w:rsidR="003A3279" w:rsidRPr="00067B0F">
                    <w:rPr>
                      <w:i/>
                      <w:noProof w:val="0"/>
                    </w:rPr>
                    <w:t xml:space="preserve">Q&amp;A and </w:t>
                  </w:r>
                  <w:r w:rsidR="00E31743" w:rsidRPr="00067B0F">
                    <w:rPr>
                      <w:i/>
                      <w:noProof w:val="0"/>
                    </w:rPr>
                    <w:t>follow-up</w:t>
                  </w:r>
                  <w:r w:rsidR="003A3279" w:rsidRPr="00067B0F">
                    <w:rPr>
                      <w:i/>
                      <w:noProof w:val="0"/>
                    </w:rPr>
                    <w:t xml:space="preserve"> </w:t>
                  </w:r>
                  <w:r w:rsidR="00E31743" w:rsidRPr="00067B0F">
                    <w:rPr>
                      <w:i/>
                      <w:noProof w:val="0"/>
                    </w:rPr>
                    <w:t>activities</w:t>
                  </w:r>
                </w:p>
              </w:tc>
              <w:tc>
                <w:tcPr>
                  <w:tcW w:w="2010" w:type="dxa"/>
                  <w:tcBorders>
                    <w:top w:val="single" w:sz="12" w:space="0" w:color="auto"/>
                  </w:tcBorders>
                </w:tcPr>
                <w:p w14:paraId="2CE4A1B4" w14:textId="071970B9" w:rsidR="00C86E80" w:rsidRPr="00067B0F" w:rsidRDefault="003A3279" w:rsidP="00C86E80">
                  <w:pPr>
                    <w:pStyle w:val="TableText"/>
                    <w:rPr>
                      <w:i/>
                      <w:noProof w:val="0"/>
                    </w:rPr>
                  </w:pPr>
                  <w:r w:rsidRPr="00067B0F">
                    <w:rPr>
                      <w:i/>
                      <w:noProof w:val="0"/>
                    </w:rPr>
                    <w:t>2</w:t>
                  </w:r>
                  <w:r w:rsidR="00C86E80" w:rsidRPr="00067B0F">
                    <w:rPr>
                      <w:i/>
                      <w:noProof w:val="0"/>
                    </w:rPr>
                    <w:t xml:space="preserve"> trips -- Costs based on Constituency Travel guidelines </w:t>
                  </w:r>
                </w:p>
              </w:tc>
              <w:tc>
                <w:tcPr>
                  <w:tcW w:w="2010" w:type="dxa"/>
                  <w:tcBorders>
                    <w:top w:val="single" w:sz="12" w:space="0" w:color="auto"/>
                    <w:right w:val="single" w:sz="12" w:space="0" w:color="auto"/>
                  </w:tcBorders>
                </w:tcPr>
                <w:p w14:paraId="5A1C2EBC" w14:textId="77777777" w:rsidR="00C86E80" w:rsidRPr="00067B0F" w:rsidRDefault="00C86E80" w:rsidP="00C86E80">
                  <w:pPr>
                    <w:pStyle w:val="TableText"/>
                    <w:rPr>
                      <w:i/>
                      <w:noProof w:val="0"/>
                    </w:rPr>
                  </w:pPr>
                </w:p>
              </w:tc>
            </w:tr>
            <w:tr w:rsidR="00C86E80" w14:paraId="7E7256D1" w14:textId="77777777" w:rsidTr="00C86E80">
              <w:trPr>
                <w:trHeight w:val="251"/>
              </w:trPr>
              <w:tc>
                <w:tcPr>
                  <w:tcW w:w="2009" w:type="dxa"/>
                  <w:tcBorders>
                    <w:top w:val="single" w:sz="2" w:space="0" w:color="auto"/>
                    <w:left w:val="single" w:sz="12" w:space="0" w:color="auto"/>
                    <w:bottom w:val="single" w:sz="2" w:space="0" w:color="auto"/>
                    <w:right w:val="single" w:sz="12" w:space="0" w:color="auto"/>
                  </w:tcBorders>
                </w:tcPr>
                <w:p w14:paraId="735D3512" w14:textId="77777777" w:rsidR="00C86E80" w:rsidRDefault="00C86E80" w:rsidP="00C86E80">
                  <w:pPr>
                    <w:pStyle w:val="TableText"/>
                    <w:rPr>
                      <w:noProof w:val="0"/>
                    </w:rPr>
                  </w:pPr>
                </w:p>
              </w:tc>
              <w:tc>
                <w:tcPr>
                  <w:tcW w:w="2010" w:type="dxa"/>
                  <w:tcBorders>
                    <w:left w:val="single" w:sz="12" w:space="0" w:color="auto"/>
                  </w:tcBorders>
                </w:tcPr>
                <w:p w14:paraId="59C9DA1D" w14:textId="77777777" w:rsidR="00C86E80" w:rsidRDefault="00C86E80" w:rsidP="00C86E80">
                  <w:pPr>
                    <w:pStyle w:val="TableText"/>
                    <w:rPr>
                      <w:noProof w:val="0"/>
                    </w:rPr>
                  </w:pPr>
                </w:p>
              </w:tc>
              <w:tc>
                <w:tcPr>
                  <w:tcW w:w="2009" w:type="dxa"/>
                </w:tcPr>
                <w:p w14:paraId="2FC17E00" w14:textId="77777777" w:rsidR="00C86E80" w:rsidRDefault="00C86E80" w:rsidP="00C86E80">
                  <w:pPr>
                    <w:pStyle w:val="TableText"/>
                    <w:rPr>
                      <w:noProof w:val="0"/>
                    </w:rPr>
                  </w:pPr>
                </w:p>
              </w:tc>
              <w:tc>
                <w:tcPr>
                  <w:tcW w:w="2010" w:type="dxa"/>
                </w:tcPr>
                <w:p w14:paraId="2D0B9C52" w14:textId="77777777" w:rsidR="00C86E80" w:rsidRDefault="00C86E80" w:rsidP="00C86E80">
                  <w:pPr>
                    <w:pStyle w:val="TableText"/>
                    <w:rPr>
                      <w:noProof w:val="0"/>
                    </w:rPr>
                  </w:pPr>
                </w:p>
              </w:tc>
              <w:tc>
                <w:tcPr>
                  <w:tcW w:w="2010" w:type="dxa"/>
                  <w:tcBorders>
                    <w:right w:val="single" w:sz="12" w:space="0" w:color="auto"/>
                  </w:tcBorders>
                </w:tcPr>
                <w:p w14:paraId="3178B2DB" w14:textId="77777777" w:rsidR="00C86E80" w:rsidRDefault="00C86E80" w:rsidP="00C86E80">
                  <w:pPr>
                    <w:pStyle w:val="TableText"/>
                    <w:rPr>
                      <w:noProof w:val="0"/>
                    </w:rPr>
                  </w:pPr>
                </w:p>
              </w:tc>
            </w:tr>
            <w:tr w:rsidR="00C86E80" w14:paraId="39895983" w14:textId="77777777" w:rsidTr="00C86E80">
              <w:trPr>
                <w:trHeight w:val="251"/>
              </w:trPr>
              <w:tc>
                <w:tcPr>
                  <w:tcW w:w="2009" w:type="dxa"/>
                  <w:tcBorders>
                    <w:top w:val="single" w:sz="2" w:space="0" w:color="auto"/>
                    <w:left w:val="single" w:sz="12" w:space="0" w:color="auto"/>
                    <w:bottom w:val="single" w:sz="12" w:space="0" w:color="auto"/>
                    <w:right w:val="single" w:sz="12" w:space="0" w:color="auto"/>
                  </w:tcBorders>
                </w:tcPr>
                <w:p w14:paraId="03799946" w14:textId="77777777" w:rsidR="00C86E80" w:rsidRDefault="00C86E80" w:rsidP="00C86E80">
                  <w:pPr>
                    <w:pStyle w:val="TableText"/>
                    <w:rPr>
                      <w:noProof w:val="0"/>
                    </w:rPr>
                  </w:pPr>
                </w:p>
              </w:tc>
              <w:tc>
                <w:tcPr>
                  <w:tcW w:w="2010" w:type="dxa"/>
                  <w:tcBorders>
                    <w:left w:val="single" w:sz="12" w:space="0" w:color="auto"/>
                    <w:bottom w:val="single" w:sz="12" w:space="0" w:color="auto"/>
                  </w:tcBorders>
                </w:tcPr>
                <w:p w14:paraId="6AF9C3F4" w14:textId="77777777" w:rsidR="00C86E80" w:rsidRDefault="00C86E80" w:rsidP="00C86E80">
                  <w:pPr>
                    <w:pStyle w:val="TableText"/>
                    <w:rPr>
                      <w:noProof w:val="0"/>
                    </w:rPr>
                  </w:pPr>
                </w:p>
              </w:tc>
              <w:tc>
                <w:tcPr>
                  <w:tcW w:w="2009" w:type="dxa"/>
                  <w:tcBorders>
                    <w:bottom w:val="single" w:sz="12" w:space="0" w:color="auto"/>
                  </w:tcBorders>
                </w:tcPr>
                <w:p w14:paraId="0ADF6A52" w14:textId="77777777" w:rsidR="00C86E80" w:rsidRDefault="00C86E80" w:rsidP="00C86E80">
                  <w:pPr>
                    <w:pStyle w:val="TableText"/>
                    <w:rPr>
                      <w:noProof w:val="0"/>
                    </w:rPr>
                  </w:pPr>
                </w:p>
              </w:tc>
              <w:tc>
                <w:tcPr>
                  <w:tcW w:w="2010" w:type="dxa"/>
                  <w:tcBorders>
                    <w:bottom w:val="single" w:sz="12" w:space="0" w:color="auto"/>
                  </w:tcBorders>
                </w:tcPr>
                <w:p w14:paraId="37FE76E0" w14:textId="77777777" w:rsidR="00C86E80" w:rsidRDefault="00C86E80" w:rsidP="00C86E80">
                  <w:pPr>
                    <w:pStyle w:val="TableText"/>
                    <w:rPr>
                      <w:noProof w:val="0"/>
                    </w:rPr>
                  </w:pPr>
                </w:p>
              </w:tc>
              <w:tc>
                <w:tcPr>
                  <w:tcW w:w="2010" w:type="dxa"/>
                  <w:tcBorders>
                    <w:bottom w:val="single" w:sz="12" w:space="0" w:color="auto"/>
                    <w:right w:val="single" w:sz="12" w:space="0" w:color="auto"/>
                  </w:tcBorders>
                </w:tcPr>
                <w:p w14:paraId="382333DC" w14:textId="77777777" w:rsidR="00C86E80" w:rsidRDefault="00C86E80" w:rsidP="00C86E80">
                  <w:pPr>
                    <w:pStyle w:val="TableText"/>
                    <w:rPr>
                      <w:noProof w:val="0"/>
                    </w:rPr>
                  </w:pPr>
                </w:p>
              </w:tc>
            </w:tr>
          </w:tbl>
          <w:p w14:paraId="069CCAE7" w14:textId="77777777" w:rsidR="001B203B" w:rsidRDefault="001B203B" w:rsidP="00A8570C">
            <w:pPr>
              <w:pStyle w:val="TableText"/>
              <w:rPr>
                <w:noProof w:val="0"/>
              </w:rPr>
            </w:pPr>
          </w:p>
        </w:tc>
      </w:tr>
      <w:tr w:rsidR="00A8570C" w14:paraId="65B267EB" w14:textId="77777777" w:rsidTr="001B79F2">
        <w:tc>
          <w:tcPr>
            <w:tcW w:w="10260" w:type="dxa"/>
            <w:tcBorders>
              <w:top w:val="nil"/>
              <w:bottom w:val="single" w:sz="6" w:space="0" w:color="auto"/>
            </w:tcBorders>
            <w:shd w:val="clear" w:color="auto" w:fill="C0C0C0"/>
          </w:tcPr>
          <w:p w14:paraId="27F10DFD" w14:textId="77777777" w:rsidR="00A8570C" w:rsidRDefault="006F34E0" w:rsidP="00A8570C">
            <w:pPr>
              <w:pStyle w:val="FormHeading1"/>
              <w:rPr>
                <w:noProof w:val="0"/>
              </w:rPr>
            </w:pPr>
            <w:r>
              <w:rPr>
                <w:smallCaps w:val="0"/>
                <w:noProof w:val="0"/>
                <w:sz w:val="18"/>
              </w:rPr>
              <w:t xml:space="preserve">Potential/planned </w:t>
            </w:r>
            <w:r w:rsidR="00A8570C" w:rsidRPr="003601B5">
              <w:rPr>
                <w:smallCaps w:val="0"/>
                <w:noProof w:val="0"/>
                <w:sz w:val="18"/>
              </w:rPr>
              <w:t>S</w:t>
            </w:r>
            <w:r w:rsidR="00A8570C">
              <w:rPr>
                <w:smallCaps w:val="0"/>
                <w:noProof w:val="0"/>
                <w:sz w:val="18"/>
              </w:rPr>
              <w:t>ponsorship Contribution</w:t>
            </w:r>
            <w:r w:rsidR="00A8570C" w:rsidRPr="003601B5">
              <w:rPr>
                <w:smallCaps w:val="0"/>
                <w:noProof w:val="0"/>
                <w:sz w:val="18"/>
              </w:rPr>
              <w:t>:</w:t>
            </w:r>
          </w:p>
        </w:tc>
      </w:tr>
      <w:tr w:rsidR="00A8570C" w14:paraId="07DB4206" w14:textId="77777777">
        <w:trPr>
          <w:trHeight w:val="741"/>
        </w:trPr>
        <w:tc>
          <w:tcPr>
            <w:tcW w:w="10260" w:type="dxa"/>
            <w:tcBorders>
              <w:left w:val="single" w:sz="6" w:space="0" w:color="auto"/>
              <w:right w:val="single" w:sz="6" w:space="0" w:color="auto"/>
            </w:tcBorders>
          </w:tcPr>
          <w:p w14:paraId="08498761" w14:textId="77777777" w:rsidR="00A8570C" w:rsidRDefault="00A8570C" w:rsidP="00A8570C">
            <w:pPr>
              <w:pStyle w:val="TableText"/>
              <w:rPr>
                <w:noProof w:val="0"/>
              </w:rPr>
            </w:pPr>
          </w:p>
        </w:tc>
      </w:tr>
    </w:tbl>
    <w:p w14:paraId="018092FC" w14:textId="77777777" w:rsidR="00946200" w:rsidRDefault="00946200">
      <w:pPr>
        <w:rPr>
          <w:rFonts w:ascii="Arial" w:hAnsi="Arial"/>
        </w:rPr>
      </w:pPr>
    </w:p>
    <w:sectPr w:rsidR="00946200" w:rsidSect="00C25AF0">
      <w:headerReference w:type="default" r:id="rId8"/>
      <w:footerReference w:type="default" r:id="rId9"/>
      <w:type w:val="continuous"/>
      <w:pgSz w:w="12240" w:h="15840"/>
      <w:pgMar w:top="1620" w:right="1440" w:bottom="990" w:left="180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26FF6" w14:textId="77777777" w:rsidR="002A0F46" w:rsidRDefault="002A0F46">
      <w:r>
        <w:separator/>
      </w:r>
    </w:p>
  </w:endnote>
  <w:endnote w:type="continuationSeparator" w:id="0">
    <w:p w14:paraId="17DC66FF" w14:textId="77777777" w:rsidR="002A0F46" w:rsidRDefault="002A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A0B32" w14:textId="77777777" w:rsidR="00E31743" w:rsidRDefault="00E31743" w:rsidP="00946200">
    <w:pPr>
      <w:pStyle w:val="Fuzeile"/>
      <w:tabs>
        <w:tab w:val="clear" w:pos="8640"/>
        <w:tab w:val="right" w:pos="9450"/>
      </w:tabs>
      <w:ind w:left="-810" w:right="-450"/>
      <w:rPr>
        <w:rFonts w:ascii="Arial" w:hAnsi="Arial"/>
      </w:rPr>
    </w:pPr>
    <w:r>
      <w:rPr>
        <w:rFonts w:ascii="Arial" w:hAnsi="Arial"/>
        <w:b/>
        <w:i/>
        <w:noProof/>
        <w:lang w:val="de-DE" w:eastAsia="de-DE"/>
      </w:rPr>
      <mc:AlternateContent>
        <mc:Choice Requires="wps">
          <w:drawing>
            <wp:anchor distT="4294967295" distB="4294967295" distL="114300" distR="114300" simplePos="0" relativeHeight="251657728" behindDoc="0" locked="0" layoutInCell="1" allowOverlap="1" wp14:anchorId="2DA233D7" wp14:editId="42AB9340">
              <wp:simplePos x="0" y="0"/>
              <wp:positionH relativeFrom="column">
                <wp:posOffset>-525780</wp:posOffset>
              </wp:positionH>
              <wp:positionV relativeFrom="paragraph">
                <wp:posOffset>-82551</wp:posOffset>
              </wp:positionV>
              <wp:extent cx="6537960" cy="0"/>
              <wp:effectExtent l="0" t="0" r="1524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T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"/>
          </w:pict>
        </mc:Fallback>
      </mc:AlternateContent>
    </w:r>
    <w:r>
      <w:rPr>
        <w:rFonts w:ascii="Arial" w:hAnsi="Arial"/>
      </w:rPr>
      <w:tab/>
    </w:r>
    <w:r>
      <w:rPr>
        <w:rFonts w:ascii="Arial" w:hAnsi="Arial"/>
        <w:b/>
        <w:i/>
      </w:rPr>
      <w:tab/>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sidR="00381371">
      <w:rPr>
        <w:rStyle w:val="Seitenzahl"/>
        <w:rFonts w:ascii="Arial" w:hAnsi="Arial"/>
        <w:noProof/>
      </w:rPr>
      <w:t>1</w:t>
    </w:r>
    <w:r>
      <w:rPr>
        <w:rStyle w:val="Seitenzahl"/>
        <w:rFonts w:ascii="Arial" w:hAnsi="Arial"/>
      </w:rPr>
      <w:fldChar w:fldCharType="end"/>
    </w:r>
    <w:r>
      <w:rPr>
        <w:rStyle w:val="Seitenzahl"/>
        <w:rFonts w:ascii="Arial" w:hAnsi="Arial"/>
      </w:rPr>
      <w:t xml:space="preserve"> of </w:t>
    </w:r>
    <w:r>
      <w:rPr>
        <w:rStyle w:val="Seitenzahl"/>
        <w:rFonts w:ascii="Arial" w:hAnsi="Arial"/>
      </w:rPr>
      <w:fldChar w:fldCharType="begin"/>
    </w:r>
    <w:r>
      <w:rPr>
        <w:rStyle w:val="Seitenzahl"/>
        <w:rFonts w:ascii="Arial" w:hAnsi="Arial"/>
      </w:rPr>
      <w:instrText xml:space="preserve"> NUMPAGES </w:instrText>
    </w:r>
    <w:r>
      <w:rPr>
        <w:rStyle w:val="Seitenzahl"/>
        <w:rFonts w:ascii="Arial" w:hAnsi="Arial"/>
      </w:rPr>
      <w:fldChar w:fldCharType="separate"/>
    </w:r>
    <w:r w:rsidR="00381371">
      <w:rPr>
        <w:rStyle w:val="Seitenzahl"/>
        <w:rFonts w:ascii="Arial" w:hAnsi="Arial"/>
        <w:noProof/>
      </w:rPr>
      <w:t>3</w:t>
    </w:r>
    <w:r>
      <w:rPr>
        <w:rStyle w:val="Seitenzahl"/>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92920" w14:textId="77777777" w:rsidR="002A0F46" w:rsidRDefault="002A0F46">
      <w:r>
        <w:separator/>
      </w:r>
    </w:p>
  </w:footnote>
  <w:footnote w:type="continuationSeparator" w:id="0">
    <w:p w14:paraId="5B326C98" w14:textId="77777777" w:rsidR="002A0F46" w:rsidRDefault="002A0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1"/>
      <w:gridCol w:w="7389"/>
    </w:tblGrid>
    <w:tr w:rsidR="00E31743" w14:paraId="15C5A132" w14:textId="77777777">
      <w:trPr>
        <w:trHeight w:val="558"/>
      </w:trPr>
      <w:tc>
        <w:tcPr>
          <w:tcW w:w="2871" w:type="dxa"/>
          <w:tcBorders>
            <w:top w:val="nil"/>
            <w:left w:val="nil"/>
            <w:bottom w:val="nil"/>
            <w:right w:val="nil"/>
          </w:tcBorders>
        </w:tcPr>
        <w:p w14:paraId="7F591B7D" w14:textId="77777777" w:rsidR="00E31743" w:rsidRDefault="00E31743">
          <w:pPr>
            <w:pStyle w:val="Kopfzeile"/>
            <w:tabs>
              <w:tab w:val="clear" w:pos="8640"/>
              <w:tab w:val="right" w:pos="9072"/>
            </w:tabs>
            <w:rPr>
              <w:b/>
              <w:sz w:val="48"/>
            </w:rPr>
          </w:pPr>
          <w:r>
            <w:rPr>
              <w:b/>
              <w:noProof/>
              <w:sz w:val="48"/>
              <w:lang w:val="de-DE" w:eastAsia="de-DE"/>
            </w:rPr>
            <w:drawing>
              <wp:inline distT="0" distB="0" distL="0" distR="0" wp14:anchorId="12EE463C" wp14:editId="5A0930CE">
                <wp:extent cx="717550" cy="577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77850"/>
                        </a:xfrm>
                        <a:prstGeom prst="rect">
                          <a:avLst/>
                        </a:prstGeom>
                        <a:noFill/>
                        <a:ln>
                          <a:noFill/>
                        </a:ln>
                      </pic:spPr>
                    </pic:pic>
                  </a:graphicData>
                </a:graphic>
              </wp:inline>
            </w:drawing>
          </w:r>
        </w:p>
      </w:tc>
      <w:tc>
        <w:tcPr>
          <w:tcW w:w="7389" w:type="dxa"/>
          <w:tcBorders>
            <w:top w:val="nil"/>
            <w:left w:val="nil"/>
            <w:bottom w:val="nil"/>
            <w:right w:val="nil"/>
          </w:tcBorders>
          <w:shd w:val="clear" w:color="auto" w:fill="808080"/>
          <w:vAlign w:val="center"/>
        </w:tcPr>
        <w:p w14:paraId="188086F2" w14:textId="68393BF0" w:rsidR="00E31743" w:rsidRDefault="00C90AA9" w:rsidP="009F0137">
          <w:pPr>
            <w:pStyle w:val="Kopfzeile"/>
            <w:jc w:val="right"/>
            <w:rPr>
              <w:rFonts w:ascii="Arial" w:hAnsi="Arial"/>
              <w:b/>
              <w:color w:val="FFFFFF"/>
              <w:sz w:val="28"/>
            </w:rPr>
          </w:pPr>
          <w:r>
            <w:rPr>
              <w:rFonts w:ascii="Arial" w:hAnsi="Arial"/>
              <w:b/>
              <w:color w:val="FFFFFF"/>
              <w:sz w:val="32"/>
            </w:rPr>
            <w:t>FY15</w:t>
          </w:r>
          <w:r w:rsidR="00E31743" w:rsidRPr="006003A1">
            <w:rPr>
              <w:rFonts w:ascii="Arial" w:hAnsi="Arial"/>
              <w:b/>
              <w:color w:val="FFFFFF"/>
              <w:sz w:val="32"/>
            </w:rPr>
            <w:t xml:space="preserve"> </w:t>
          </w:r>
          <w:r w:rsidR="00E31743">
            <w:rPr>
              <w:rFonts w:ascii="Arial" w:hAnsi="Arial"/>
              <w:b/>
              <w:color w:val="FFFFFF"/>
              <w:sz w:val="32"/>
            </w:rPr>
            <w:t xml:space="preserve">COMMUNITY </w:t>
          </w:r>
          <w:r w:rsidR="00E31743" w:rsidRPr="006003A1">
            <w:rPr>
              <w:rFonts w:ascii="Arial" w:hAnsi="Arial"/>
              <w:b/>
              <w:color w:val="FFFFFF"/>
              <w:sz w:val="32"/>
            </w:rPr>
            <w:t xml:space="preserve">REQUEST FORM </w:t>
          </w:r>
        </w:p>
      </w:tc>
    </w:tr>
  </w:tbl>
  <w:p w14:paraId="59C5C63E" w14:textId="77777777" w:rsidR="00E31743" w:rsidRDefault="00E31743">
    <w:pPr>
      <w:pStyle w:val="Kopfzeile"/>
      <w:tabs>
        <w:tab w:val="clear" w:pos="864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EEA"/>
    <w:multiLevelType w:val="hybridMultilevel"/>
    <w:tmpl w:val="27FC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47FCF"/>
    <w:multiLevelType w:val="hybridMultilevel"/>
    <w:tmpl w:val="11C2B7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9D2FC1"/>
    <w:multiLevelType w:val="hybridMultilevel"/>
    <w:tmpl w:val="8A0C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608ED"/>
    <w:multiLevelType w:val="hybridMultilevel"/>
    <w:tmpl w:val="52305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D6586"/>
    <w:multiLevelType w:val="hybridMultilevel"/>
    <w:tmpl w:val="A61037CA"/>
    <w:lvl w:ilvl="0" w:tplc="CA780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A7167"/>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6E7A53"/>
    <w:multiLevelType w:val="hybridMultilevel"/>
    <w:tmpl w:val="26EEF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862AE"/>
    <w:multiLevelType w:val="hybridMultilevel"/>
    <w:tmpl w:val="8042E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D163F2"/>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071764"/>
    <w:multiLevelType w:val="hybridMultilevel"/>
    <w:tmpl w:val="05ACD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Arial"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Arial"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Arial" w:hint="default"/>
      </w:rPr>
    </w:lvl>
    <w:lvl w:ilvl="8" w:tplc="04090005" w:tentative="1">
      <w:start w:val="1"/>
      <w:numFmt w:val="bullet"/>
      <w:lvlText w:val=""/>
      <w:lvlJc w:val="left"/>
      <w:pPr>
        <w:ind w:left="5670" w:hanging="360"/>
      </w:pPr>
      <w:rPr>
        <w:rFonts w:ascii="Wingdings" w:hAnsi="Wingdings" w:hint="default"/>
      </w:rPr>
    </w:lvl>
  </w:abstractNum>
  <w:abstractNum w:abstractNumId="11">
    <w:nsid w:val="2A216364"/>
    <w:multiLevelType w:val="hybridMultilevel"/>
    <w:tmpl w:val="8A44F918"/>
    <w:lvl w:ilvl="0" w:tplc="C7826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B4347"/>
    <w:multiLevelType w:val="hybridMultilevel"/>
    <w:tmpl w:val="71B22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7E27E6"/>
    <w:multiLevelType w:val="hybridMultilevel"/>
    <w:tmpl w:val="0BD43AA8"/>
    <w:lvl w:ilvl="0" w:tplc="1A5C8620">
      <w:start w:val="1"/>
      <w:numFmt w:val="decimal"/>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F065B8"/>
    <w:multiLevelType w:val="hybridMultilevel"/>
    <w:tmpl w:val="18FCFD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A034793"/>
    <w:multiLevelType w:val="hybridMultilevel"/>
    <w:tmpl w:val="2918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3216B7"/>
    <w:multiLevelType w:val="hybridMultilevel"/>
    <w:tmpl w:val="62A49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692066"/>
    <w:multiLevelType w:val="hybridMultilevel"/>
    <w:tmpl w:val="38AC7D9A"/>
    <w:lvl w:ilvl="0" w:tplc="09AA3C1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9">
    <w:nsid w:val="57A05E62"/>
    <w:multiLevelType w:val="hybridMultilevel"/>
    <w:tmpl w:val="51F22C78"/>
    <w:lvl w:ilvl="0" w:tplc="2F5E83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976B93"/>
    <w:multiLevelType w:val="hybridMultilevel"/>
    <w:tmpl w:val="8C727F5A"/>
    <w:lvl w:ilvl="0" w:tplc="6CBA9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C236DB"/>
    <w:multiLevelType w:val="hybridMultilevel"/>
    <w:tmpl w:val="6540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542631"/>
    <w:multiLevelType w:val="hybridMultilevel"/>
    <w:tmpl w:val="4D3C8C70"/>
    <w:lvl w:ilvl="0" w:tplc="8DB84214">
      <w:start w:val="3"/>
      <w:numFmt w:val="bullet"/>
      <w:lvlText w:val=""/>
      <w:lvlJc w:val="left"/>
      <w:pPr>
        <w:ind w:left="72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6A23012"/>
    <w:multiLevelType w:val="hybridMultilevel"/>
    <w:tmpl w:val="18FCFD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022197D"/>
    <w:multiLevelType w:val="hybridMultilevel"/>
    <w:tmpl w:val="23C0CF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5306ED"/>
    <w:multiLevelType w:val="hybridMultilevel"/>
    <w:tmpl w:val="C1CC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DF4990"/>
    <w:multiLevelType w:val="hybridMultilevel"/>
    <w:tmpl w:val="DBA84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C97487"/>
    <w:multiLevelType w:val="hybridMultilevel"/>
    <w:tmpl w:val="79DE9A8C"/>
    <w:lvl w:ilvl="0" w:tplc="09AA3C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26"/>
  </w:num>
  <w:num w:numId="4">
    <w:abstractNumId w:val="3"/>
  </w:num>
  <w:num w:numId="5">
    <w:abstractNumId w:val="4"/>
  </w:num>
  <w:num w:numId="6">
    <w:abstractNumId w:val="20"/>
  </w:num>
  <w:num w:numId="7">
    <w:abstractNumId w:val="6"/>
  </w:num>
  <w:num w:numId="8">
    <w:abstractNumId w:val="0"/>
  </w:num>
  <w:num w:numId="9">
    <w:abstractNumId w:val="10"/>
  </w:num>
  <w:num w:numId="10">
    <w:abstractNumId w:val="9"/>
  </w:num>
  <w:num w:numId="11">
    <w:abstractNumId w:val="19"/>
  </w:num>
  <w:num w:numId="12">
    <w:abstractNumId w:val="24"/>
  </w:num>
  <w:num w:numId="13">
    <w:abstractNumId w:val="1"/>
  </w:num>
  <w:num w:numId="14">
    <w:abstractNumId w:val="8"/>
  </w:num>
  <w:num w:numId="15">
    <w:abstractNumId w:val="17"/>
  </w:num>
  <w:num w:numId="16">
    <w:abstractNumId w:val="27"/>
  </w:num>
  <w:num w:numId="17">
    <w:abstractNumId w:val="5"/>
  </w:num>
  <w:num w:numId="18">
    <w:abstractNumId w:val="16"/>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2"/>
  </w:num>
  <w:num w:numId="22">
    <w:abstractNumId w:val="13"/>
  </w:num>
  <w:num w:numId="23">
    <w:abstractNumId w:val="14"/>
  </w:num>
  <w:num w:numId="24">
    <w:abstractNumId w:val="23"/>
  </w:num>
  <w:num w:numId="25">
    <w:abstractNumId w:val="21"/>
  </w:num>
  <w:num w:numId="26">
    <w:abstractNumId w:val="2"/>
  </w:num>
  <w:num w:numId="27">
    <w:abstractNumId w:val="15"/>
  </w:num>
  <w:num w:numId="28">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E5"/>
    <w:rsid w:val="00007252"/>
    <w:rsid w:val="00044B6C"/>
    <w:rsid w:val="00045A2A"/>
    <w:rsid w:val="00052B22"/>
    <w:rsid w:val="00067B0F"/>
    <w:rsid w:val="0007794D"/>
    <w:rsid w:val="000F2910"/>
    <w:rsid w:val="00101488"/>
    <w:rsid w:val="00116D5D"/>
    <w:rsid w:val="001268ED"/>
    <w:rsid w:val="001323A5"/>
    <w:rsid w:val="001375CA"/>
    <w:rsid w:val="00147F2C"/>
    <w:rsid w:val="00153363"/>
    <w:rsid w:val="00156975"/>
    <w:rsid w:val="00194C42"/>
    <w:rsid w:val="001B203B"/>
    <w:rsid w:val="001B79F2"/>
    <w:rsid w:val="001C313A"/>
    <w:rsid w:val="001D2E5A"/>
    <w:rsid w:val="002123F8"/>
    <w:rsid w:val="00214283"/>
    <w:rsid w:val="00214BC5"/>
    <w:rsid w:val="00233567"/>
    <w:rsid w:val="00255477"/>
    <w:rsid w:val="00257880"/>
    <w:rsid w:val="002A0F46"/>
    <w:rsid w:val="002E3AA2"/>
    <w:rsid w:val="002F444A"/>
    <w:rsid w:val="003073A6"/>
    <w:rsid w:val="003223B8"/>
    <w:rsid w:val="00327418"/>
    <w:rsid w:val="00342C9F"/>
    <w:rsid w:val="00346B29"/>
    <w:rsid w:val="00381371"/>
    <w:rsid w:val="003A2DB0"/>
    <w:rsid w:val="003A3279"/>
    <w:rsid w:val="003A7367"/>
    <w:rsid w:val="003D2FC2"/>
    <w:rsid w:val="003F231E"/>
    <w:rsid w:val="003F32A0"/>
    <w:rsid w:val="00420E54"/>
    <w:rsid w:val="00440AEB"/>
    <w:rsid w:val="004A5FB1"/>
    <w:rsid w:val="00514B5C"/>
    <w:rsid w:val="005300CD"/>
    <w:rsid w:val="00542865"/>
    <w:rsid w:val="005428F3"/>
    <w:rsid w:val="005A15AF"/>
    <w:rsid w:val="006003A1"/>
    <w:rsid w:val="0064760B"/>
    <w:rsid w:val="006973AB"/>
    <w:rsid w:val="006E71B7"/>
    <w:rsid w:val="006F34E0"/>
    <w:rsid w:val="00747390"/>
    <w:rsid w:val="00766230"/>
    <w:rsid w:val="00781239"/>
    <w:rsid w:val="007836DD"/>
    <w:rsid w:val="00794D7A"/>
    <w:rsid w:val="007C1D31"/>
    <w:rsid w:val="007C438B"/>
    <w:rsid w:val="00812455"/>
    <w:rsid w:val="008C27DD"/>
    <w:rsid w:val="008F2EF4"/>
    <w:rsid w:val="008F4418"/>
    <w:rsid w:val="009032EF"/>
    <w:rsid w:val="009125D9"/>
    <w:rsid w:val="0094114F"/>
    <w:rsid w:val="00946200"/>
    <w:rsid w:val="009676BF"/>
    <w:rsid w:val="00983876"/>
    <w:rsid w:val="009A206F"/>
    <w:rsid w:val="009B1FFA"/>
    <w:rsid w:val="009D679E"/>
    <w:rsid w:val="009F0137"/>
    <w:rsid w:val="00A0152B"/>
    <w:rsid w:val="00A22AA2"/>
    <w:rsid w:val="00A32217"/>
    <w:rsid w:val="00A440E5"/>
    <w:rsid w:val="00A45647"/>
    <w:rsid w:val="00A63859"/>
    <w:rsid w:val="00A8570C"/>
    <w:rsid w:val="00A920F3"/>
    <w:rsid w:val="00AA2BDC"/>
    <w:rsid w:val="00AA5E69"/>
    <w:rsid w:val="00AE2210"/>
    <w:rsid w:val="00AE4F8F"/>
    <w:rsid w:val="00B029B7"/>
    <w:rsid w:val="00B04B00"/>
    <w:rsid w:val="00B06A16"/>
    <w:rsid w:val="00B1594B"/>
    <w:rsid w:val="00B53AAB"/>
    <w:rsid w:val="00B61920"/>
    <w:rsid w:val="00B91DDC"/>
    <w:rsid w:val="00BD314A"/>
    <w:rsid w:val="00BE07C4"/>
    <w:rsid w:val="00C25AF0"/>
    <w:rsid w:val="00C31E33"/>
    <w:rsid w:val="00C56DB3"/>
    <w:rsid w:val="00C862AB"/>
    <w:rsid w:val="00C86E80"/>
    <w:rsid w:val="00C90AA9"/>
    <w:rsid w:val="00CB7AEF"/>
    <w:rsid w:val="00CC4C7E"/>
    <w:rsid w:val="00CD143C"/>
    <w:rsid w:val="00CD3520"/>
    <w:rsid w:val="00CE25F6"/>
    <w:rsid w:val="00D037DD"/>
    <w:rsid w:val="00D51A69"/>
    <w:rsid w:val="00D54696"/>
    <w:rsid w:val="00D84646"/>
    <w:rsid w:val="00D86C18"/>
    <w:rsid w:val="00DF023D"/>
    <w:rsid w:val="00E10CC2"/>
    <w:rsid w:val="00E24E60"/>
    <w:rsid w:val="00E31743"/>
    <w:rsid w:val="00E51700"/>
    <w:rsid w:val="00E85B1C"/>
    <w:rsid w:val="00E92776"/>
    <w:rsid w:val="00E968F3"/>
    <w:rsid w:val="00EA01AB"/>
    <w:rsid w:val="00EC554F"/>
    <w:rsid w:val="00EE1F95"/>
    <w:rsid w:val="00EF13F9"/>
    <w:rsid w:val="00EF3511"/>
    <w:rsid w:val="00F02B69"/>
    <w:rsid w:val="00F11769"/>
    <w:rsid w:val="00F34D86"/>
    <w:rsid w:val="00F50A85"/>
    <w:rsid w:val="00F55153"/>
    <w:rsid w:val="00F55AFA"/>
    <w:rsid w:val="00F838DA"/>
    <w:rsid w:val="00FD016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20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55FCF"/>
  </w:style>
  <w:style w:type="paragraph" w:styleId="berschrift1">
    <w:name w:val="heading 1"/>
    <w:basedOn w:val="Standard"/>
    <w:next w:val="Standard"/>
    <w:qFormat/>
    <w:rsid w:val="00F55FCF"/>
    <w:pPr>
      <w:keepNext/>
      <w:ind w:left="360"/>
      <w:outlineLvl w:val="0"/>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55FCF"/>
    <w:pPr>
      <w:tabs>
        <w:tab w:val="center" w:pos="4320"/>
        <w:tab w:val="right" w:pos="8640"/>
      </w:tabs>
    </w:pPr>
  </w:style>
  <w:style w:type="paragraph" w:styleId="Fuzeile">
    <w:name w:val="footer"/>
    <w:basedOn w:val="Standard"/>
    <w:rsid w:val="00F55FCF"/>
    <w:pPr>
      <w:tabs>
        <w:tab w:val="center" w:pos="4320"/>
        <w:tab w:val="right" w:pos="8640"/>
      </w:tabs>
    </w:pPr>
  </w:style>
  <w:style w:type="paragraph" w:styleId="Sprechblasentext">
    <w:name w:val="Balloon Text"/>
    <w:basedOn w:val="Standard"/>
    <w:semiHidden/>
    <w:rsid w:val="00F55FCF"/>
    <w:rPr>
      <w:rFonts w:ascii="Tahoma" w:hAnsi="Tahoma" w:cs="Tahoma"/>
      <w:sz w:val="16"/>
      <w:szCs w:val="16"/>
    </w:rPr>
  </w:style>
  <w:style w:type="paragraph" w:customStyle="1" w:styleId="FormHeading1">
    <w:name w:val="Form Heading 1"/>
    <w:rsid w:val="00F55FCF"/>
    <w:pPr>
      <w:tabs>
        <w:tab w:val="left" w:pos="8435"/>
      </w:tabs>
      <w:spacing w:before="60" w:after="60"/>
    </w:pPr>
    <w:rPr>
      <w:rFonts w:ascii="Arial" w:hAnsi="Arial"/>
      <w:b/>
      <w:smallCaps/>
      <w:noProof/>
      <w:sz w:val="24"/>
    </w:rPr>
  </w:style>
  <w:style w:type="paragraph" w:customStyle="1" w:styleId="TableText">
    <w:name w:val="Table Text"/>
    <w:basedOn w:val="Standard"/>
    <w:rsid w:val="00F55FCF"/>
    <w:pPr>
      <w:spacing w:before="20"/>
    </w:pPr>
    <w:rPr>
      <w:rFonts w:ascii="Arial" w:hAnsi="Arial" w:cs="Arial"/>
      <w:noProof/>
    </w:rPr>
  </w:style>
  <w:style w:type="paragraph" w:customStyle="1" w:styleId="FormLabel1">
    <w:name w:val="Form Label 1"/>
    <w:rsid w:val="00F55FCF"/>
    <w:rPr>
      <w:rFonts w:ascii="Arial" w:hAnsi="Arial"/>
      <w:b/>
      <w:noProof/>
      <w:sz w:val="16"/>
    </w:rPr>
  </w:style>
  <w:style w:type="paragraph" w:customStyle="1" w:styleId="TableText-Bullet">
    <w:name w:val="Table Text - Bullet"/>
    <w:basedOn w:val="Standard"/>
    <w:rsid w:val="00F55FCF"/>
    <w:pPr>
      <w:numPr>
        <w:numId w:val="1"/>
      </w:numPr>
      <w:spacing w:before="20" w:after="20"/>
    </w:pPr>
  </w:style>
  <w:style w:type="character" w:styleId="Seitenzahl">
    <w:name w:val="page number"/>
    <w:basedOn w:val="Absatz-Standardschriftart"/>
    <w:rsid w:val="00F55FCF"/>
  </w:style>
  <w:style w:type="paragraph" w:customStyle="1" w:styleId="FormText1">
    <w:name w:val="Form Text 1"/>
    <w:rsid w:val="00F55FCF"/>
    <w:rPr>
      <w:rFonts w:ascii="Arial" w:hAnsi="Arial"/>
    </w:rPr>
  </w:style>
  <w:style w:type="paragraph" w:styleId="Titel">
    <w:name w:val="Title"/>
    <w:basedOn w:val="Standard"/>
    <w:qFormat/>
    <w:rsid w:val="00F55FCF"/>
    <w:pPr>
      <w:jc w:val="center"/>
    </w:pPr>
    <w:rPr>
      <w:rFonts w:ascii="Arial" w:hAnsi="Arial"/>
      <w:b/>
      <w:color w:val="FFFFFF"/>
      <w:sz w:val="32"/>
      <w:shd w:val="clear" w:color="auto" w:fill="808080"/>
    </w:rPr>
  </w:style>
  <w:style w:type="character" w:styleId="Hyperlink">
    <w:name w:val="Hyperlink"/>
    <w:rsid w:val="00F517BA"/>
    <w:rPr>
      <w:color w:val="0000FF"/>
      <w:u w:val="single"/>
    </w:rPr>
  </w:style>
  <w:style w:type="character" w:styleId="Kommentarzeichen">
    <w:name w:val="annotation reference"/>
    <w:rsid w:val="00722C3D"/>
    <w:rPr>
      <w:sz w:val="16"/>
      <w:szCs w:val="16"/>
    </w:rPr>
  </w:style>
  <w:style w:type="paragraph" w:styleId="Kommentartext">
    <w:name w:val="annotation text"/>
    <w:basedOn w:val="Standard"/>
    <w:link w:val="KommentartextZchn"/>
    <w:rsid w:val="00722C3D"/>
  </w:style>
  <w:style w:type="character" w:customStyle="1" w:styleId="KommentartextZchn">
    <w:name w:val="Kommentartext Zchn"/>
    <w:basedOn w:val="Absatz-Standardschriftart"/>
    <w:link w:val="Kommentartext"/>
    <w:rsid w:val="00722C3D"/>
  </w:style>
  <w:style w:type="paragraph" w:styleId="Kommentarthema">
    <w:name w:val="annotation subject"/>
    <w:basedOn w:val="Kommentartext"/>
    <w:next w:val="Kommentartext"/>
    <w:link w:val="KommentarthemaZchn"/>
    <w:rsid w:val="00722C3D"/>
    <w:rPr>
      <w:b/>
      <w:bCs/>
    </w:rPr>
  </w:style>
  <w:style w:type="character" w:customStyle="1" w:styleId="KommentarthemaZchn">
    <w:name w:val="Kommentarthema Zchn"/>
    <w:link w:val="Kommentarthema"/>
    <w:rsid w:val="00722C3D"/>
    <w:rPr>
      <w:b/>
      <w:bCs/>
    </w:rPr>
  </w:style>
  <w:style w:type="paragraph" w:customStyle="1" w:styleId="ColorfulShading-Accent11">
    <w:name w:val="Colorful Shading - Accent 11"/>
    <w:hidden/>
    <w:uiPriority w:val="99"/>
    <w:semiHidden/>
    <w:rsid w:val="00A761B1"/>
  </w:style>
  <w:style w:type="paragraph" w:customStyle="1" w:styleId="ColorfulList-Accent11">
    <w:name w:val="Colorful List - Accent 11"/>
    <w:basedOn w:val="Standard"/>
    <w:uiPriority w:val="34"/>
    <w:qFormat/>
    <w:rsid w:val="008B5FA3"/>
    <w:pPr>
      <w:ind w:left="720"/>
    </w:pPr>
    <w:rPr>
      <w:rFonts w:ascii="Calibri" w:eastAsia="Calibri" w:hAnsi="Calibri"/>
      <w:sz w:val="22"/>
      <w:szCs w:val="22"/>
    </w:rPr>
  </w:style>
  <w:style w:type="table" w:styleId="Tabellenraster">
    <w:name w:val="Table Grid"/>
    <w:basedOn w:val="NormaleTabelle"/>
    <w:rsid w:val="00812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99"/>
    <w:qFormat/>
    <w:rsid w:val="007473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55FCF"/>
  </w:style>
  <w:style w:type="paragraph" w:styleId="berschrift1">
    <w:name w:val="heading 1"/>
    <w:basedOn w:val="Standard"/>
    <w:next w:val="Standard"/>
    <w:qFormat/>
    <w:rsid w:val="00F55FCF"/>
    <w:pPr>
      <w:keepNext/>
      <w:ind w:left="360"/>
      <w:outlineLvl w:val="0"/>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55FCF"/>
    <w:pPr>
      <w:tabs>
        <w:tab w:val="center" w:pos="4320"/>
        <w:tab w:val="right" w:pos="8640"/>
      </w:tabs>
    </w:pPr>
  </w:style>
  <w:style w:type="paragraph" w:styleId="Fuzeile">
    <w:name w:val="footer"/>
    <w:basedOn w:val="Standard"/>
    <w:rsid w:val="00F55FCF"/>
    <w:pPr>
      <w:tabs>
        <w:tab w:val="center" w:pos="4320"/>
        <w:tab w:val="right" w:pos="8640"/>
      </w:tabs>
    </w:pPr>
  </w:style>
  <w:style w:type="paragraph" w:styleId="Sprechblasentext">
    <w:name w:val="Balloon Text"/>
    <w:basedOn w:val="Standard"/>
    <w:semiHidden/>
    <w:rsid w:val="00F55FCF"/>
    <w:rPr>
      <w:rFonts w:ascii="Tahoma" w:hAnsi="Tahoma" w:cs="Tahoma"/>
      <w:sz w:val="16"/>
      <w:szCs w:val="16"/>
    </w:rPr>
  </w:style>
  <w:style w:type="paragraph" w:customStyle="1" w:styleId="FormHeading1">
    <w:name w:val="Form Heading 1"/>
    <w:rsid w:val="00F55FCF"/>
    <w:pPr>
      <w:tabs>
        <w:tab w:val="left" w:pos="8435"/>
      </w:tabs>
      <w:spacing w:before="60" w:after="60"/>
    </w:pPr>
    <w:rPr>
      <w:rFonts w:ascii="Arial" w:hAnsi="Arial"/>
      <w:b/>
      <w:smallCaps/>
      <w:noProof/>
      <w:sz w:val="24"/>
    </w:rPr>
  </w:style>
  <w:style w:type="paragraph" w:customStyle="1" w:styleId="TableText">
    <w:name w:val="Table Text"/>
    <w:basedOn w:val="Standard"/>
    <w:rsid w:val="00F55FCF"/>
    <w:pPr>
      <w:spacing w:before="20"/>
    </w:pPr>
    <w:rPr>
      <w:rFonts w:ascii="Arial" w:hAnsi="Arial" w:cs="Arial"/>
      <w:noProof/>
    </w:rPr>
  </w:style>
  <w:style w:type="paragraph" w:customStyle="1" w:styleId="FormLabel1">
    <w:name w:val="Form Label 1"/>
    <w:rsid w:val="00F55FCF"/>
    <w:rPr>
      <w:rFonts w:ascii="Arial" w:hAnsi="Arial"/>
      <w:b/>
      <w:noProof/>
      <w:sz w:val="16"/>
    </w:rPr>
  </w:style>
  <w:style w:type="paragraph" w:customStyle="1" w:styleId="TableText-Bullet">
    <w:name w:val="Table Text - Bullet"/>
    <w:basedOn w:val="Standard"/>
    <w:rsid w:val="00F55FCF"/>
    <w:pPr>
      <w:numPr>
        <w:numId w:val="1"/>
      </w:numPr>
      <w:spacing w:before="20" w:after="20"/>
    </w:pPr>
  </w:style>
  <w:style w:type="character" w:styleId="Seitenzahl">
    <w:name w:val="page number"/>
    <w:basedOn w:val="Absatz-Standardschriftart"/>
    <w:rsid w:val="00F55FCF"/>
  </w:style>
  <w:style w:type="paragraph" w:customStyle="1" w:styleId="FormText1">
    <w:name w:val="Form Text 1"/>
    <w:rsid w:val="00F55FCF"/>
    <w:rPr>
      <w:rFonts w:ascii="Arial" w:hAnsi="Arial"/>
    </w:rPr>
  </w:style>
  <w:style w:type="paragraph" w:styleId="Titel">
    <w:name w:val="Title"/>
    <w:basedOn w:val="Standard"/>
    <w:qFormat/>
    <w:rsid w:val="00F55FCF"/>
    <w:pPr>
      <w:jc w:val="center"/>
    </w:pPr>
    <w:rPr>
      <w:rFonts w:ascii="Arial" w:hAnsi="Arial"/>
      <w:b/>
      <w:color w:val="FFFFFF"/>
      <w:sz w:val="32"/>
      <w:shd w:val="clear" w:color="auto" w:fill="808080"/>
    </w:rPr>
  </w:style>
  <w:style w:type="character" w:styleId="Hyperlink">
    <w:name w:val="Hyperlink"/>
    <w:rsid w:val="00F517BA"/>
    <w:rPr>
      <w:color w:val="0000FF"/>
      <w:u w:val="single"/>
    </w:rPr>
  </w:style>
  <w:style w:type="character" w:styleId="Kommentarzeichen">
    <w:name w:val="annotation reference"/>
    <w:rsid w:val="00722C3D"/>
    <w:rPr>
      <w:sz w:val="16"/>
      <w:szCs w:val="16"/>
    </w:rPr>
  </w:style>
  <w:style w:type="paragraph" w:styleId="Kommentartext">
    <w:name w:val="annotation text"/>
    <w:basedOn w:val="Standard"/>
    <w:link w:val="KommentartextZchn"/>
    <w:rsid w:val="00722C3D"/>
  </w:style>
  <w:style w:type="character" w:customStyle="1" w:styleId="KommentartextZchn">
    <w:name w:val="Kommentartext Zchn"/>
    <w:basedOn w:val="Absatz-Standardschriftart"/>
    <w:link w:val="Kommentartext"/>
    <w:rsid w:val="00722C3D"/>
  </w:style>
  <w:style w:type="paragraph" w:styleId="Kommentarthema">
    <w:name w:val="annotation subject"/>
    <w:basedOn w:val="Kommentartext"/>
    <w:next w:val="Kommentartext"/>
    <w:link w:val="KommentarthemaZchn"/>
    <w:rsid w:val="00722C3D"/>
    <w:rPr>
      <w:b/>
      <w:bCs/>
    </w:rPr>
  </w:style>
  <w:style w:type="character" w:customStyle="1" w:styleId="KommentarthemaZchn">
    <w:name w:val="Kommentarthema Zchn"/>
    <w:link w:val="Kommentarthema"/>
    <w:rsid w:val="00722C3D"/>
    <w:rPr>
      <w:b/>
      <w:bCs/>
    </w:rPr>
  </w:style>
  <w:style w:type="paragraph" w:customStyle="1" w:styleId="ColorfulShading-Accent11">
    <w:name w:val="Colorful Shading - Accent 11"/>
    <w:hidden/>
    <w:uiPriority w:val="99"/>
    <w:semiHidden/>
    <w:rsid w:val="00A761B1"/>
  </w:style>
  <w:style w:type="paragraph" w:customStyle="1" w:styleId="ColorfulList-Accent11">
    <w:name w:val="Colorful List - Accent 11"/>
    <w:basedOn w:val="Standard"/>
    <w:uiPriority w:val="34"/>
    <w:qFormat/>
    <w:rsid w:val="008B5FA3"/>
    <w:pPr>
      <w:ind w:left="720"/>
    </w:pPr>
    <w:rPr>
      <w:rFonts w:ascii="Calibri" w:eastAsia="Calibri" w:hAnsi="Calibri"/>
      <w:sz w:val="22"/>
      <w:szCs w:val="22"/>
    </w:rPr>
  </w:style>
  <w:style w:type="table" w:styleId="Tabellenraster">
    <w:name w:val="Table Grid"/>
    <w:basedOn w:val="NormaleTabelle"/>
    <w:rsid w:val="00812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99"/>
    <w:qFormat/>
    <w:rsid w:val="00747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169">
      <w:bodyDiv w:val="1"/>
      <w:marLeft w:val="0"/>
      <w:marRight w:val="0"/>
      <w:marTop w:val="0"/>
      <w:marBottom w:val="0"/>
      <w:divBdr>
        <w:top w:val="none" w:sz="0" w:space="0" w:color="auto"/>
        <w:left w:val="none" w:sz="0" w:space="0" w:color="auto"/>
        <w:bottom w:val="none" w:sz="0" w:space="0" w:color="auto"/>
        <w:right w:val="none" w:sz="0" w:space="0" w:color="auto"/>
      </w:divBdr>
    </w:div>
    <w:div w:id="194164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4171</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Budget Request</vt:lpstr>
      <vt:lpstr>Budget Request</vt:lpstr>
    </vt:vector>
  </TitlesOfParts>
  <Company>ICANN</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Request</dc:title>
  <dc:subject>Financial System Replacement</dc:subject>
  <dc:creator>Aba Diakite</dc:creator>
  <cp:lastModifiedBy>WUK</cp:lastModifiedBy>
  <cp:revision>6</cp:revision>
  <cp:lastPrinted>2012-01-22T19:31:00Z</cp:lastPrinted>
  <dcterms:created xsi:type="dcterms:W3CDTF">2014-03-04T20:36:00Z</dcterms:created>
  <dcterms:modified xsi:type="dcterms:W3CDTF">2014-03-05T06:57:00Z</dcterms:modified>
</cp:coreProperties>
</file>